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714AA" w:rsidRPr="00AD5D4C" w14:paraId="7C064236" w14:textId="77777777">
        <w:trPr>
          <w:trHeight w:hRule="exact" w:val="418"/>
          <w:jc w:val="center"/>
        </w:trPr>
        <w:tc>
          <w:tcPr>
            <w:tcW w:w="8720" w:type="dxa"/>
            <w:gridSpan w:val="3"/>
          </w:tcPr>
          <w:p w14:paraId="74910F56" w14:textId="77777777" w:rsidR="007714AA" w:rsidRPr="00AD5D4C" w:rsidRDefault="00AD5D4C">
            <w:pPr>
              <w:pStyle w:val="a3"/>
              <w:tabs>
                <w:tab w:val="clear" w:pos="8306"/>
              </w:tabs>
              <w:jc w:val="center"/>
              <w:rPr>
                <w:rFonts w:ascii="Tahoma" w:hAnsi="Tahoma" w:cs="Tahoma"/>
                <w:b/>
                <w:bCs/>
                <w:color w:val="000080"/>
                <w:sz w:val="20"/>
                <w:szCs w:val="20"/>
                <w:rtl/>
              </w:rPr>
            </w:pPr>
            <w:bookmarkStart w:id="0" w:name="LastJudge"/>
            <w:r w:rsidRPr="00AD5D4C">
              <w:rPr>
                <w:rFonts w:ascii="Tahoma" w:hAnsi="Tahoma" w:cs="Tahoma"/>
                <w:b/>
                <w:bCs/>
                <w:color w:val="000080"/>
                <w:sz w:val="20"/>
                <w:szCs w:val="20"/>
                <w:rtl/>
              </w:rPr>
              <w:t>בית משפט השלום בתל אביב - יפו</w:t>
            </w:r>
          </w:p>
        </w:tc>
      </w:tr>
      <w:tr w:rsidR="007714AA" w:rsidRPr="00AD5D4C" w14:paraId="38444B61" w14:textId="77777777">
        <w:trPr>
          <w:trHeight w:val="337"/>
          <w:jc w:val="center"/>
        </w:trPr>
        <w:tc>
          <w:tcPr>
            <w:tcW w:w="3973" w:type="dxa"/>
          </w:tcPr>
          <w:p w14:paraId="17270815" w14:textId="77777777" w:rsidR="007714AA" w:rsidRPr="00AD5D4C" w:rsidRDefault="00AD5D4C">
            <w:pPr>
              <w:rPr>
                <w:b/>
                <w:bCs/>
                <w:sz w:val="26"/>
                <w:szCs w:val="26"/>
                <w:rtl/>
              </w:rPr>
            </w:pPr>
            <w:r w:rsidRPr="00AD5D4C">
              <w:rPr>
                <w:b/>
                <w:bCs/>
                <w:sz w:val="26"/>
                <w:szCs w:val="26"/>
                <w:rtl/>
              </w:rPr>
              <w:t>ת"פ</w:t>
            </w:r>
            <w:r w:rsidRPr="00AD5D4C">
              <w:rPr>
                <w:rFonts w:hint="cs"/>
                <w:b/>
                <w:bCs/>
                <w:sz w:val="26"/>
                <w:szCs w:val="26"/>
                <w:rtl/>
              </w:rPr>
              <w:t xml:space="preserve"> </w:t>
            </w:r>
            <w:r w:rsidRPr="00AD5D4C">
              <w:rPr>
                <w:b/>
                <w:bCs/>
                <w:sz w:val="26"/>
                <w:szCs w:val="26"/>
                <w:rtl/>
              </w:rPr>
              <w:t>54653-07-12</w:t>
            </w:r>
            <w:r w:rsidRPr="00AD5D4C">
              <w:rPr>
                <w:rFonts w:hint="cs"/>
                <w:b/>
                <w:bCs/>
                <w:sz w:val="26"/>
                <w:szCs w:val="26"/>
                <w:rtl/>
              </w:rPr>
              <w:t xml:space="preserve"> </w:t>
            </w:r>
            <w:r w:rsidRPr="00AD5D4C">
              <w:rPr>
                <w:b/>
                <w:bCs/>
                <w:sz w:val="26"/>
                <w:szCs w:val="26"/>
                <w:rtl/>
              </w:rPr>
              <w:t>מדינת ישראל נ' נאביאן</w:t>
            </w:r>
          </w:p>
          <w:p w14:paraId="4F6DC7D9" w14:textId="77777777" w:rsidR="007714AA" w:rsidRPr="00AD5D4C" w:rsidRDefault="007714AA">
            <w:pPr>
              <w:rPr>
                <w:b/>
                <w:bCs/>
                <w:sz w:val="26"/>
                <w:szCs w:val="26"/>
                <w:rtl/>
              </w:rPr>
            </w:pPr>
          </w:p>
        </w:tc>
        <w:tc>
          <w:tcPr>
            <w:tcW w:w="1068" w:type="dxa"/>
          </w:tcPr>
          <w:p w14:paraId="4198AED7" w14:textId="77777777" w:rsidR="007714AA" w:rsidRPr="00AD5D4C" w:rsidRDefault="007714AA">
            <w:pPr>
              <w:pStyle w:val="a3"/>
              <w:jc w:val="right"/>
              <w:rPr>
                <w:b/>
                <w:bCs/>
                <w:sz w:val="26"/>
                <w:szCs w:val="26"/>
                <w:rtl/>
              </w:rPr>
            </w:pPr>
          </w:p>
        </w:tc>
        <w:tc>
          <w:tcPr>
            <w:tcW w:w="3679" w:type="dxa"/>
          </w:tcPr>
          <w:p w14:paraId="1978543C" w14:textId="77777777" w:rsidR="007714AA" w:rsidRPr="00AD5D4C" w:rsidRDefault="00AD5D4C">
            <w:pPr>
              <w:pStyle w:val="a3"/>
              <w:tabs>
                <w:tab w:val="clear" w:pos="4153"/>
              </w:tabs>
              <w:jc w:val="right"/>
              <w:rPr>
                <w:b/>
                <w:bCs/>
                <w:sz w:val="26"/>
                <w:szCs w:val="26"/>
                <w:rtl/>
              </w:rPr>
            </w:pPr>
            <w:r w:rsidRPr="00AD5D4C">
              <w:rPr>
                <w:b/>
                <w:bCs/>
                <w:sz w:val="26"/>
                <w:szCs w:val="26"/>
                <w:rtl/>
              </w:rPr>
              <w:t>24 פברואר 2014</w:t>
            </w:r>
          </w:p>
        </w:tc>
      </w:tr>
    </w:tbl>
    <w:p w14:paraId="2F0C89F4" w14:textId="77777777" w:rsidR="007714AA" w:rsidRPr="00AD5D4C" w:rsidRDefault="007714AA">
      <w:pPr>
        <w:pStyle w:val="a3"/>
        <w:jc w:val="center"/>
        <w:rPr>
          <w:rFonts w:ascii="Tahoma" w:hAnsi="Tahoma" w:cs="Tahoma"/>
          <w:b/>
          <w:bCs/>
          <w:color w:val="000080"/>
          <w:sz w:val="20"/>
          <w:szCs w:val="20"/>
          <w:rtl/>
        </w:rPr>
      </w:pPr>
    </w:p>
    <w:p w14:paraId="0F151495" w14:textId="77777777" w:rsidR="007714AA" w:rsidRPr="00AD5D4C" w:rsidRDefault="007714AA">
      <w:pPr>
        <w:pStyle w:val="a6"/>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7714AA" w:rsidRPr="00AD5D4C" w14:paraId="600C89A5" w14:textId="77777777">
        <w:trPr>
          <w:trHeight w:val="337"/>
          <w:jc w:val="center"/>
        </w:trPr>
        <w:tc>
          <w:tcPr>
            <w:tcW w:w="5856" w:type="dxa"/>
          </w:tcPr>
          <w:p w14:paraId="36C361C9" w14:textId="77777777" w:rsidR="007714AA" w:rsidRPr="00AD5D4C" w:rsidRDefault="00AD5D4C">
            <w:pPr>
              <w:spacing w:line="360" w:lineRule="auto"/>
              <w:jc w:val="both"/>
              <w:rPr>
                <w:b/>
                <w:bCs/>
                <w:sz w:val="26"/>
                <w:szCs w:val="26"/>
                <w:rtl/>
              </w:rPr>
            </w:pPr>
            <w:r w:rsidRPr="00AD5D4C">
              <w:rPr>
                <w:rFonts w:hint="cs"/>
                <w:b/>
                <w:bCs/>
                <w:sz w:val="26"/>
                <w:szCs w:val="26"/>
                <w:rtl/>
              </w:rPr>
              <w:t>בפני כב' ה</w:t>
            </w:r>
            <w:r w:rsidRPr="00AD5D4C">
              <w:rPr>
                <w:rFonts w:hint="cs"/>
                <w:rtl/>
              </w:rPr>
              <w:t>שופטת הדסה נאור</w:t>
            </w:r>
          </w:p>
        </w:tc>
        <w:tc>
          <w:tcPr>
            <w:tcW w:w="236" w:type="dxa"/>
          </w:tcPr>
          <w:p w14:paraId="008B24B4" w14:textId="77777777" w:rsidR="007714AA" w:rsidRPr="00AD5D4C" w:rsidRDefault="007714AA">
            <w:pPr>
              <w:pStyle w:val="a3"/>
              <w:jc w:val="both"/>
              <w:rPr>
                <w:b/>
                <w:bCs/>
                <w:sz w:val="26"/>
                <w:szCs w:val="26"/>
                <w:rtl/>
              </w:rPr>
            </w:pPr>
          </w:p>
        </w:tc>
        <w:tc>
          <w:tcPr>
            <w:tcW w:w="2628" w:type="dxa"/>
          </w:tcPr>
          <w:p w14:paraId="750BC835" w14:textId="77777777" w:rsidR="007714AA" w:rsidRPr="00AD5D4C" w:rsidRDefault="007714AA">
            <w:pPr>
              <w:pStyle w:val="a3"/>
              <w:jc w:val="both"/>
              <w:rPr>
                <w:b/>
                <w:bCs/>
                <w:sz w:val="26"/>
                <w:szCs w:val="26"/>
                <w:rtl/>
              </w:rPr>
            </w:pPr>
          </w:p>
        </w:tc>
      </w:tr>
    </w:tbl>
    <w:p w14:paraId="5C097600" w14:textId="77777777" w:rsidR="007714AA" w:rsidRPr="00AD5D4C" w:rsidRDefault="007714AA">
      <w:pPr>
        <w:pStyle w:val="a6"/>
        <w:rPr>
          <w:rFonts w:ascii="Arial" w:hAnsi="Arial"/>
          <w:rtl/>
        </w:rPr>
      </w:pPr>
    </w:p>
    <w:p w14:paraId="7200CFE3" w14:textId="77777777" w:rsidR="007714AA" w:rsidRPr="00AD5D4C" w:rsidRDefault="007714AA">
      <w:pPr>
        <w:pStyle w:val="a6"/>
        <w:rPr>
          <w:rtl/>
        </w:rPr>
      </w:pPr>
    </w:p>
    <w:tbl>
      <w:tblPr>
        <w:bidiVisual/>
        <w:tblW w:w="8802" w:type="dxa"/>
        <w:tblInd w:w="-28" w:type="dxa"/>
        <w:tblLayout w:type="fixed"/>
        <w:tblLook w:val="01E0" w:firstRow="1" w:lastRow="1" w:firstColumn="1" w:lastColumn="1" w:noHBand="0" w:noVBand="0"/>
      </w:tblPr>
      <w:tblGrid>
        <w:gridCol w:w="3240"/>
        <w:gridCol w:w="5562"/>
      </w:tblGrid>
      <w:tr w:rsidR="007714AA" w:rsidRPr="00AD5D4C" w14:paraId="5CB93BC2" w14:textId="77777777">
        <w:tc>
          <w:tcPr>
            <w:tcW w:w="3240" w:type="dxa"/>
          </w:tcPr>
          <w:p w14:paraId="24343B44" w14:textId="77777777" w:rsidR="007714AA" w:rsidRPr="00AD5D4C" w:rsidRDefault="00AD5D4C">
            <w:pPr>
              <w:ind w:left="26"/>
              <w:rPr>
                <w:rFonts w:ascii="Times New Roman" w:eastAsia="Times New Roman" w:hAnsi="Times New Roman"/>
                <w:b/>
                <w:bCs/>
                <w:sz w:val="26"/>
                <w:szCs w:val="26"/>
                <w:rtl/>
              </w:rPr>
            </w:pPr>
            <w:bookmarkStart w:id="1" w:name="FirstAppellant"/>
            <w:r w:rsidRPr="00AD5D4C">
              <w:rPr>
                <w:rFonts w:ascii="Times New Roman" w:eastAsia="Times New Roman" w:hAnsi="Times New Roman" w:hint="cs"/>
                <w:b/>
                <w:bCs/>
                <w:sz w:val="26"/>
                <w:szCs w:val="26"/>
                <w:rtl/>
              </w:rPr>
              <w:t>ה</w:t>
            </w:r>
            <w:r w:rsidRPr="00AD5D4C">
              <w:rPr>
                <w:rFonts w:ascii="Times New Roman" w:eastAsia="Times New Roman" w:hAnsi="Times New Roman" w:hint="cs"/>
                <w:rtl/>
              </w:rPr>
              <w:t>מאשימה</w:t>
            </w:r>
          </w:p>
        </w:tc>
        <w:tc>
          <w:tcPr>
            <w:tcW w:w="5562" w:type="dxa"/>
          </w:tcPr>
          <w:p w14:paraId="02D266AA" w14:textId="77777777" w:rsidR="007714AA" w:rsidRPr="00AD5D4C" w:rsidRDefault="00AD5D4C">
            <w:pPr>
              <w:rPr>
                <w:rFonts w:ascii="Times New Roman" w:eastAsia="Times New Roman" w:hAnsi="Times New Roman"/>
                <w:b/>
                <w:bCs/>
                <w:sz w:val="26"/>
                <w:szCs w:val="26"/>
                <w:rtl/>
              </w:rPr>
            </w:pPr>
            <w:r w:rsidRPr="00AD5D4C">
              <w:rPr>
                <w:rFonts w:ascii="Times New Roman" w:eastAsia="Times New Roman" w:hAnsi="Times New Roman" w:hint="cs"/>
                <w:b/>
                <w:bCs/>
                <w:sz w:val="26"/>
                <w:szCs w:val="26"/>
                <w:rtl/>
              </w:rPr>
              <w:t xml:space="preserve"> </w:t>
            </w:r>
            <w:r w:rsidRPr="00AD5D4C">
              <w:rPr>
                <w:rFonts w:ascii="Times New Roman" w:eastAsia="Times New Roman" w:hAnsi="Times New Roman" w:hint="cs"/>
                <w:rtl/>
              </w:rPr>
              <w:t>מדינת ישראל</w:t>
            </w:r>
          </w:p>
        </w:tc>
      </w:tr>
      <w:bookmarkEnd w:id="1"/>
      <w:tr w:rsidR="007714AA" w:rsidRPr="00AD5D4C" w14:paraId="6CB9AEB2" w14:textId="77777777">
        <w:tc>
          <w:tcPr>
            <w:tcW w:w="8802" w:type="dxa"/>
            <w:gridSpan w:val="2"/>
          </w:tcPr>
          <w:p w14:paraId="49365D91" w14:textId="77777777" w:rsidR="007714AA" w:rsidRPr="00AD5D4C" w:rsidRDefault="007714AA">
            <w:pPr>
              <w:jc w:val="both"/>
              <w:rPr>
                <w:rFonts w:ascii="Arial" w:eastAsia="Times New Roman" w:hAnsi="Arial"/>
                <w:b/>
                <w:bCs/>
                <w:sz w:val="26"/>
                <w:szCs w:val="26"/>
                <w:rtl/>
              </w:rPr>
            </w:pPr>
          </w:p>
          <w:p w14:paraId="45B05739" w14:textId="77777777" w:rsidR="007714AA" w:rsidRPr="00AD5D4C" w:rsidRDefault="00AD5D4C">
            <w:pPr>
              <w:jc w:val="center"/>
              <w:rPr>
                <w:rFonts w:ascii="Arial" w:eastAsia="Times New Roman" w:hAnsi="Arial"/>
                <w:b/>
                <w:bCs/>
                <w:sz w:val="26"/>
                <w:szCs w:val="26"/>
                <w:rtl/>
              </w:rPr>
            </w:pPr>
            <w:r w:rsidRPr="00AD5D4C">
              <w:rPr>
                <w:rFonts w:ascii="Arial" w:eastAsia="Times New Roman" w:hAnsi="Arial"/>
                <w:b/>
                <w:bCs/>
                <w:sz w:val="26"/>
                <w:szCs w:val="26"/>
                <w:rtl/>
              </w:rPr>
              <w:t>נגד</w:t>
            </w:r>
          </w:p>
          <w:p w14:paraId="190EED7E" w14:textId="77777777" w:rsidR="007714AA" w:rsidRPr="00AD5D4C" w:rsidRDefault="007714AA">
            <w:pPr>
              <w:jc w:val="center"/>
              <w:rPr>
                <w:rFonts w:ascii="Arial" w:eastAsia="Times New Roman" w:hAnsi="Arial"/>
                <w:b/>
                <w:bCs/>
                <w:sz w:val="26"/>
                <w:szCs w:val="26"/>
              </w:rPr>
            </w:pPr>
          </w:p>
        </w:tc>
      </w:tr>
      <w:tr w:rsidR="007714AA" w:rsidRPr="00AD5D4C" w14:paraId="38798411" w14:textId="77777777">
        <w:tc>
          <w:tcPr>
            <w:tcW w:w="3240" w:type="dxa"/>
          </w:tcPr>
          <w:p w14:paraId="2A6FDE26" w14:textId="77777777" w:rsidR="007714AA" w:rsidRPr="00AD5D4C" w:rsidRDefault="00AD5D4C">
            <w:pPr>
              <w:ind w:left="26"/>
              <w:rPr>
                <w:rFonts w:ascii="Times New Roman" w:eastAsia="Times New Roman" w:hAnsi="Times New Roman"/>
                <w:b/>
                <w:bCs/>
                <w:sz w:val="26"/>
                <w:szCs w:val="26"/>
                <w:rtl/>
              </w:rPr>
            </w:pPr>
            <w:r w:rsidRPr="00AD5D4C">
              <w:rPr>
                <w:rFonts w:ascii="Times New Roman" w:eastAsia="Times New Roman" w:hAnsi="Times New Roman" w:hint="cs"/>
                <w:b/>
                <w:bCs/>
                <w:sz w:val="26"/>
                <w:szCs w:val="26"/>
                <w:rtl/>
              </w:rPr>
              <w:t>ה</w:t>
            </w:r>
            <w:r w:rsidRPr="00AD5D4C">
              <w:rPr>
                <w:rFonts w:ascii="Times New Roman" w:eastAsia="Times New Roman" w:hAnsi="Times New Roman" w:hint="cs"/>
                <w:rtl/>
              </w:rPr>
              <w:t>נאשם</w:t>
            </w:r>
          </w:p>
        </w:tc>
        <w:tc>
          <w:tcPr>
            <w:tcW w:w="5562" w:type="dxa"/>
          </w:tcPr>
          <w:p w14:paraId="20AA1878" w14:textId="77777777" w:rsidR="007714AA" w:rsidRPr="00AD5D4C" w:rsidRDefault="00AD5D4C">
            <w:pPr>
              <w:rPr>
                <w:rFonts w:ascii="Times New Roman" w:eastAsia="Times New Roman" w:hAnsi="Times New Roman"/>
                <w:b/>
                <w:bCs/>
                <w:sz w:val="26"/>
                <w:szCs w:val="26"/>
                <w:rtl/>
              </w:rPr>
            </w:pPr>
            <w:r w:rsidRPr="00AD5D4C">
              <w:rPr>
                <w:rFonts w:ascii="Times New Roman" w:eastAsia="Times New Roman" w:hAnsi="Times New Roman" w:hint="cs"/>
                <w:b/>
                <w:bCs/>
                <w:sz w:val="26"/>
                <w:szCs w:val="26"/>
                <w:rtl/>
              </w:rPr>
              <w:t xml:space="preserve"> </w:t>
            </w:r>
            <w:r w:rsidRPr="00AD5D4C">
              <w:rPr>
                <w:rFonts w:ascii="Times New Roman" w:eastAsia="Times New Roman" w:hAnsi="Times New Roman" w:hint="cs"/>
                <w:rtl/>
              </w:rPr>
              <w:t>גיא נאביאן</w:t>
            </w:r>
          </w:p>
        </w:tc>
      </w:tr>
    </w:tbl>
    <w:p w14:paraId="28CC5D2A" w14:textId="77777777" w:rsidR="007714AA" w:rsidRPr="00AD5D4C" w:rsidRDefault="007714AA">
      <w:pPr>
        <w:pStyle w:val="a6"/>
        <w:rPr>
          <w:rtl/>
        </w:rPr>
      </w:pPr>
    </w:p>
    <w:p w14:paraId="431ED7B2" w14:textId="77777777" w:rsidR="007714AA" w:rsidRPr="00AD5D4C" w:rsidRDefault="00AD5D4C">
      <w:pPr>
        <w:pStyle w:val="a6"/>
        <w:rPr>
          <w:sz w:val="6"/>
          <w:szCs w:val="6"/>
          <w:rtl/>
        </w:rPr>
      </w:pPr>
      <w:r w:rsidRPr="00AD5D4C">
        <w:rPr>
          <w:sz w:val="6"/>
          <w:szCs w:val="6"/>
          <w:rtl/>
        </w:rPr>
        <w:t>&lt;#2#&gt;</w:t>
      </w:r>
    </w:p>
    <w:p w14:paraId="11458D6D" w14:textId="77777777" w:rsidR="007714AA" w:rsidRPr="00AD5D4C" w:rsidRDefault="00AD5D4C">
      <w:pPr>
        <w:pStyle w:val="12"/>
        <w:rPr>
          <w:u w:val="none"/>
          <w:rtl/>
        </w:rPr>
      </w:pPr>
      <w:r w:rsidRPr="00AD5D4C">
        <w:rPr>
          <w:rFonts w:hint="cs"/>
          <w:u w:val="none"/>
          <w:rtl/>
        </w:rPr>
        <w:t>נוכחים:</w:t>
      </w:r>
    </w:p>
    <w:p w14:paraId="344F4632" w14:textId="77777777" w:rsidR="007714AA" w:rsidRPr="00AD5D4C" w:rsidRDefault="00AD5D4C">
      <w:pPr>
        <w:pStyle w:val="12"/>
        <w:rPr>
          <w:b w:val="0"/>
          <w:bCs w:val="0"/>
          <w:sz w:val="26"/>
          <w:szCs w:val="26"/>
          <w:u w:val="none"/>
          <w:rtl/>
        </w:rPr>
      </w:pPr>
      <w:bookmarkStart w:id="2" w:name="FirstLawyer"/>
      <w:r w:rsidRPr="00AD5D4C">
        <w:rPr>
          <w:rFonts w:hint="cs"/>
          <w:b w:val="0"/>
          <w:bCs w:val="0"/>
          <w:sz w:val="26"/>
          <w:szCs w:val="26"/>
          <w:u w:val="none"/>
          <w:rtl/>
        </w:rPr>
        <w:t>ב"כ</w:t>
      </w:r>
      <w:bookmarkEnd w:id="2"/>
      <w:r w:rsidRPr="00AD5D4C">
        <w:rPr>
          <w:rFonts w:hint="cs"/>
          <w:b w:val="0"/>
          <w:bCs w:val="0"/>
          <w:sz w:val="26"/>
          <w:szCs w:val="26"/>
          <w:u w:val="none"/>
          <w:rtl/>
        </w:rPr>
        <w:t xml:space="preserve"> המאשימה עו"ד רעות בן משה </w:t>
      </w:r>
    </w:p>
    <w:p w14:paraId="6044BD76" w14:textId="77777777" w:rsidR="007714AA" w:rsidRPr="00AD5D4C" w:rsidRDefault="00AD5D4C">
      <w:pPr>
        <w:pStyle w:val="12"/>
        <w:rPr>
          <w:b w:val="0"/>
          <w:bCs w:val="0"/>
          <w:sz w:val="26"/>
          <w:szCs w:val="26"/>
          <w:u w:val="none"/>
          <w:rtl/>
        </w:rPr>
      </w:pPr>
      <w:r w:rsidRPr="00AD5D4C">
        <w:rPr>
          <w:rFonts w:hint="cs"/>
          <w:b w:val="0"/>
          <w:bCs w:val="0"/>
          <w:sz w:val="26"/>
          <w:szCs w:val="26"/>
          <w:u w:val="none"/>
          <w:rtl/>
        </w:rPr>
        <w:t>הנאשם בעצמו</w:t>
      </w:r>
    </w:p>
    <w:p w14:paraId="482534C7" w14:textId="77777777" w:rsidR="007714AA" w:rsidRPr="00AD5D4C" w:rsidRDefault="00AD5D4C">
      <w:pPr>
        <w:pStyle w:val="12"/>
        <w:rPr>
          <w:b w:val="0"/>
          <w:bCs w:val="0"/>
          <w:sz w:val="26"/>
          <w:szCs w:val="26"/>
          <w:u w:val="none"/>
          <w:rtl/>
        </w:rPr>
      </w:pPr>
      <w:r w:rsidRPr="00AD5D4C">
        <w:rPr>
          <w:rFonts w:hint="cs"/>
          <w:b w:val="0"/>
          <w:bCs w:val="0"/>
          <w:sz w:val="26"/>
          <w:szCs w:val="26"/>
          <w:u w:val="none"/>
          <w:rtl/>
        </w:rPr>
        <w:t>ב"כ  הנאשם עו"ד ירון פורר</w:t>
      </w:r>
    </w:p>
    <w:p w14:paraId="5666991F" w14:textId="77777777" w:rsidR="007714AA" w:rsidRPr="00AD5D4C" w:rsidRDefault="007714AA">
      <w:pPr>
        <w:pStyle w:val="12"/>
        <w:rPr>
          <w:b w:val="0"/>
          <w:bCs w:val="0"/>
          <w:u w:val="none"/>
          <w:rtl/>
        </w:rPr>
      </w:pPr>
    </w:p>
    <w:p w14:paraId="390D2A81" w14:textId="77777777" w:rsidR="00BD5FA9" w:rsidRPr="00BD5FA9" w:rsidRDefault="00BD5FA9" w:rsidP="00BD5FA9">
      <w:pPr>
        <w:spacing w:after="120" w:line="240" w:lineRule="exact"/>
        <w:ind w:left="283" w:hanging="283"/>
        <w:jc w:val="both"/>
        <w:rPr>
          <w:rFonts w:ascii="FrankRuehl" w:hAnsi="FrankRuehl" w:cs="FrankRuehl"/>
          <w:color w:val="FF0000"/>
          <w:rtl/>
        </w:rPr>
      </w:pPr>
      <w:bookmarkStart w:id="3" w:name="LawTable"/>
      <w:r w:rsidRPr="00BD5FA9">
        <w:rPr>
          <w:rFonts w:ascii="FrankRuehl" w:hAnsi="FrankRuehl" w:cs="FrankRuehl"/>
          <w:color w:val="FF0000"/>
          <w:rtl/>
        </w:rPr>
        <w:t xml:space="preserve">חקיקה שאוזכרה: </w:t>
      </w:r>
    </w:p>
    <w:p w14:paraId="49247473" w14:textId="77777777" w:rsidR="00BD5FA9" w:rsidRPr="00BD5FA9" w:rsidRDefault="00BD5FA9" w:rsidP="00BD5FA9">
      <w:pPr>
        <w:spacing w:after="120" w:line="240" w:lineRule="exact"/>
        <w:ind w:left="283" w:hanging="283"/>
        <w:jc w:val="both"/>
        <w:rPr>
          <w:rFonts w:ascii="FrankRuehl" w:hAnsi="FrankRuehl" w:cs="FrankRuehl"/>
          <w:rtl/>
        </w:rPr>
      </w:pPr>
      <w:hyperlink r:id="rId6" w:history="1">
        <w:r w:rsidRPr="00BD5FA9">
          <w:rPr>
            <w:rFonts w:ascii="FrankRuehl" w:hAnsi="FrankRuehl" w:cs="FrankRuehl"/>
            <w:color w:val="0000FF"/>
            <w:u w:val="single"/>
            <w:rtl/>
          </w:rPr>
          <w:t>חוק העונשין, תשל"ז-1977</w:t>
        </w:r>
      </w:hyperlink>
      <w:r w:rsidRPr="00BD5FA9">
        <w:rPr>
          <w:rFonts w:ascii="FrankRuehl" w:hAnsi="FrankRuehl" w:cs="FrankRuehl"/>
          <w:rtl/>
        </w:rPr>
        <w:t xml:space="preserve">: סע'  </w:t>
      </w:r>
      <w:hyperlink r:id="rId7" w:history="1">
        <w:r w:rsidRPr="00BD5FA9">
          <w:rPr>
            <w:rFonts w:ascii="FrankRuehl" w:hAnsi="FrankRuehl" w:cs="FrankRuehl"/>
            <w:color w:val="0000FF"/>
            <w:u w:val="single"/>
            <w:rtl/>
          </w:rPr>
          <w:t>40ד'</w:t>
        </w:r>
      </w:hyperlink>
    </w:p>
    <w:p w14:paraId="16943499" w14:textId="77777777" w:rsidR="00BD5FA9" w:rsidRPr="00BD5FA9" w:rsidRDefault="00BD5FA9" w:rsidP="00BD5FA9">
      <w:pPr>
        <w:spacing w:after="120" w:line="240" w:lineRule="exact"/>
        <w:ind w:left="283" w:hanging="283"/>
        <w:jc w:val="both"/>
        <w:rPr>
          <w:rFonts w:ascii="FrankRuehl" w:hAnsi="FrankRuehl" w:cs="FrankRuehl"/>
          <w:rtl/>
        </w:rPr>
      </w:pPr>
      <w:hyperlink r:id="rId8" w:history="1">
        <w:r w:rsidRPr="00BD5FA9">
          <w:rPr>
            <w:rFonts w:ascii="FrankRuehl" w:hAnsi="FrankRuehl" w:cs="FrankRuehl"/>
            <w:color w:val="0000FF"/>
            <w:u w:val="single"/>
            <w:rtl/>
          </w:rPr>
          <w:t>פקודת הסמים המסוכנים [נוסח חדש], תשל"ג-1973</w:t>
        </w:r>
      </w:hyperlink>
      <w:r w:rsidRPr="00BD5FA9">
        <w:rPr>
          <w:rFonts w:ascii="FrankRuehl" w:hAnsi="FrankRuehl" w:cs="FrankRuehl"/>
          <w:rtl/>
        </w:rPr>
        <w:t xml:space="preserve">: סע'  </w:t>
      </w:r>
      <w:hyperlink r:id="rId9" w:history="1">
        <w:r w:rsidRPr="00BD5FA9">
          <w:rPr>
            <w:rFonts w:ascii="FrankRuehl" w:hAnsi="FrankRuehl" w:cs="FrankRuehl"/>
            <w:color w:val="0000FF"/>
            <w:u w:val="single"/>
            <w:rtl/>
          </w:rPr>
          <w:t>13</w:t>
        </w:r>
      </w:hyperlink>
    </w:p>
    <w:p w14:paraId="4EB29CBC" w14:textId="77777777" w:rsidR="00BD5FA9" w:rsidRPr="00BD5FA9" w:rsidRDefault="00BD5FA9">
      <w:pPr>
        <w:spacing w:line="360" w:lineRule="auto"/>
        <w:jc w:val="center"/>
        <w:rPr>
          <w:rFonts w:ascii="Arial" w:hAnsi="Arial"/>
          <w:b/>
          <w:color w:val="FF0000"/>
          <w:sz w:val="28"/>
          <w:rtl/>
        </w:rPr>
      </w:pPr>
    </w:p>
    <w:bookmarkEnd w:id="3"/>
    <w:p w14:paraId="3533B941" w14:textId="77777777" w:rsidR="007714AA" w:rsidRPr="00AD5D4C" w:rsidRDefault="00AD5D4C">
      <w:pPr>
        <w:spacing w:line="360" w:lineRule="auto"/>
        <w:jc w:val="center"/>
        <w:rPr>
          <w:rFonts w:ascii="Arial" w:hAnsi="Arial"/>
          <w:b/>
          <w:bCs/>
          <w:sz w:val="28"/>
          <w:szCs w:val="28"/>
          <w:rtl/>
        </w:rPr>
      </w:pPr>
      <w:r w:rsidRPr="00AD5D4C">
        <w:rPr>
          <w:rFonts w:ascii="Arial" w:hAnsi="Arial"/>
          <w:b/>
          <w:color w:val="FF0000"/>
          <w:sz w:val="28"/>
          <w:rtl/>
        </w:rPr>
        <w:t>במסמך זה הושמטו פרוטוקולים</w:t>
      </w:r>
    </w:p>
    <w:p w14:paraId="1C56CE1A" w14:textId="77777777" w:rsidR="00AD5D4C" w:rsidRPr="00AD5D4C" w:rsidRDefault="00AD5D4C">
      <w:pPr>
        <w:spacing w:line="360" w:lineRule="auto"/>
        <w:jc w:val="center"/>
        <w:rPr>
          <w:rFonts w:ascii="Arial" w:hAnsi="Arial"/>
          <w:b/>
          <w:bCs/>
          <w:sz w:val="28"/>
          <w:szCs w:val="28"/>
          <w:rtl/>
        </w:rPr>
      </w:pPr>
    </w:p>
    <w:p w14:paraId="492D8CF8" w14:textId="77777777" w:rsidR="00AD5D4C" w:rsidRPr="00AD5D4C" w:rsidRDefault="00AD5D4C" w:rsidP="00AD5D4C">
      <w:pPr>
        <w:spacing w:line="360" w:lineRule="auto"/>
        <w:jc w:val="center"/>
        <w:rPr>
          <w:rFonts w:ascii="Arial" w:hAnsi="Arial"/>
          <w:b/>
          <w:bCs/>
          <w:sz w:val="28"/>
          <w:szCs w:val="28"/>
          <w:u w:val="single"/>
          <w:rtl/>
        </w:rPr>
      </w:pPr>
      <w:bookmarkStart w:id="4" w:name="PsakDin"/>
      <w:bookmarkEnd w:id="0"/>
      <w:r w:rsidRPr="00AD5D4C">
        <w:rPr>
          <w:rFonts w:ascii="Arial" w:hAnsi="Arial"/>
          <w:b/>
          <w:bCs/>
          <w:sz w:val="28"/>
          <w:szCs w:val="28"/>
          <w:u w:val="single"/>
          <w:rtl/>
        </w:rPr>
        <w:t>גזר דין</w:t>
      </w:r>
    </w:p>
    <w:p w14:paraId="7385D18B" w14:textId="77777777" w:rsidR="007714AA" w:rsidRDefault="00AD5D4C">
      <w:pPr>
        <w:spacing w:line="360" w:lineRule="auto"/>
        <w:jc w:val="both"/>
        <w:rPr>
          <w:rFonts w:ascii="Arial" w:hAnsi="Arial"/>
          <w:rtl/>
        </w:rPr>
      </w:pPr>
      <w:bookmarkStart w:id="5" w:name="ABSTRACT_START"/>
      <w:bookmarkEnd w:id="4"/>
      <w:bookmarkEnd w:id="5"/>
      <w:r>
        <w:rPr>
          <w:rFonts w:ascii="Arial" w:hAnsi="Arial" w:hint="cs"/>
          <w:rtl/>
        </w:rPr>
        <w:t xml:space="preserve">הנאשם הורשע על פי הודאתו במסגרת הסדר טיעון בעבירה של אחזקת סם מסוכן מסוג חשיש במשקל כולל של למעלה מ500 גרם נטו שלא לצריכה עצמית. </w:t>
      </w:r>
    </w:p>
    <w:p w14:paraId="6FC4BE53" w14:textId="77777777" w:rsidR="007714AA" w:rsidRDefault="00AD5D4C">
      <w:pPr>
        <w:spacing w:line="360" w:lineRule="auto"/>
        <w:jc w:val="both"/>
        <w:rPr>
          <w:rFonts w:ascii="Arial" w:hAnsi="Arial"/>
          <w:rtl/>
        </w:rPr>
      </w:pPr>
      <w:bookmarkStart w:id="6" w:name="ABSTRACT_END"/>
      <w:bookmarkEnd w:id="6"/>
      <w:r>
        <w:rPr>
          <w:rFonts w:ascii="Arial" w:hAnsi="Arial" w:hint="cs"/>
          <w:rtl/>
        </w:rPr>
        <w:t>על פי הסדר הטיעון הופנה הנאשם לקבלת תסקיר שירות המבחן ולקבלת חוות דעת הממונה על עבודות שירות כשהמאשימה הצהירה שעמדתה למאסר בפועל שאפשר שירוצה בעבודות שירות, מאסר מותנה, קנס ופסילת רשיון נהיגה, וההגנה חופשית בטיעוניה.</w:t>
      </w:r>
    </w:p>
    <w:p w14:paraId="69C667AB" w14:textId="77777777" w:rsidR="007714AA" w:rsidRDefault="00AD5D4C">
      <w:pPr>
        <w:spacing w:line="360" w:lineRule="auto"/>
        <w:jc w:val="both"/>
        <w:rPr>
          <w:rFonts w:ascii="Arial" w:hAnsi="Arial"/>
          <w:rtl/>
        </w:rPr>
      </w:pPr>
      <w:r>
        <w:rPr>
          <w:rFonts w:ascii="Arial" w:hAnsi="Arial" w:hint="cs"/>
          <w:rtl/>
        </w:rPr>
        <w:t xml:space="preserve">לקראת ישיבת היום התקבל תסקיר שירות המבחן ממנו עלו כמה עובדות החשובות לענייננו. האחת, אף שהנאשם שירת שירות צבאי מלא, שירותו הצבאי אופיין בחוסר יציבות בתפקידים שמילא והוא אף ריצה במהלך שירותו הצבאי מספר מאסרים. אף כי צויין, שהשקיע מאמצים רבים על מנת לסיים שירות צבאי מלא. עוד ניתן ללמוד שלאורך השנים התקשה הנאשם לשמו על יציבות תעסוקתית על רקע מצב בריאותי לקוי שלדבריו פגע ביכולותיו התפקודיות. </w:t>
      </w:r>
    </w:p>
    <w:p w14:paraId="7B83EC26" w14:textId="77777777" w:rsidR="007714AA" w:rsidRDefault="00AD5D4C">
      <w:pPr>
        <w:spacing w:line="360" w:lineRule="auto"/>
        <w:jc w:val="both"/>
        <w:rPr>
          <w:rFonts w:ascii="Arial" w:hAnsi="Arial"/>
          <w:rtl/>
        </w:rPr>
      </w:pPr>
      <w:r>
        <w:rPr>
          <w:rFonts w:ascii="Arial" w:hAnsi="Arial" w:hint="cs"/>
          <w:rtl/>
        </w:rPr>
        <w:t xml:space="preserve">אף שהנאשם שיתף את שירות המבחן כי הוא ער לדפוסים הבעייתיים בהתנהגותו, לא הביע כל נזקקות טיפולית אף שלדעת שירות המבחן ניתן להבין שראוי היה שהנאשם ישולב בהליך טיפולי. </w:t>
      </w:r>
    </w:p>
    <w:p w14:paraId="0F0776A1" w14:textId="77777777" w:rsidR="007714AA" w:rsidRDefault="00AD5D4C">
      <w:pPr>
        <w:spacing w:line="360" w:lineRule="auto"/>
        <w:jc w:val="both"/>
        <w:rPr>
          <w:rFonts w:ascii="Arial" w:hAnsi="Arial"/>
          <w:rtl/>
        </w:rPr>
      </w:pPr>
      <w:r>
        <w:rPr>
          <w:rFonts w:ascii="Arial" w:hAnsi="Arial" w:hint="cs"/>
          <w:rtl/>
        </w:rPr>
        <w:lastRenderedPageBreak/>
        <w:t xml:space="preserve">כמו כן, עולה מהתסקיר שהנאשם לאורך השנים השתמש בסם מסוכן שלטענתו סייע לו לטפל במכאוביו, לאחר שהטיפולים הרפואיים לא סייעו לו, אך לטענתו בעקבות הטלטלה שעבר כתוצאה ממעצרו בגין העבירה נשוא דיוננו, הפסיק את השימוש בסמים. </w:t>
      </w:r>
    </w:p>
    <w:p w14:paraId="2C5EA5AD" w14:textId="77777777" w:rsidR="007714AA" w:rsidRDefault="00AD5D4C">
      <w:pPr>
        <w:spacing w:line="360" w:lineRule="auto"/>
        <w:jc w:val="both"/>
        <w:rPr>
          <w:rFonts w:ascii="Arial" w:hAnsi="Arial"/>
          <w:rtl/>
        </w:rPr>
      </w:pPr>
      <w:r>
        <w:rPr>
          <w:rFonts w:ascii="Arial" w:hAnsi="Arial" w:hint="cs"/>
          <w:rtl/>
        </w:rPr>
        <w:t xml:space="preserve">לאור זאת, לא בא שירות המבחן בהמלצה טיפולית בעניינו, אך לדעת שירות המבחן חרף חומרת העבירה, מאחר שמדובר בנאשם בן 35, נעדר הרשעות קודמות או תיקי מב"ד נוספים ובהתחשב בנסיבותיו האישיות הקשות ובעיותיו הבריאותיות, כשכיום הוא עורך מאמצים להמנע משימוש בסמים ולתפקד באופן חיובי גם במישור התעסוקתי לאחר שלפני כחודשיים החל לעבוד בתחום האינסטלציה, המליץ שירות המבחן שלא להטיל על הנאשם עונש של מאסר אף לא לריצוי בעבודות שירות, ולהטיל עליו צו של"צ בהיקף רחב של 350 שעות שבמהלך ביצועו של צו השל"צ יידרש למסור בדיקות שתן לאיתור סמים. </w:t>
      </w:r>
    </w:p>
    <w:p w14:paraId="4606B79D" w14:textId="77777777" w:rsidR="007714AA" w:rsidRDefault="00AD5D4C">
      <w:pPr>
        <w:spacing w:line="360" w:lineRule="auto"/>
        <w:jc w:val="both"/>
        <w:rPr>
          <w:rFonts w:ascii="Arial" w:hAnsi="Arial"/>
          <w:rtl/>
        </w:rPr>
      </w:pPr>
      <w:r>
        <w:rPr>
          <w:rFonts w:ascii="Arial" w:hAnsi="Arial" w:hint="cs"/>
          <w:rtl/>
        </w:rPr>
        <w:t xml:space="preserve">חרף המלצת שירות המבחן עמדה המאשימה על עתירתה המקורית לפיה יש להטיל על הנאשם עונש של מאסר בפועל ברף הנמוך של מתחם הענישה, הנע בין שישה חודשים לריצוי בעבודות שירות לשנים עשר חודשי מאסר בפועל, זאת לאור הערכים המוגנים שנפגעו כתוצאה ממעשיו הכוללים פגיעה בשלומו של הציבור ובצורך להלחם בנגע הסמים. </w:t>
      </w:r>
    </w:p>
    <w:p w14:paraId="0ABECCBE" w14:textId="77777777" w:rsidR="007714AA" w:rsidRDefault="00AD5D4C">
      <w:pPr>
        <w:spacing w:line="360" w:lineRule="auto"/>
        <w:jc w:val="both"/>
        <w:rPr>
          <w:rFonts w:ascii="Arial" w:hAnsi="Arial"/>
          <w:rtl/>
        </w:rPr>
      </w:pPr>
      <w:r>
        <w:rPr>
          <w:rFonts w:ascii="Arial" w:hAnsi="Arial" w:hint="cs"/>
          <w:rtl/>
        </w:rPr>
        <w:t xml:space="preserve">את האמור בתסקיר שירות המבחן, והנסיבות המקלות, ביקשה לקחת בחשבון בתוך מתחם הענישה כאמור, ובאופן המוביל לרף הנמוך שבו, קרי שישה חודשי מאסר לריצוי בעבודות שירות, מאסר על תנאי, קנס, ופסילה על תנאי לאור בדיקות השתן הנקיות שמסר. </w:t>
      </w:r>
    </w:p>
    <w:p w14:paraId="54C14C2B" w14:textId="77777777" w:rsidR="007714AA" w:rsidRDefault="00AD5D4C">
      <w:pPr>
        <w:spacing w:line="360" w:lineRule="auto"/>
        <w:jc w:val="both"/>
        <w:rPr>
          <w:rFonts w:ascii="Arial" w:hAnsi="Arial"/>
          <w:rtl/>
        </w:rPr>
      </w:pPr>
      <w:r>
        <w:rPr>
          <w:rFonts w:ascii="Arial" w:hAnsi="Arial" w:hint="cs"/>
          <w:rtl/>
        </w:rPr>
        <w:t xml:space="preserve">ב"כ הנאשם בטיעוניו קבל על כך שבא כוח המאשימה הגדירה את תקופת המאסר בפועל שלטענתו בהתאם להסדר אליו הגיעו לשאלת אורך תקופת המאסר לריצוי בעבודות שירות בעתירת המאשימה אמור להישאר לשיקול דעת בית המשפט. בכל מקרה טען כי בהתחשב בעברו הנקי של הנאשם, באמור בתסקיר בו ביקש לראות תסקיר חיובי ביותר, כשאין המדובר באדם בעל דפוסים עבריינים, ראוי לקבל את המלצת שירות המבחן כשעצם העמדת הנאשם לדין המעצר וההליך הפלילי היו טראומטיים עבורו והובילו אותו להפסיק כל שימוש בסמים. </w:t>
      </w:r>
    </w:p>
    <w:p w14:paraId="169401D6" w14:textId="77777777" w:rsidR="007714AA" w:rsidRDefault="00AD5D4C">
      <w:pPr>
        <w:spacing w:line="360" w:lineRule="auto"/>
        <w:jc w:val="both"/>
        <w:rPr>
          <w:rFonts w:ascii="Arial" w:hAnsi="Arial"/>
          <w:rtl/>
        </w:rPr>
      </w:pPr>
      <w:r>
        <w:rPr>
          <w:rFonts w:ascii="Arial" w:hAnsi="Arial" w:hint="cs"/>
          <w:rtl/>
        </w:rPr>
        <w:t>מדובר בכמות סם לא קטנה, גם אם טען בא כוח הנאשם כי הודאת הנאשם שהסם הוחזק על ידו שלא לצריכה עצמית נבעה מהחזקה שבחוק  הרי שכאמור חזקה זו לא הופרכה מכאן שיש להתייחס להודאתו ולכמות הסם שהוחזקה על ידו כאל כמות סם שהוחזקה שלא לצריכה עצמית.</w:t>
      </w:r>
    </w:p>
    <w:p w14:paraId="47173E04" w14:textId="77777777" w:rsidR="007714AA" w:rsidRDefault="00AD5D4C">
      <w:pPr>
        <w:spacing w:line="360" w:lineRule="auto"/>
        <w:jc w:val="both"/>
        <w:rPr>
          <w:rFonts w:ascii="Arial" w:hAnsi="Arial"/>
          <w:rtl/>
        </w:rPr>
      </w:pPr>
      <w:r>
        <w:rPr>
          <w:rFonts w:ascii="Arial" w:hAnsi="Arial" w:hint="cs"/>
          <w:rtl/>
        </w:rPr>
        <w:t xml:space="preserve">מתחם העונש ההולם בנסיבות המקרה ועל פי מדיניות הענישה בהתחשב בערכים המוגנים שנפגעו נע בין מספר חודשים לריצוי בעבודות שירות לבין שנים עשר חודשי מאסר בפועל. </w:t>
      </w:r>
    </w:p>
    <w:p w14:paraId="61B30009" w14:textId="77777777" w:rsidR="007714AA" w:rsidRDefault="00AD5D4C">
      <w:pPr>
        <w:spacing w:line="360" w:lineRule="auto"/>
        <w:jc w:val="both"/>
        <w:rPr>
          <w:rFonts w:ascii="Arial" w:hAnsi="Arial"/>
          <w:rtl/>
        </w:rPr>
      </w:pPr>
      <w:r>
        <w:rPr>
          <w:rFonts w:ascii="Arial" w:hAnsi="Arial" w:hint="cs"/>
          <w:rtl/>
        </w:rPr>
        <w:t>על פי תיקון 113 ל</w:t>
      </w:r>
      <w:hyperlink r:id="rId10" w:history="1">
        <w:r w:rsidRPr="00AD5D4C">
          <w:rPr>
            <w:rFonts w:ascii="Arial" w:hAnsi="Arial"/>
            <w:color w:val="0000FF"/>
            <w:u w:val="single"/>
            <w:rtl/>
          </w:rPr>
          <w:t>חוק העונשין</w:t>
        </w:r>
      </w:hyperlink>
      <w:r>
        <w:rPr>
          <w:rFonts w:ascii="Arial" w:hAnsi="Arial" w:hint="cs"/>
          <w:rtl/>
        </w:rPr>
        <w:t xml:space="preserve"> ניתן לחרוג לקולא ממתחם הענישה רק בהתקיים הנסיבות של </w:t>
      </w:r>
      <w:hyperlink r:id="rId11" w:history="1">
        <w:r w:rsidR="00BD5FA9" w:rsidRPr="00BD5FA9">
          <w:rPr>
            <w:rFonts w:ascii="Arial" w:hAnsi="Arial"/>
            <w:color w:val="0000FF"/>
            <w:u w:val="single"/>
            <w:rtl/>
          </w:rPr>
          <w:t>סעיף 40ד'</w:t>
        </w:r>
      </w:hyperlink>
      <w:r>
        <w:rPr>
          <w:rFonts w:ascii="Arial" w:hAnsi="Arial" w:hint="cs"/>
          <w:rtl/>
        </w:rPr>
        <w:t xml:space="preserve"> רבתי לחוק העונשין, וכאלה על פי האמור בתסקיר לא הוכחו.</w:t>
      </w:r>
    </w:p>
    <w:p w14:paraId="2B153848" w14:textId="77777777" w:rsidR="007714AA" w:rsidRDefault="00AD5D4C">
      <w:pPr>
        <w:spacing w:line="360" w:lineRule="auto"/>
        <w:jc w:val="both"/>
        <w:rPr>
          <w:rFonts w:ascii="Arial" w:hAnsi="Arial"/>
          <w:rtl/>
        </w:rPr>
      </w:pPr>
      <w:r>
        <w:rPr>
          <w:rFonts w:ascii="Arial" w:hAnsi="Arial" w:hint="cs"/>
          <w:rtl/>
        </w:rPr>
        <w:t>לאור כל האמור לעיל, העונש שיוטל על הנאשם יהיה בתוך מתחם העונש ההולם כאשר לגבי אורך תקופת המאסר לריצוי בעבודות שירות יילקחו בחשבון נסיבותיו האישיות של הנאשם כפי שהן עלו בהרחבה בתסקיר, שלא ניתן להגדירה באופן חד משמעי כתסקיר חיובי ביותר ונטענו על ידי בא כוחו.</w:t>
      </w:r>
    </w:p>
    <w:p w14:paraId="681CE1EB" w14:textId="77777777" w:rsidR="007714AA" w:rsidRDefault="00AD5D4C">
      <w:pPr>
        <w:spacing w:line="360" w:lineRule="auto"/>
        <w:jc w:val="both"/>
        <w:rPr>
          <w:rFonts w:ascii="Arial" w:hAnsi="Arial"/>
          <w:rtl/>
        </w:rPr>
      </w:pPr>
      <w:r>
        <w:rPr>
          <w:rFonts w:ascii="Arial" w:hAnsi="Arial" w:hint="cs"/>
          <w:rtl/>
        </w:rPr>
        <w:t>לאור כל האמור לעיל, בשוקלי את נסיבות המקרה ואת טיעוני הצדדים אני מטילה על הנאשם את העונשים כדלקמן:</w:t>
      </w:r>
    </w:p>
    <w:p w14:paraId="3713E451" w14:textId="77777777" w:rsidR="007714AA" w:rsidRDefault="00AD5D4C">
      <w:pPr>
        <w:spacing w:line="360" w:lineRule="auto"/>
        <w:jc w:val="both"/>
        <w:rPr>
          <w:rFonts w:ascii="Arial" w:hAnsi="Arial"/>
          <w:rtl/>
        </w:rPr>
      </w:pPr>
      <w:r>
        <w:rPr>
          <w:rFonts w:ascii="Arial" w:hAnsi="Arial" w:hint="cs"/>
          <w:rtl/>
        </w:rPr>
        <w:lastRenderedPageBreak/>
        <w:t xml:space="preserve">1. מאסר בפועל למשך 4 חודשים לריצוי בעבודות שירות במסגרת בית אבות 'משען' חולון, בהיקף של חמישה ימים בשבוע, 8 וחצי שעות עבודה יומיות. </w:t>
      </w:r>
    </w:p>
    <w:p w14:paraId="112AB924" w14:textId="77777777" w:rsidR="007714AA" w:rsidRDefault="00AD5D4C">
      <w:pPr>
        <w:spacing w:line="360" w:lineRule="auto"/>
        <w:jc w:val="both"/>
        <w:rPr>
          <w:rFonts w:ascii="Arial" w:hAnsi="Arial"/>
          <w:rtl/>
        </w:rPr>
      </w:pPr>
      <w:r>
        <w:rPr>
          <w:rFonts w:ascii="Arial" w:hAnsi="Arial" w:hint="cs"/>
          <w:rtl/>
        </w:rPr>
        <w:t>תחילת ריצוי עבודות השירות בתאריך 17.3.14, במועד זה יתייצב הנאשם בשעה 08:00 במשרדי הממונה על עבודות שירות במפקדת מחוז מרכז לצורך קליטה והצבה.</w:t>
      </w:r>
    </w:p>
    <w:p w14:paraId="2F0D5905" w14:textId="77777777" w:rsidR="007714AA" w:rsidRDefault="00AD5D4C">
      <w:pPr>
        <w:spacing w:line="360" w:lineRule="auto"/>
        <w:jc w:val="both"/>
        <w:rPr>
          <w:rFonts w:ascii="Arial" w:hAnsi="Arial"/>
          <w:rtl/>
        </w:rPr>
      </w:pPr>
      <w:r>
        <w:rPr>
          <w:rFonts w:ascii="Arial" w:hAnsi="Arial" w:hint="cs"/>
          <w:rtl/>
        </w:rPr>
        <w:t>מובהר לנאשם כי חלק מתנאי עבודות השירות הינן נקיונו מסמים וכי יהיה עליו לתת דגימות שתן לאיתור סמים ובמידה ותתגלה מעורבות פעילה בין בגילוי סם ובין בנסיון זיוף דגימת שתן, יהווה הדבר הפרה של עבודות השירות.</w:t>
      </w:r>
    </w:p>
    <w:p w14:paraId="2E1CDE79" w14:textId="77777777" w:rsidR="007714AA" w:rsidRDefault="00AD5D4C">
      <w:pPr>
        <w:spacing w:line="360" w:lineRule="auto"/>
        <w:jc w:val="both"/>
        <w:rPr>
          <w:rFonts w:ascii="Arial" w:hAnsi="Arial"/>
          <w:rtl/>
        </w:rPr>
      </w:pPr>
      <w:r>
        <w:rPr>
          <w:rFonts w:ascii="Arial" w:hAnsi="Arial" w:hint="cs"/>
          <w:rtl/>
        </w:rPr>
        <w:t>כמו כן, מובהר לנאשם כי מדובר בתנאי העסקה קפדניים ונוקשים וכל חריגה מכללים אלו יש בה כדי להפסיק את עבודות השירות וריצוי יתרת העונש במאסר בפועל.</w:t>
      </w:r>
    </w:p>
    <w:p w14:paraId="248F90A4" w14:textId="77777777" w:rsidR="007714AA" w:rsidRDefault="00AD5D4C">
      <w:pPr>
        <w:spacing w:line="360" w:lineRule="auto"/>
        <w:jc w:val="both"/>
        <w:rPr>
          <w:rFonts w:ascii="Arial" w:hAnsi="Arial"/>
          <w:rtl/>
        </w:rPr>
      </w:pPr>
      <w:r>
        <w:rPr>
          <w:rFonts w:ascii="Arial" w:hAnsi="Arial" w:hint="cs"/>
          <w:rtl/>
        </w:rPr>
        <w:t xml:space="preserve">2. מאסר על תנאי למשך שישה חודשים והתנאי הוא שהנאשם לא יעבור את העבירה בה הורשע או עבירה לפי </w:t>
      </w:r>
      <w:hyperlink r:id="rId12" w:history="1">
        <w:r w:rsidR="00BD5FA9" w:rsidRPr="00BD5FA9">
          <w:rPr>
            <w:rFonts w:ascii="Arial" w:hAnsi="Arial"/>
            <w:color w:val="0000FF"/>
            <w:u w:val="single"/>
            <w:rtl/>
          </w:rPr>
          <w:t>סעיף 13</w:t>
        </w:r>
      </w:hyperlink>
      <w:r>
        <w:rPr>
          <w:rFonts w:ascii="Arial" w:hAnsi="Arial" w:hint="cs"/>
          <w:rtl/>
        </w:rPr>
        <w:t xml:space="preserve"> ל</w:t>
      </w:r>
      <w:hyperlink r:id="rId13" w:history="1">
        <w:r w:rsidRPr="00AD5D4C">
          <w:rPr>
            <w:rFonts w:ascii="Arial" w:hAnsi="Arial"/>
            <w:color w:val="0000FF"/>
            <w:u w:val="single"/>
            <w:rtl/>
          </w:rPr>
          <w:t>פקודת הסמים המסוכנים</w:t>
        </w:r>
      </w:hyperlink>
      <w:r>
        <w:rPr>
          <w:rFonts w:ascii="Arial" w:hAnsi="Arial" w:hint="cs"/>
          <w:rtl/>
        </w:rPr>
        <w:t xml:space="preserve"> במשך 3 שנים מהיום.</w:t>
      </w:r>
    </w:p>
    <w:p w14:paraId="32AC9E66" w14:textId="77777777" w:rsidR="007714AA" w:rsidRDefault="00AD5D4C">
      <w:pPr>
        <w:spacing w:line="360" w:lineRule="auto"/>
        <w:jc w:val="both"/>
        <w:rPr>
          <w:rFonts w:ascii="Arial" w:hAnsi="Arial"/>
          <w:rtl/>
        </w:rPr>
      </w:pPr>
      <w:r>
        <w:rPr>
          <w:rFonts w:ascii="Arial" w:hAnsi="Arial" w:hint="cs"/>
          <w:rtl/>
        </w:rPr>
        <w:t xml:space="preserve">3. אני פוסלת את הנאשם מלקבל או להחזיר את רשיון נהיגה למשך שישה חודשים וזאת על תנאי שלא יעבור את העבירה בה הורשע או עבירה של שימוש בסם מסוכן תוך שלוש שנים מהיום. </w:t>
      </w:r>
    </w:p>
    <w:p w14:paraId="23457916" w14:textId="77777777" w:rsidR="007714AA" w:rsidRDefault="00AD5D4C">
      <w:pPr>
        <w:spacing w:line="360" w:lineRule="auto"/>
        <w:jc w:val="both"/>
        <w:rPr>
          <w:rFonts w:ascii="Arial" w:hAnsi="Arial"/>
          <w:rtl/>
        </w:rPr>
      </w:pPr>
      <w:r>
        <w:rPr>
          <w:rFonts w:ascii="Arial" w:hAnsi="Arial" w:hint="cs"/>
          <w:rtl/>
        </w:rPr>
        <w:t xml:space="preserve">4. הנאשם ישלם קנס בסך 1800 ₪ או 25 ימי מאסר תמורתו. </w:t>
      </w:r>
    </w:p>
    <w:p w14:paraId="3B430627" w14:textId="77777777" w:rsidR="007714AA" w:rsidRDefault="00AD5D4C">
      <w:pPr>
        <w:spacing w:line="360" w:lineRule="auto"/>
        <w:jc w:val="both"/>
        <w:rPr>
          <w:rFonts w:ascii="Arial" w:hAnsi="Arial"/>
          <w:rtl/>
        </w:rPr>
      </w:pPr>
      <w:r>
        <w:rPr>
          <w:rFonts w:ascii="Arial" w:hAnsi="Arial" w:hint="cs"/>
          <w:rtl/>
        </w:rPr>
        <w:t xml:space="preserve">הקנס ישולם בשישה תשלומים שווים ורציפים בסך 300 ₪ כל אחד החל מה1.8.14 ובכל ראשון בחודש שלאחריו. אי עמידה באחד התשלומים תביא לפרעון מיידי של הקנס כולו. </w:t>
      </w:r>
    </w:p>
    <w:p w14:paraId="154FD2BF" w14:textId="77777777" w:rsidR="007714AA" w:rsidRDefault="00AD5D4C">
      <w:pPr>
        <w:spacing w:line="360" w:lineRule="auto"/>
        <w:jc w:val="both"/>
        <w:rPr>
          <w:rFonts w:ascii="Arial" w:hAnsi="Arial"/>
          <w:rtl/>
        </w:rPr>
      </w:pPr>
      <w:r>
        <w:rPr>
          <w:rFonts w:ascii="Arial" w:hAnsi="Arial" w:hint="cs"/>
          <w:rtl/>
        </w:rPr>
        <w:t>הסמים יושמדו.</w:t>
      </w:r>
    </w:p>
    <w:p w14:paraId="3254B54A" w14:textId="77777777" w:rsidR="007714AA" w:rsidRDefault="00AD5D4C">
      <w:pPr>
        <w:spacing w:line="360" w:lineRule="auto"/>
        <w:jc w:val="both"/>
        <w:rPr>
          <w:rFonts w:ascii="Arial" w:hAnsi="Arial"/>
          <w:rtl/>
        </w:rPr>
      </w:pPr>
      <w:r>
        <w:rPr>
          <w:rFonts w:ascii="Arial" w:hAnsi="Arial" w:hint="cs"/>
          <w:rtl/>
        </w:rPr>
        <w:t xml:space="preserve">הכסף והמוצגים שנתפסו יוחזרו לבעלים, בהיעדר בעלים, יחולטו או יושמדו על פי החלטת הקצין הממונה. </w:t>
      </w:r>
    </w:p>
    <w:p w14:paraId="76BBB1CB" w14:textId="77777777" w:rsidR="007714AA" w:rsidRDefault="00AD5D4C">
      <w:pPr>
        <w:spacing w:line="360" w:lineRule="auto"/>
        <w:jc w:val="both"/>
        <w:rPr>
          <w:rFonts w:ascii="Arial" w:hAnsi="Arial"/>
          <w:rtl/>
        </w:rPr>
      </w:pPr>
      <w:r>
        <w:rPr>
          <w:rFonts w:ascii="Arial" w:hAnsi="Arial" w:hint="cs"/>
          <w:rtl/>
        </w:rPr>
        <w:t>זכות ערעור בתוך 45 יום מהיום.</w:t>
      </w:r>
    </w:p>
    <w:p w14:paraId="19A0B7C1" w14:textId="77777777" w:rsidR="007714AA" w:rsidRDefault="007714AA">
      <w:pPr>
        <w:spacing w:line="360" w:lineRule="auto"/>
        <w:jc w:val="both"/>
        <w:rPr>
          <w:rFonts w:ascii="Arial" w:hAnsi="Arial"/>
          <w:rtl/>
        </w:rPr>
      </w:pPr>
    </w:p>
    <w:p w14:paraId="45B61618" w14:textId="77777777" w:rsidR="007714AA" w:rsidRDefault="00AD5D4C">
      <w:pPr>
        <w:spacing w:line="360" w:lineRule="auto"/>
        <w:jc w:val="both"/>
        <w:rPr>
          <w:rFonts w:ascii="Arial" w:hAnsi="Arial"/>
          <w:sz w:val="6"/>
          <w:szCs w:val="6"/>
          <w:rtl/>
        </w:rPr>
      </w:pPr>
      <w:r>
        <w:rPr>
          <w:rFonts w:ascii="Arial" w:hAnsi="Arial"/>
          <w:sz w:val="6"/>
          <w:szCs w:val="6"/>
          <w:rtl/>
        </w:rPr>
        <w:t>&lt;#7#&gt;</w:t>
      </w:r>
    </w:p>
    <w:p w14:paraId="757A6C49" w14:textId="77777777" w:rsidR="007714AA" w:rsidRDefault="007714AA">
      <w:pPr>
        <w:jc w:val="right"/>
        <w:rPr>
          <w:rtl/>
        </w:rPr>
      </w:pPr>
    </w:p>
    <w:p w14:paraId="749916FD" w14:textId="77777777" w:rsidR="007714AA" w:rsidRDefault="00AD5D4C">
      <w:pPr>
        <w:jc w:val="center"/>
        <w:rPr>
          <w:rtl/>
        </w:rPr>
      </w:pPr>
      <w:r>
        <w:rPr>
          <w:b/>
          <w:bCs/>
          <w:rtl/>
        </w:rPr>
        <w:t xml:space="preserve">ניתנה והודעה היום כ"ד אדר תשע"ד, 24/02/2014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714AA" w14:paraId="026D122D" w14:textId="77777777">
        <w:trPr>
          <w:trHeight w:val="364"/>
          <w:jc w:val="right"/>
        </w:trPr>
        <w:tc>
          <w:tcPr>
            <w:tcW w:w="3708" w:type="dxa"/>
          </w:tcPr>
          <w:p w14:paraId="3013EC76" w14:textId="77777777" w:rsidR="007714AA" w:rsidRDefault="007714AA">
            <w:pPr>
              <w:jc w:val="center"/>
              <w:rPr>
                <w:rFonts w:ascii="Times New Roman" w:eastAsia="Times New Roman" w:hAnsi="Times New Roman" w:cs="Times New Roman"/>
              </w:rPr>
            </w:pPr>
          </w:p>
          <w:p w14:paraId="07632AC9" w14:textId="77777777" w:rsidR="007714AA" w:rsidRDefault="007714AA">
            <w:pPr>
              <w:jc w:val="center"/>
              <w:rPr>
                <w:rFonts w:ascii="Times New Roman" w:eastAsia="Times New Roman" w:hAnsi="Times New Roman" w:cs="Times New Roman"/>
                <w:rtl/>
              </w:rPr>
            </w:pPr>
          </w:p>
        </w:tc>
      </w:tr>
      <w:tr w:rsidR="007714AA" w14:paraId="30D594FB" w14:textId="77777777">
        <w:trPr>
          <w:trHeight w:val="415"/>
          <w:jc w:val="right"/>
        </w:trPr>
        <w:tc>
          <w:tcPr>
            <w:tcW w:w="3708" w:type="dxa"/>
          </w:tcPr>
          <w:p w14:paraId="2D5F01D2" w14:textId="77777777" w:rsidR="007714AA" w:rsidRDefault="00AD5D4C">
            <w:pPr>
              <w:jc w:val="center"/>
              <w:rPr>
                <w:rFonts w:ascii="Times New Roman" w:eastAsia="Times New Roman" w:hAnsi="Times New Roman"/>
                <w:b/>
                <w:bCs/>
                <w:rtl/>
              </w:rPr>
            </w:pPr>
            <w:r>
              <w:rPr>
                <w:rFonts w:ascii="Times New Roman" w:eastAsia="Times New Roman" w:hAnsi="Times New Roman" w:hint="cs"/>
                <w:rtl/>
              </w:rPr>
              <w:t>הדסה</w:t>
            </w:r>
            <w:r>
              <w:rPr>
                <w:rFonts w:ascii="Times New Roman" w:eastAsia="Times New Roman" w:hAnsi="Times New Roman" w:hint="cs"/>
                <w:b/>
                <w:bCs/>
                <w:rtl/>
              </w:rPr>
              <w:t xml:space="preserve"> </w:t>
            </w:r>
            <w:r>
              <w:rPr>
                <w:rFonts w:ascii="Times New Roman" w:eastAsia="Times New Roman" w:hAnsi="Times New Roman" w:hint="cs"/>
                <w:rtl/>
              </w:rPr>
              <w:t>נאור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0CC13ACD" w14:textId="77777777" w:rsidR="007714AA" w:rsidRDefault="007714AA">
      <w:pPr>
        <w:jc w:val="right"/>
        <w:rPr>
          <w:rtl/>
        </w:rPr>
      </w:pPr>
    </w:p>
    <w:p w14:paraId="6BF9873D" w14:textId="77777777" w:rsidR="007714AA" w:rsidRPr="00AD5D4C" w:rsidRDefault="00AD5D4C">
      <w:pPr>
        <w:jc w:val="center"/>
        <w:rPr>
          <w:color w:val="FFFFFF"/>
          <w:sz w:val="2"/>
          <w:szCs w:val="2"/>
          <w:rtl/>
        </w:rPr>
      </w:pPr>
      <w:r w:rsidRPr="00AD5D4C">
        <w:rPr>
          <w:color w:val="FFFFFF"/>
          <w:sz w:val="2"/>
          <w:szCs w:val="2"/>
          <w:rtl/>
        </w:rPr>
        <w:t>5129371</w:t>
      </w:r>
    </w:p>
    <w:p w14:paraId="5EC614E9" w14:textId="77777777" w:rsidR="007714AA" w:rsidRPr="00AD5D4C" w:rsidRDefault="00AD5D4C">
      <w:pPr>
        <w:spacing w:line="360" w:lineRule="auto"/>
        <w:jc w:val="center"/>
        <w:rPr>
          <w:color w:val="FFFFFF"/>
          <w:sz w:val="2"/>
          <w:szCs w:val="2"/>
          <w:rtl/>
        </w:rPr>
      </w:pPr>
      <w:r w:rsidRPr="00AD5D4C">
        <w:rPr>
          <w:color w:val="FFFFFF"/>
          <w:sz w:val="2"/>
          <w:szCs w:val="2"/>
          <w:rtl/>
        </w:rPr>
        <w:t>54678313</w:t>
      </w:r>
    </w:p>
    <w:p w14:paraId="701D2242" w14:textId="77777777" w:rsidR="007714AA" w:rsidRDefault="00AD5D4C">
      <w:pPr>
        <w:spacing w:line="360" w:lineRule="auto"/>
        <w:jc w:val="both"/>
        <w:rPr>
          <w:rtl/>
        </w:rPr>
      </w:pPr>
      <w:bookmarkStart w:id="7" w:name="_GoBack"/>
      <w:r>
        <w:rPr>
          <w:rtl/>
        </w:rPr>
        <w:t xml:space="preserve"> </w:t>
      </w:r>
      <w:bookmarkEnd w:id="7"/>
    </w:p>
    <w:p w14:paraId="28B8223B" w14:textId="77777777" w:rsidR="007714AA" w:rsidRDefault="007714AA">
      <w:pPr>
        <w:spacing w:line="360" w:lineRule="auto"/>
        <w:jc w:val="both"/>
        <w:rPr>
          <w:rFonts w:ascii="Arial" w:hAnsi="Arial"/>
        </w:rPr>
      </w:pPr>
    </w:p>
    <w:p w14:paraId="3B060CC6" w14:textId="77777777" w:rsidR="007714AA" w:rsidRDefault="007714AA">
      <w:pPr>
        <w:spacing w:line="360" w:lineRule="auto"/>
        <w:jc w:val="center"/>
        <w:rPr>
          <w:rtl/>
        </w:rPr>
      </w:pPr>
    </w:p>
    <w:p w14:paraId="7224CB83" w14:textId="77777777" w:rsidR="007714AA" w:rsidRDefault="00AD5D4C">
      <w:pPr>
        <w:spacing w:line="360" w:lineRule="auto"/>
        <w:jc w:val="both"/>
        <w:rPr>
          <w:rtl/>
        </w:rPr>
      </w:pPr>
      <w:r>
        <w:rPr>
          <w:rtl/>
        </w:rPr>
        <w:t xml:space="preserve"> </w:t>
      </w:r>
    </w:p>
    <w:p w14:paraId="08A05AA7" w14:textId="77777777" w:rsidR="00AD5D4C" w:rsidRPr="00AD5D4C" w:rsidRDefault="00AD5D4C" w:rsidP="00AD5D4C">
      <w:pPr>
        <w:keepNext/>
        <w:rPr>
          <w:color w:val="000000"/>
          <w:sz w:val="22"/>
          <w:szCs w:val="22"/>
          <w:rtl/>
        </w:rPr>
      </w:pPr>
    </w:p>
    <w:p w14:paraId="0AC2681A" w14:textId="77777777" w:rsidR="00AD5D4C" w:rsidRPr="00AD5D4C" w:rsidRDefault="00AD5D4C" w:rsidP="00AD5D4C">
      <w:pPr>
        <w:keepNext/>
        <w:rPr>
          <w:color w:val="000000"/>
          <w:sz w:val="22"/>
          <w:szCs w:val="22"/>
          <w:rtl/>
        </w:rPr>
      </w:pPr>
      <w:r w:rsidRPr="00AD5D4C">
        <w:rPr>
          <w:color w:val="000000"/>
          <w:sz w:val="22"/>
          <w:szCs w:val="22"/>
          <w:rtl/>
        </w:rPr>
        <w:t>הדסה נאור 54678313</w:t>
      </w:r>
    </w:p>
    <w:p w14:paraId="5F206018" w14:textId="77777777" w:rsidR="00AD5D4C" w:rsidRDefault="00AD5D4C" w:rsidP="00AD5D4C">
      <w:r w:rsidRPr="00AD5D4C">
        <w:rPr>
          <w:color w:val="000000"/>
          <w:rtl/>
        </w:rPr>
        <w:t>נוסח מסמך זה כפוף לשינויי ניסוח ועריכה</w:t>
      </w:r>
    </w:p>
    <w:p w14:paraId="781370D3" w14:textId="77777777" w:rsidR="00AD5D4C" w:rsidRDefault="00AD5D4C" w:rsidP="00AD5D4C">
      <w:pPr>
        <w:rPr>
          <w:rtl/>
        </w:rPr>
      </w:pPr>
    </w:p>
    <w:p w14:paraId="1CDC5560" w14:textId="77777777" w:rsidR="00AD5D4C" w:rsidRDefault="00AD5D4C" w:rsidP="00AD5D4C">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BC40E21" w14:textId="77777777" w:rsidR="007714AA" w:rsidRPr="00AD5D4C" w:rsidRDefault="007714AA" w:rsidP="00AD5D4C">
      <w:pPr>
        <w:jc w:val="center"/>
        <w:rPr>
          <w:color w:val="0000FF"/>
          <w:u w:val="single"/>
        </w:rPr>
      </w:pPr>
    </w:p>
    <w:sectPr w:rsidR="007714AA" w:rsidRPr="00AD5D4C" w:rsidSect="00AD5D4C">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85EDD" w14:textId="77777777" w:rsidR="00CC072A" w:rsidRPr="00AB2B13" w:rsidRDefault="00CC072A">
      <w:pPr>
        <w:rPr>
          <w:rFonts w:cs="Arial"/>
          <w:szCs w:val="20"/>
        </w:rPr>
      </w:pPr>
      <w:r>
        <w:separator/>
      </w:r>
    </w:p>
  </w:endnote>
  <w:endnote w:type="continuationSeparator" w:id="0">
    <w:p w14:paraId="42E476C5" w14:textId="77777777" w:rsidR="00CC072A" w:rsidRPr="00AB2B13" w:rsidRDefault="00CC072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21886" w14:textId="77777777" w:rsidR="00AD5D4C" w:rsidRDefault="00AD5D4C" w:rsidP="00AD5D4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B43C338" w14:textId="77777777" w:rsidR="007714AA" w:rsidRPr="00AD5D4C" w:rsidRDefault="00AD5D4C" w:rsidP="00AD5D4C">
    <w:pPr>
      <w:pStyle w:val="a4"/>
      <w:pBdr>
        <w:top w:val="single" w:sz="4" w:space="1" w:color="auto"/>
        <w:between w:val="single" w:sz="4" w:space="0" w:color="auto"/>
      </w:pBdr>
      <w:spacing w:after="60"/>
      <w:jc w:val="center"/>
      <w:rPr>
        <w:rFonts w:ascii="FrankRuehl" w:hAnsi="FrankRuehl" w:cs="FrankRuehl"/>
        <w:color w:val="000000"/>
      </w:rPr>
    </w:pPr>
    <w:r w:rsidRPr="00AD5D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BA82B" w14:textId="77777777" w:rsidR="00AD5D4C" w:rsidRDefault="00AD5D4C" w:rsidP="00AD5D4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02BC">
      <w:rPr>
        <w:rFonts w:ascii="FrankRuehl" w:hAnsi="FrankRuehl" w:cs="FrankRuehl"/>
        <w:noProof/>
        <w:rtl/>
      </w:rPr>
      <w:t>1</w:t>
    </w:r>
    <w:r>
      <w:rPr>
        <w:rFonts w:ascii="FrankRuehl" w:hAnsi="FrankRuehl" w:cs="FrankRuehl"/>
        <w:rtl/>
      </w:rPr>
      <w:fldChar w:fldCharType="end"/>
    </w:r>
  </w:p>
  <w:p w14:paraId="1FEF35A4" w14:textId="77777777" w:rsidR="007714AA" w:rsidRPr="00AD5D4C" w:rsidRDefault="00AD5D4C" w:rsidP="00AD5D4C">
    <w:pPr>
      <w:pStyle w:val="a4"/>
      <w:pBdr>
        <w:top w:val="single" w:sz="4" w:space="1" w:color="auto"/>
        <w:between w:val="single" w:sz="4" w:space="0" w:color="auto"/>
      </w:pBdr>
      <w:spacing w:after="60"/>
      <w:jc w:val="center"/>
      <w:rPr>
        <w:rFonts w:ascii="FrankRuehl" w:hAnsi="FrankRuehl" w:cs="FrankRuehl"/>
        <w:color w:val="000000"/>
      </w:rPr>
    </w:pPr>
    <w:r w:rsidRPr="00AD5D4C">
      <w:rPr>
        <w:rFonts w:ascii="FrankRuehl" w:hAnsi="FrankRuehl" w:cs="FrankRuehl"/>
        <w:color w:val="000000"/>
      </w:rPr>
      <w:pict w14:anchorId="20AB5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2F34D" w14:textId="77777777" w:rsidR="00CC072A" w:rsidRPr="00AB2B13" w:rsidRDefault="00CC072A">
      <w:pPr>
        <w:rPr>
          <w:rFonts w:cs="Arial"/>
          <w:szCs w:val="20"/>
        </w:rPr>
      </w:pPr>
      <w:r>
        <w:separator/>
      </w:r>
    </w:p>
  </w:footnote>
  <w:footnote w:type="continuationSeparator" w:id="0">
    <w:p w14:paraId="3B16355A" w14:textId="77777777" w:rsidR="00CC072A" w:rsidRPr="00AB2B13" w:rsidRDefault="00CC072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E2185" w14:textId="77777777" w:rsidR="00AD5D4C" w:rsidRPr="00AD5D4C" w:rsidRDefault="00AD5D4C" w:rsidP="00AD5D4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54653-07-12</w:t>
    </w:r>
    <w:r>
      <w:rPr>
        <w:color w:val="000000"/>
        <w:sz w:val="22"/>
        <w:szCs w:val="22"/>
        <w:rtl/>
      </w:rPr>
      <w:tab/>
      <w:t xml:space="preserve"> מדינת ישראל נ' גיא נאביאן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753F2" w14:textId="77777777" w:rsidR="00AD5D4C" w:rsidRPr="00AD5D4C" w:rsidRDefault="00AD5D4C" w:rsidP="00AD5D4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54653-07-12</w:t>
    </w:r>
    <w:r>
      <w:rPr>
        <w:color w:val="000000"/>
        <w:sz w:val="22"/>
        <w:szCs w:val="22"/>
        <w:rtl/>
      </w:rPr>
      <w:tab/>
      <w:t xml:space="preserve"> מדינת ישראל נ' גיא נאביאן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14AA"/>
    <w:rsid w:val="00345B18"/>
    <w:rsid w:val="007714AA"/>
    <w:rsid w:val="008202BC"/>
    <w:rsid w:val="00981BBC"/>
    <w:rsid w:val="00AD5D4C"/>
    <w:rsid w:val="00BD5FA9"/>
    <w:rsid w:val="00CC0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6EDC7C"/>
  <w15:chartTrackingRefBased/>
  <w15:docId w15:val="{DA94C5B9-813E-4145-9E13-28699944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14A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714AA"/>
    <w:pPr>
      <w:tabs>
        <w:tab w:val="center" w:pos="4153"/>
        <w:tab w:val="right" w:pos="8306"/>
      </w:tabs>
    </w:pPr>
  </w:style>
  <w:style w:type="paragraph" w:styleId="a4">
    <w:name w:val="footer"/>
    <w:basedOn w:val="a"/>
    <w:rsid w:val="007714AA"/>
    <w:pPr>
      <w:tabs>
        <w:tab w:val="center" w:pos="4153"/>
        <w:tab w:val="right" w:pos="8306"/>
      </w:tabs>
    </w:pPr>
  </w:style>
  <w:style w:type="character" w:styleId="a5">
    <w:name w:val="page number"/>
    <w:basedOn w:val="a0"/>
    <w:rsid w:val="007714AA"/>
  </w:style>
  <w:style w:type="paragraph" w:customStyle="1" w:styleId="a6">
    <w:name w:val="סגנון מיושר לשני הצדדים מרווח בין שורות:  שורה וחצי"/>
    <w:basedOn w:val="a"/>
    <w:rsid w:val="007714AA"/>
    <w:pPr>
      <w:spacing w:line="360" w:lineRule="auto"/>
      <w:jc w:val="both"/>
    </w:pPr>
    <w:rPr>
      <w:rFonts w:eastAsia="Times New Roman"/>
      <w:szCs w:val="26"/>
    </w:rPr>
  </w:style>
  <w:style w:type="paragraph" w:customStyle="1" w:styleId="12">
    <w:name w:val="רגיל + ‏12 נק'"/>
    <w:aliases w:val="מיושר לשני הצדדים,מרווח בין שורות:  שורה וחצי"/>
    <w:basedOn w:val="a"/>
    <w:rsid w:val="007714AA"/>
    <w:rPr>
      <w:rFonts w:ascii="Times New Roman" w:eastAsia="Times New Roman" w:hAnsi="Times New Roman"/>
      <w:b/>
      <w:bCs/>
      <w:u w:val="single"/>
    </w:rPr>
  </w:style>
  <w:style w:type="character" w:styleId="a7">
    <w:name w:val="line number"/>
    <w:basedOn w:val="a0"/>
    <w:rsid w:val="007714AA"/>
  </w:style>
  <w:style w:type="character" w:styleId="Hyperlink">
    <w:name w:val="Hyperlink"/>
    <w:basedOn w:val="a0"/>
    <w:rsid w:val="00AD5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40d" TargetMode="External"/><Relationship Id="rId12" Type="http://schemas.openxmlformats.org/officeDocument/2006/relationships/hyperlink" Target="http://www.nevo.co.il/law/4216/13"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5856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54653</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גיא נאביאן</vt:lpwstr>
  </property>
  <property fmtid="{D5CDD505-2E9C-101B-9397-08002B2CF9AE}" pid="10" name="LAWYER">
    <vt:lpwstr>רעות בן משה;ירון פורר</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20140224</vt:lpwstr>
  </property>
  <property fmtid="{D5CDD505-2E9C-101B-9397-08002B2CF9AE}" pid="14" name="TYPE_N_DATE">
    <vt:lpwstr>38020140224</vt:lpwstr>
  </property>
  <property fmtid="{D5CDD505-2E9C-101B-9397-08002B2CF9AE}" pid="15" name="WORDNUMPAGES">
    <vt:lpwstr>3</vt:lpwstr>
  </property>
  <property fmtid="{D5CDD505-2E9C-101B-9397-08002B2CF9AE}" pid="16" name="TYPE_ABS_DATE">
    <vt:lpwstr>380020140224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70301/040d</vt:lpwstr>
  </property>
  <property fmtid="{D5CDD505-2E9C-101B-9397-08002B2CF9AE}" pid="36" name="LAWLISTTMP2">
    <vt:lpwstr>4216/013</vt:lpwstr>
  </property>
</Properties>
</file>