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4104"/>
        <w:gridCol w:w="12"/>
        <w:gridCol w:w="3660"/>
        <w:gridCol w:w="99"/>
      </w:tblGrid>
      <w:tr w:rsidR="00600833" w:rsidRPr="00332EDC" w14:paraId="30FF4DA3" w14:textId="77777777">
        <w:trPr>
          <w:gridAfter w:val="1"/>
          <w:wAfter w:w="99" w:type="dxa"/>
          <w:trHeight w:hRule="exact" w:val="418"/>
          <w:jc w:val="center"/>
        </w:trPr>
        <w:tc>
          <w:tcPr>
            <w:tcW w:w="8721" w:type="dxa"/>
            <w:gridSpan w:val="4"/>
          </w:tcPr>
          <w:p w14:paraId="1D46678D" w14:textId="77777777" w:rsidR="00600833" w:rsidRPr="00332EDC" w:rsidRDefault="00332EDC">
            <w:pPr>
              <w:pStyle w:val="a3"/>
              <w:jc w:val="center"/>
              <w:rPr>
                <w:rFonts w:ascii="Tahoma" w:hAnsi="Tahoma" w:cs="Tahoma"/>
                <w:color w:val="000080"/>
                <w:rtl/>
              </w:rPr>
            </w:pPr>
            <w:bookmarkStart w:id="0" w:name="FirstLawyer"/>
            <w:bookmarkStart w:id="1" w:name="LastJudge"/>
            <w:r w:rsidRPr="00332EDC">
              <w:rPr>
                <w:rFonts w:ascii="Tahoma" w:hAnsi="Tahoma" w:cs="Tahoma"/>
                <w:b/>
                <w:bCs/>
                <w:color w:val="000080"/>
                <w:rtl/>
              </w:rPr>
              <w:t>בית משפט השלום ברמלה</w:t>
            </w:r>
          </w:p>
        </w:tc>
      </w:tr>
      <w:tr w:rsidR="00600833" w:rsidRPr="00332EDC" w14:paraId="0567FE65" w14:textId="77777777">
        <w:trPr>
          <w:gridAfter w:val="1"/>
          <w:wAfter w:w="99" w:type="dxa"/>
          <w:trHeight w:val="337"/>
          <w:jc w:val="center"/>
        </w:trPr>
        <w:tc>
          <w:tcPr>
            <w:tcW w:w="5049" w:type="dxa"/>
            <w:gridSpan w:val="2"/>
          </w:tcPr>
          <w:p w14:paraId="4D522FA5" w14:textId="77777777" w:rsidR="00600833" w:rsidRPr="00332EDC" w:rsidRDefault="00332EDC">
            <w:pPr>
              <w:rPr>
                <w:rFonts w:cs="FrankRuehl"/>
                <w:sz w:val="28"/>
                <w:szCs w:val="28"/>
                <w:rtl/>
              </w:rPr>
            </w:pPr>
            <w:r w:rsidRPr="00332EDC">
              <w:rPr>
                <w:rFonts w:cs="FrankRuehl"/>
                <w:sz w:val="28"/>
                <w:szCs w:val="28"/>
                <w:rtl/>
              </w:rPr>
              <w:t>ת"פ</w:t>
            </w:r>
            <w:r w:rsidRPr="00332EDC">
              <w:rPr>
                <w:rFonts w:cs="FrankRuehl" w:hint="cs"/>
                <w:sz w:val="28"/>
                <w:szCs w:val="28"/>
                <w:rtl/>
              </w:rPr>
              <w:t xml:space="preserve"> </w:t>
            </w:r>
            <w:r w:rsidRPr="00332EDC">
              <w:rPr>
                <w:rFonts w:cs="FrankRuehl"/>
                <w:sz w:val="28"/>
                <w:szCs w:val="28"/>
                <w:rtl/>
              </w:rPr>
              <w:t>16749-08-12</w:t>
            </w:r>
            <w:r w:rsidRPr="00332EDC">
              <w:rPr>
                <w:rFonts w:cs="FrankRuehl" w:hint="cs"/>
                <w:sz w:val="28"/>
                <w:szCs w:val="28"/>
                <w:rtl/>
              </w:rPr>
              <w:t xml:space="preserve"> </w:t>
            </w:r>
            <w:r w:rsidRPr="00332EDC">
              <w:rPr>
                <w:rFonts w:cs="FrankRuehl"/>
                <w:sz w:val="28"/>
                <w:szCs w:val="28"/>
                <w:rtl/>
              </w:rPr>
              <w:t>מדינת ישראל נ' עקל(עציר)</w:t>
            </w:r>
          </w:p>
          <w:p w14:paraId="64FAA714" w14:textId="77777777" w:rsidR="00600833" w:rsidRPr="00332EDC" w:rsidRDefault="00600833">
            <w:pPr>
              <w:pStyle w:val="a3"/>
              <w:rPr>
                <w:rFonts w:cs="FrankRuehl"/>
                <w:sz w:val="28"/>
                <w:szCs w:val="28"/>
                <w:rtl/>
              </w:rPr>
            </w:pPr>
          </w:p>
          <w:p w14:paraId="7EE897CF" w14:textId="77777777" w:rsidR="00600833" w:rsidRPr="00332EDC" w:rsidRDefault="00600833"/>
        </w:tc>
        <w:tc>
          <w:tcPr>
            <w:tcW w:w="3672" w:type="dxa"/>
            <w:gridSpan w:val="2"/>
          </w:tcPr>
          <w:p w14:paraId="3C14CF78" w14:textId="77777777" w:rsidR="00600833" w:rsidRPr="00332EDC" w:rsidRDefault="00332EDC">
            <w:pPr>
              <w:pStyle w:val="a3"/>
              <w:jc w:val="right"/>
              <w:rPr>
                <w:rFonts w:cs="FrankRuehl"/>
                <w:sz w:val="28"/>
                <w:szCs w:val="28"/>
                <w:rtl/>
              </w:rPr>
            </w:pPr>
            <w:r w:rsidRPr="00332EDC">
              <w:rPr>
                <w:rFonts w:cs="FrankRuehl" w:hint="cs"/>
                <w:sz w:val="28"/>
                <w:szCs w:val="28"/>
                <w:rtl/>
              </w:rPr>
              <w:t>6 פברואר</w:t>
            </w:r>
            <w:r w:rsidRPr="00332EDC">
              <w:rPr>
                <w:rFonts w:cs="FrankRuehl"/>
                <w:sz w:val="28"/>
                <w:szCs w:val="28"/>
                <w:rtl/>
              </w:rPr>
              <w:t xml:space="preserve"> 2013</w:t>
            </w:r>
          </w:p>
        </w:tc>
      </w:tr>
      <w:tr w:rsidR="00600833" w:rsidRPr="00332EDC" w14:paraId="2557229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tcPr>
          <w:p w14:paraId="01972D54" w14:textId="77777777" w:rsidR="00600833" w:rsidRPr="00332EDC" w:rsidRDefault="00332EDC">
            <w:pPr>
              <w:jc w:val="both"/>
              <w:rPr>
                <w:rFonts w:ascii="Arial" w:hAnsi="Arial"/>
                <w:b/>
                <w:bCs/>
                <w:sz w:val="28"/>
                <w:szCs w:val="28"/>
              </w:rPr>
            </w:pPr>
            <w:r w:rsidRPr="00332EDC">
              <w:rPr>
                <w:rFonts w:hint="cs"/>
                <w:rtl/>
              </w:rPr>
              <w:t xml:space="preserve"> </w:t>
            </w:r>
            <w:r w:rsidRPr="00332EDC">
              <w:rPr>
                <w:rFonts w:ascii="Arial" w:hAnsi="Arial" w:hint="cs"/>
                <w:b/>
                <w:bCs/>
                <w:sz w:val="28"/>
                <w:szCs w:val="28"/>
                <w:rtl/>
              </w:rPr>
              <w:t>ב</w:t>
            </w:r>
            <w:r w:rsidRPr="00332EDC">
              <w:rPr>
                <w:rFonts w:ascii="Arial" w:hAnsi="Arial"/>
                <w:b/>
                <w:bCs/>
                <w:sz w:val="28"/>
                <w:szCs w:val="28"/>
                <w:rtl/>
              </w:rPr>
              <w:t xml:space="preserve">פני </w:t>
            </w:r>
          </w:p>
        </w:tc>
        <w:tc>
          <w:tcPr>
            <w:tcW w:w="7875" w:type="dxa"/>
            <w:gridSpan w:val="4"/>
            <w:tcBorders>
              <w:top w:val="nil"/>
              <w:left w:val="nil"/>
              <w:bottom w:val="nil"/>
              <w:right w:val="nil"/>
            </w:tcBorders>
          </w:tcPr>
          <w:p w14:paraId="1FB2B1AE" w14:textId="77777777" w:rsidR="00600833" w:rsidRPr="00332EDC" w:rsidRDefault="00332EDC">
            <w:pPr>
              <w:jc w:val="both"/>
              <w:rPr>
                <w:rFonts w:ascii="Arial" w:hAnsi="Arial"/>
                <w:b/>
                <w:bCs/>
                <w:sz w:val="28"/>
                <w:szCs w:val="28"/>
              </w:rPr>
            </w:pPr>
            <w:r w:rsidRPr="00332EDC">
              <w:rPr>
                <w:rFonts w:ascii="Arial" w:hAnsi="Arial" w:hint="cs"/>
                <w:b/>
                <w:bCs/>
                <w:sz w:val="28"/>
                <w:szCs w:val="28"/>
                <w:rtl/>
              </w:rPr>
              <w:t>כב' ה</w:t>
            </w:r>
            <w:r w:rsidRPr="00332EDC">
              <w:rPr>
                <w:rFonts w:hint="cs"/>
                <w:b/>
                <w:bCs/>
                <w:sz w:val="28"/>
                <w:szCs w:val="28"/>
                <w:rtl/>
              </w:rPr>
              <w:t>שופט</w:t>
            </w:r>
            <w:r w:rsidRPr="00332EDC">
              <w:rPr>
                <w:rFonts w:ascii="Arial" w:hAnsi="Arial" w:hint="cs"/>
                <w:b/>
                <w:bCs/>
                <w:sz w:val="28"/>
                <w:szCs w:val="28"/>
                <w:rtl/>
              </w:rPr>
              <w:t xml:space="preserve">  </w:t>
            </w:r>
            <w:r w:rsidRPr="00332EDC">
              <w:rPr>
                <w:rFonts w:hint="cs"/>
                <w:b/>
                <w:bCs/>
                <w:sz w:val="28"/>
                <w:szCs w:val="28"/>
                <w:rtl/>
              </w:rPr>
              <w:t>הישאם  אבו שחאדה</w:t>
            </w:r>
          </w:p>
        </w:tc>
      </w:tr>
      <w:tr w:rsidR="00600833" w:rsidRPr="00332EDC" w14:paraId="38EEE65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tcPr>
          <w:p w14:paraId="1AD72A61" w14:textId="77777777" w:rsidR="00600833" w:rsidRPr="00332EDC" w:rsidRDefault="00600833">
            <w:pPr>
              <w:jc w:val="both"/>
              <w:rPr>
                <w:rFonts w:ascii="Arial" w:hAnsi="Arial"/>
                <w:b/>
                <w:bCs/>
                <w:sz w:val="28"/>
                <w:szCs w:val="28"/>
                <w:rtl/>
              </w:rPr>
            </w:pPr>
            <w:bookmarkStart w:id="2" w:name="FirstAppellant"/>
          </w:p>
          <w:p w14:paraId="4B817E74" w14:textId="77777777" w:rsidR="00600833" w:rsidRPr="00332EDC" w:rsidRDefault="00332EDC">
            <w:pPr>
              <w:jc w:val="both"/>
              <w:rPr>
                <w:rFonts w:ascii="Arial" w:hAnsi="Arial"/>
                <w:b/>
                <w:bCs/>
                <w:sz w:val="28"/>
                <w:szCs w:val="28"/>
              </w:rPr>
            </w:pPr>
            <w:r w:rsidRPr="00332EDC">
              <w:rPr>
                <w:rFonts w:ascii="Arial" w:hAnsi="Arial" w:hint="cs"/>
                <w:b/>
                <w:bCs/>
                <w:sz w:val="28"/>
                <w:szCs w:val="28"/>
                <w:rtl/>
              </w:rPr>
              <w:t>בעניין:</w:t>
            </w:r>
          </w:p>
        </w:tc>
        <w:tc>
          <w:tcPr>
            <w:tcW w:w="4116" w:type="dxa"/>
            <w:gridSpan w:val="2"/>
            <w:tcBorders>
              <w:top w:val="nil"/>
              <w:left w:val="nil"/>
              <w:bottom w:val="nil"/>
              <w:right w:val="nil"/>
            </w:tcBorders>
          </w:tcPr>
          <w:p w14:paraId="41DCF49B" w14:textId="77777777" w:rsidR="00600833" w:rsidRPr="00332EDC" w:rsidRDefault="00600833">
            <w:pPr>
              <w:jc w:val="both"/>
              <w:rPr>
                <w:rFonts w:ascii="Arial" w:hAnsi="Arial"/>
                <w:b/>
                <w:bCs/>
                <w:sz w:val="28"/>
                <w:szCs w:val="28"/>
                <w:rtl/>
              </w:rPr>
            </w:pPr>
          </w:p>
          <w:p w14:paraId="54A0B2FA" w14:textId="77777777" w:rsidR="00600833" w:rsidRPr="00332EDC" w:rsidRDefault="00332EDC">
            <w:pPr>
              <w:rPr>
                <w:b/>
                <w:bCs/>
                <w:sz w:val="28"/>
                <w:szCs w:val="28"/>
              </w:rPr>
            </w:pPr>
            <w:r w:rsidRPr="00332EDC">
              <w:rPr>
                <w:rFonts w:hint="cs"/>
                <w:b/>
                <w:bCs/>
                <w:sz w:val="28"/>
                <w:szCs w:val="28"/>
                <w:rtl/>
              </w:rPr>
              <w:t>המאשימה - מדינת ישראל- באמצעות עו"ד זוהר שקורי שוורץ</w:t>
            </w:r>
          </w:p>
          <w:p w14:paraId="33FF0467" w14:textId="77777777" w:rsidR="00600833" w:rsidRPr="00332EDC" w:rsidRDefault="00600833">
            <w:pPr>
              <w:jc w:val="both"/>
              <w:rPr>
                <w:rFonts w:ascii="Arial" w:hAnsi="Arial"/>
                <w:b/>
                <w:bCs/>
                <w:sz w:val="28"/>
                <w:szCs w:val="28"/>
              </w:rPr>
            </w:pPr>
          </w:p>
        </w:tc>
        <w:tc>
          <w:tcPr>
            <w:tcW w:w="3759" w:type="dxa"/>
            <w:gridSpan w:val="2"/>
            <w:tcBorders>
              <w:top w:val="nil"/>
              <w:left w:val="nil"/>
              <w:bottom w:val="nil"/>
              <w:right w:val="nil"/>
            </w:tcBorders>
          </w:tcPr>
          <w:p w14:paraId="5958A641" w14:textId="77777777" w:rsidR="00600833" w:rsidRPr="00332EDC" w:rsidRDefault="00600833">
            <w:pPr>
              <w:jc w:val="both"/>
              <w:rPr>
                <w:rFonts w:ascii="Arial" w:hAnsi="Arial"/>
                <w:b/>
                <w:bCs/>
                <w:sz w:val="28"/>
                <w:szCs w:val="28"/>
              </w:rPr>
            </w:pPr>
          </w:p>
        </w:tc>
      </w:tr>
      <w:bookmarkEnd w:id="2"/>
      <w:tr w:rsidR="00600833" w:rsidRPr="00332EDC" w14:paraId="09A64FA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4"/>
          <w:wAfter w:w="7875" w:type="dxa"/>
          <w:trHeight w:val="355"/>
          <w:jc w:val="center"/>
        </w:trPr>
        <w:tc>
          <w:tcPr>
            <w:tcW w:w="945" w:type="dxa"/>
            <w:tcBorders>
              <w:top w:val="nil"/>
              <w:left w:val="nil"/>
              <w:bottom w:val="nil"/>
              <w:right w:val="nil"/>
            </w:tcBorders>
          </w:tcPr>
          <w:p w14:paraId="4007E343" w14:textId="77777777" w:rsidR="00600833" w:rsidRPr="00332EDC" w:rsidRDefault="00600833">
            <w:pPr>
              <w:jc w:val="both"/>
              <w:rPr>
                <w:rFonts w:ascii="Arial" w:hAnsi="Arial"/>
                <w:b/>
                <w:bCs/>
                <w:sz w:val="28"/>
                <w:szCs w:val="28"/>
                <w:rtl/>
              </w:rPr>
            </w:pPr>
          </w:p>
        </w:tc>
      </w:tr>
      <w:tr w:rsidR="00600833" w:rsidRPr="00332EDC" w14:paraId="1113E70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tcPr>
          <w:p w14:paraId="4C4A194C" w14:textId="77777777" w:rsidR="00600833" w:rsidRPr="00332EDC" w:rsidRDefault="00600833">
            <w:pPr>
              <w:jc w:val="both"/>
              <w:rPr>
                <w:rFonts w:ascii="Arial" w:hAnsi="Arial"/>
                <w:b/>
                <w:bCs/>
                <w:sz w:val="28"/>
                <w:szCs w:val="28"/>
                <w:rtl/>
              </w:rPr>
            </w:pPr>
          </w:p>
        </w:tc>
        <w:tc>
          <w:tcPr>
            <w:tcW w:w="7875" w:type="dxa"/>
            <w:gridSpan w:val="4"/>
            <w:tcBorders>
              <w:top w:val="nil"/>
              <w:left w:val="nil"/>
              <w:bottom w:val="nil"/>
              <w:right w:val="nil"/>
            </w:tcBorders>
          </w:tcPr>
          <w:p w14:paraId="51B966D4" w14:textId="77777777" w:rsidR="00600833" w:rsidRPr="00332EDC" w:rsidRDefault="00600833">
            <w:pPr>
              <w:jc w:val="center"/>
              <w:rPr>
                <w:rFonts w:ascii="Arial" w:hAnsi="Arial"/>
                <w:b/>
                <w:bCs/>
                <w:sz w:val="28"/>
                <w:szCs w:val="28"/>
                <w:rtl/>
              </w:rPr>
            </w:pPr>
          </w:p>
          <w:p w14:paraId="50AAB446" w14:textId="77777777" w:rsidR="00600833" w:rsidRPr="00332EDC" w:rsidRDefault="00332EDC">
            <w:pPr>
              <w:jc w:val="center"/>
              <w:rPr>
                <w:rFonts w:ascii="Arial" w:hAnsi="Arial"/>
                <w:b/>
                <w:bCs/>
                <w:sz w:val="28"/>
                <w:szCs w:val="28"/>
                <w:rtl/>
              </w:rPr>
            </w:pPr>
            <w:r w:rsidRPr="00332EDC">
              <w:rPr>
                <w:rFonts w:ascii="Arial" w:hAnsi="Arial"/>
                <w:b/>
                <w:bCs/>
                <w:sz w:val="28"/>
                <w:szCs w:val="28"/>
                <w:rtl/>
              </w:rPr>
              <w:t>נגד</w:t>
            </w:r>
          </w:p>
          <w:p w14:paraId="3FD2B26D" w14:textId="77777777" w:rsidR="00600833" w:rsidRPr="00332EDC" w:rsidRDefault="00600833">
            <w:pPr>
              <w:jc w:val="both"/>
              <w:rPr>
                <w:rFonts w:ascii="Arial" w:hAnsi="Arial"/>
                <w:b/>
                <w:bCs/>
                <w:sz w:val="28"/>
                <w:szCs w:val="28"/>
              </w:rPr>
            </w:pPr>
          </w:p>
        </w:tc>
      </w:tr>
      <w:tr w:rsidR="00600833" w:rsidRPr="00332EDC" w14:paraId="23BD28E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tcPr>
          <w:p w14:paraId="4391B7F4" w14:textId="77777777" w:rsidR="00600833" w:rsidRPr="00332EDC" w:rsidRDefault="00600833">
            <w:pPr>
              <w:jc w:val="both"/>
              <w:rPr>
                <w:rFonts w:ascii="Arial" w:hAnsi="Arial"/>
                <w:b/>
                <w:bCs/>
                <w:sz w:val="28"/>
                <w:szCs w:val="28"/>
                <w:rtl/>
              </w:rPr>
            </w:pPr>
          </w:p>
        </w:tc>
        <w:tc>
          <w:tcPr>
            <w:tcW w:w="4116" w:type="dxa"/>
            <w:gridSpan w:val="2"/>
            <w:tcBorders>
              <w:top w:val="nil"/>
              <w:left w:val="nil"/>
              <w:bottom w:val="nil"/>
              <w:right w:val="nil"/>
            </w:tcBorders>
          </w:tcPr>
          <w:p w14:paraId="484AD405" w14:textId="77777777" w:rsidR="00600833" w:rsidRPr="00332EDC" w:rsidRDefault="00332EDC">
            <w:pPr>
              <w:jc w:val="both"/>
              <w:rPr>
                <w:b/>
                <w:bCs/>
                <w:sz w:val="28"/>
                <w:szCs w:val="28"/>
                <w:rtl/>
              </w:rPr>
            </w:pPr>
            <w:r w:rsidRPr="00332EDC">
              <w:rPr>
                <w:rFonts w:hint="cs"/>
                <w:b/>
                <w:bCs/>
                <w:sz w:val="28"/>
                <w:szCs w:val="28"/>
                <w:rtl/>
              </w:rPr>
              <w:t xml:space="preserve">הנאשם - מונצר עקל (עציר) – הובא באמצעות שב"ס </w:t>
            </w:r>
            <w:r w:rsidRPr="00332EDC">
              <w:rPr>
                <w:rFonts w:hint="cs"/>
                <w:b/>
                <w:bCs/>
                <w:sz w:val="28"/>
                <w:szCs w:val="28"/>
                <w:rtl/>
              </w:rPr>
              <w:br/>
              <w:t>ב"כ הנאשם עו"ד מיטל וקנין קורקוס</w:t>
            </w:r>
          </w:p>
        </w:tc>
        <w:tc>
          <w:tcPr>
            <w:tcW w:w="3759" w:type="dxa"/>
            <w:gridSpan w:val="2"/>
            <w:tcBorders>
              <w:top w:val="nil"/>
              <w:left w:val="nil"/>
              <w:bottom w:val="nil"/>
              <w:right w:val="nil"/>
            </w:tcBorders>
          </w:tcPr>
          <w:p w14:paraId="79B4AF7C" w14:textId="77777777" w:rsidR="00600833" w:rsidRPr="00332EDC" w:rsidRDefault="00600833">
            <w:pPr>
              <w:jc w:val="right"/>
              <w:rPr>
                <w:rFonts w:ascii="Arial" w:hAnsi="Arial"/>
                <w:b/>
                <w:bCs/>
                <w:sz w:val="28"/>
                <w:szCs w:val="28"/>
              </w:rPr>
            </w:pPr>
          </w:p>
        </w:tc>
      </w:tr>
    </w:tbl>
    <w:p w14:paraId="2AD7CFC2" w14:textId="77777777" w:rsidR="00C91702" w:rsidRDefault="00C91702">
      <w:pPr>
        <w:rPr>
          <w:rtl/>
        </w:rPr>
      </w:pPr>
      <w:bookmarkStart w:id="3" w:name="LawTable"/>
      <w:bookmarkEnd w:id="3"/>
    </w:p>
    <w:p w14:paraId="344A2024" w14:textId="77777777" w:rsidR="00C91702" w:rsidRPr="00C91702" w:rsidRDefault="00C91702" w:rsidP="00C91702">
      <w:pPr>
        <w:spacing w:after="120" w:line="240" w:lineRule="exact"/>
        <w:ind w:left="283" w:hanging="283"/>
        <w:jc w:val="both"/>
        <w:rPr>
          <w:rFonts w:ascii="FrankRuehl" w:hAnsi="FrankRuehl" w:cs="FrankRuehl"/>
          <w:rtl/>
        </w:rPr>
      </w:pPr>
    </w:p>
    <w:p w14:paraId="1ABFD6AD" w14:textId="77777777" w:rsidR="00C91702" w:rsidRPr="00C91702" w:rsidRDefault="00C91702" w:rsidP="00C91702">
      <w:pPr>
        <w:spacing w:after="120" w:line="240" w:lineRule="exact"/>
        <w:ind w:left="283" w:hanging="283"/>
        <w:jc w:val="both"/>
        <w:rPr>
          <w:rFonts w:ascii="FrankRuehl" w:hAnsi="FrankRuehl" w:cs="FrankRuehl"/>
          <w:rtl/>
        </w:rPr>
      </w:pPr>
      <w:r w:rsidRPr="00C91702">
        <w:rPr>
          <w:rFonts w:ascii="FrankRuehl" w:hAnsi="FrankRuehl" w:cs="FrankRuehl"/>
          <w:rtl/>
        </w:rPr>
        <w:t xml:space="preserve">חקיקה שאוזכרה: </w:t>
      </w:r>
    </w:p>
    <w:p w14:paraId="4C9B7D45" w14:textId="77777777" w:rsidR="00C91702" w:rsidRPr="00C91702" w:rsidRDefault="00C91702" w:rsidP="00C91702">
      <w:pPr>
        <w:spacing w:after="120" w:line="240" w:lineRule="exact"/>
        <w:ind w:left="283" w:hanging="283"/>
        <w:jc w:val="both"/>
        <w:rPr>
          <w:rFonts w:ascii="FrankRuehl" w:hAnsi="FrankRuehl" w:cs="FrankRuehl"/>
          <w:color w:val="0000FF"/>
          <w:u w:val="single"/>
          <w:rtl/>
        </w:rPr>
      </w:pPr>
      <w:hyperlink r:id="rId7" w:history="1">
        <w:r w:rsidRPr="00C91702">
          <w:rPr>
            <w:rStyle w:val="Hyperlink"/>
            <w:rFonts w:ascii="FrankRuehl" w:hAnsi="FrankRuehl" w:cs="FrankRuehl"/>
            <w:rtl/>
          </w:rPr>
          <w:t>פקודת הסמים המסוכנים [נוסח חדש], תשל"ג-1973</w:t>
        </w:r>
      </w:hyperlink>
    </w:p>
    <w:p w14:paraId="0421926B" w14:textId="77777777" w:rsidR="00C91702" w:rsidRPr="00C91702" w:rsidRDefault="00C91702" w:rsidP="00C91702">
      <w:pPr>
        <w:spacing w:after="120" w:line="240" w:lineRule="exact"/>
        <w:ind w:left="283" w:hanging="283"/>
        <w:jc w:val="both"/>
        <w:rPr>
          <w:rFonts w:ascii="FrankRuehl" w:hAnsi="FrankRuehl" w:cs="FrankRuehl"/>
          <w:color w:val="0000FF"/>
          <w:u w:val="single"/>
          <w:rtl/>
        </w:rPr>
      </w:pPr>
      <w:hyperlink r:id="rId8" w:history="1">
        <w:r w:rsidRPr="00C91702">
          <w:rPr>
            <w:rStyle w:val="Hyperlink"/>
            <w:rFonts w:ascii="FrankRuehl" w:hAnsi="FrankRuehl" w:cs="FrankRuehl"/>
            <w:rtl/>
          </w:rPr>
          <w:t>חוק העונשין, תשל"ז-1977</w:t>
        </w:r>
      </w:hyperlink>
    </w:p>
    <w:p w14:paraId="16FAB7E3" w14:textId="77777777" w:rsidR="00C91702" w:rsidRPr="00C91702" w:rsidRDefault="00C91702" w:rsidP="00C91702">
      <w:pPr>
        <w:spacing w:after="120" w:line="240" w:lineRule="exact"/>
        <w:ind w:left="283" w:hanging="283"/>
        <w:jc w:val="both"/>
        <w:rPr>
          <w:rFonts w:ascii="FrankRuehl" w:hAnsi="FrankRuehl" w:cs="FrankRuehl"/>
          <w:color w:val="0000FF"/>
          <w:u w:val="single"/>
          <w:rtl/>
        </w:rPr>
      </w:pPr>
      <w:hyperlink r:id="rId9" w:history="1">
        <w:r w:rsidRPr="00C91702">
          <w:rPr>
            <w:rStyle w:val="Hyperlink"/>
            <w:rFonts w:ascii="FrankRuehl" w:hAnsi="FrankRuehl" w:cs="FrankRuehl"/>
            <w:rtl/>
          </w:rPr>
          <w:t>פקודת סדר הדין הפלילי (מעצר וחיפוש) [נוסח חדש], תשכ"ט-1969</w:t>
        </w:r>
      </w:hyperlink>
    </w:p>
    <w:p w14:paraId="2B6D4EF7" w14:textId="77777777" w:rsidR="00C91702" w:rsidRPr="00C91702" w:rsidRDefault="00C91702" w:rsidP="00C91702">
      <w:pPr>
        <w:spacing w:after="120" w:line="240" w:lineRule="exact"/>
        <w:ind w:left="283" w:hanging="283"/>
        <w:jc w:val="both"/>
        <w:rPr>
          <w:rFonts w:ascii="FrankRuehl" w:hAnsi="FrankRuehl" w:cs="FrankRuehl"/>
          <w:rtl/>
        </w:rPr>
      </w:pPr>
    </w:p>
    <w:p w14:paraId="1B7B28DB" w14:textId="77777777" w:rsidR="00C91702" w:rsidRPr="00C91702" w:rsidRDefault="00C91702">
      <w:pPr>
        <w:rPr>
          <w:rtl/>
        </w:rPr>
      </w:pPr>
      <w:bookmarkStart w:id="4" w:name="LawTable_End"/>
      <w:bookmarkEnd w:id="4"/>
    </w:p>
    <w:p w14:paraId="5EDB2C34" w14:textId="77777777" w:rsidR="00C91702" w:rsidRPr="00C91702" w:rsidRDefault="00C91702">
      <w:pPr>
        <w:rPr>
          <w:rtl/>
        </w:rPr>
      </w:pPr>
    </w:p>
    <w:p w14:paraId="193BAE25" w14:textId="77777777" w:rsidR="00600833" w:rsidRPr="00C91702" w:rsidRDefault="0060083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0833" w14:paraId="76668B8B" w14:textId="77777777">
        <w:trPr>
          <w:trHeight w:val="355"/>
          <w:jc w:val="center"/>
        </w:trPr>
        <w:tc>
          <w:tcPr>
            <w:tcW w:w="8820" w:type="dxa"/>
            <w:tcBorders>
              <w:top w:val="nil"/>
              <w:left w:val="nil"/>
              <w:bottom w:val="nil"/>
              <w:right w:val="nil"/>
            </w:tcBorders>
          </w:tcPr>
          <w:p w14:paraId="21948075" w14:textId="77777777" w:rsidR="00332EDC" w:rsidRPr="00332EDC" w:rsidRDefault="00332EDC" w:rsidP="00332EDC">
            <w:pPr>
              <w:jc w:val="center"/>
              <w:rPr>
                <w:rFonts w:ascii="Arial" w:hAnsi="Arial" w:cs="FrankRuehl"/>
                <w:b/>
                <w:bCs/>
                <w:sz w:val="32"/>
                <w:szCs w:val="32"/>
                <w:u w:val="single"/>
                <w:rtl/>
              </w:rPr>
            </w:pPr>
            <w:bookmarkStart w:id="5" w:name="PsakDin" w:colFirst="0" w:colLast="0"/>
            <w:bookmarkEnd w:id="0"/>
            <w:bookmarkEnd w:id="1"/>
            <w:r w:rsidRPr="00332EDC">
              <w:rPr>
                <w:rFonts w:ascii="Arial" w:hAnsi="Arial" w:cs="FrankRuehl"/>
                <w:b/>
                <w:bCs/>
                <w:sz w:val="32"/>
                <w:szCs w:val="32"/>
                <w:u w:val="single"/>
                <w:rtl/>
              </w:rPr>
              <w:t>גזר דין</w:t>
            </w:r>
          </w:p>
          <w:p w14:paraId="5910D920" w14:textId="77777777" w:rsidR="00600833" w:rsidRPr="00332EDC" w:rsidRDefault="00600833" w:rsidP="00332EDC">
            <w:pPr>
              <w:jc w:val="center"/>
              <w:rPr>
                <w:rFonts w:ascii="Arial" w:hAnsi="Arial" w:cs="FrankRuehl"/>
                <w:bCs/>
                <w:sz w:val="32"/>
                <w:szCs w:val="32"/>
                <w:u w:val="single"/>
                <w:rtl/>
              </w:rPr>
            </w:pPr>
          </w:p>
        </w:tc>
      </w:tr>
      <w:bookmarkEnd w:id="5"/>
    </w:tbl>
    <w:p w14:paraId="57045B6A" w14:textId="77777777" w:rsidR="00600833" w:rsidRDefault="00600833">
      <w:pPr>
        <w:spacing w:line="360" w:lineRule="auto"/>
        <w:jc w:val="both"/>
        <w:rPr>
          <w:color w:val="000000"/>
          <w:rtl/>
        </w:rPr>
      </w:pPr>
    </w:p>
    <w:p w14:paraId="5D33DE87" w14:textId="77777777" w:rsidR="00600833" w:rsidRDefault="00332EDC">
      <w:pPr>
        <w:spacing w:line="360" w:lineRule="auto"/>
        <w:ind w:left="720" w:hanging="720"/>
        <w:jc w:val="both"/>
        <w:rPr>
          <w:rtl/>
        </w:rPr>
      </w:pPr>
      <w:r>
        <w:rPr>
          <w:rFonts w:hint="cs"/>
          <w:rtl/>
        </w:rPr>
        <w:t>1.</w:t>
      </w:r>
      <w:r>
        <w:rPr>
          <w:rFonts w:hint="cs"/>
          <w:rtl/>
        </w:rPr>
        <w:tab/>
      </w:r>
      <w:bookmarkStart w:id="6" w:name="ABSTRACT_START"/>
      <w:bookmarkEnd w:id="6"/>
      <w:r>
        <w:rPr>
          <w:rtl/>
        </w:rPr>
        <w:t>הנאשם הורשע לאחר ניהול הוכחות בעבירות הבאות שפורטו בכתב האישום: החזקת סם שלא לצריכה עצמית לפי סעיפים 7(א) ו-7(ג) רישא ל</w:t>
      </w:r>
      <w:hyperlink r:id="rId10" w:history="1">
        <w:r w:rsidR="00C91702" w:rsidRPr="00C91702">
          <w:rPr>
            <w:rStyle w:val="Hyperlink"/>
            <w:rtl/>
          </w:rPr>
          <w:t>פקודת הסמים המסוכנים</w:t>
        </w:r>
      </w:hyperlink>
      <w:r>
        <w:rPr>
          <w:rtl/>
        </w:rPr>
        <w:t xml:space="preserve"> (נוסח חדש) תשל"ג - 1973 (להלן: </w:t>
      </w:r>
      <w:r>
        <w:rPr>
          <w:b/>
          <w:bCs/>
          <w:rtl/>
        </w:rPr>
        <w:t>פקודת הסמים המסוכנים</w:t>
      </w:r>
      <w:r>
        <w:rPr>
          <w:rtl/>
        </w:rPr>
        <w:t>), שיבוש מהלכי משפט לפי סעיף 244 ל</w:t>
      </w:r>
      <w:hyperlink r:id="rId11" w:history="1">
        <w:r w:rsidR="00C91702" w:rsidRPr="00C91702">
          <w:rPr>
            <w:rStyle w:val="Hyperlink"/>
            <w:rtl/>
          </w:rPr>
          <w:t>חוק העונשין</w:t>
        </w:r>
      </w:hyperlink>
      <w:r>
        <w:rPr>
          <w:rtl/>
        </w:rPr>
        <w:t xml:space="preserve"> תשל"ז - 1977 (להלן: </w:t>
      </w:r>
      <w:r>
        <w:rPr>
          <w:b/>
          <w:bCs/>
          <w:rtl/>
        </w:rPr>
        <w:t>חוק העונשין</w:t>
      </w:r>
      <w:r>
        <w:rPr>
          <w:rtl/>
        </w:rPr>
        <w:t>) וכן הפרעה לשוטר בעת מילוי תפקידו</w:t>
      </w:r>
      <w:bookmarkStart w:id="7" w:name="ABSTRACT_END"/>
      <w:bookmarkEnd w:id="7"/>
      <w:r>
        <w:rPr>
          <w:rtl/>
        </w:rPr>
        <w:t xml:space="preserve"> לפי סעיף 275 לחוק העונשין. על פי עובדות כתב האישום בתאריך 5.8.12 התקבלה שיחת טלפון במוקד השליטה של משטרת ישראל (להלן: </w:t>
      </w:r>
      <w:r>
        <w:rPr>
          <w:b/>
          <w:bCs/>
          <w:rtl/>
        </w:rPr>
        <w:t>השיחה</w:t>
      </w:r>
      <w:r>
        <w:rPr>
          <w:rtl/>
        </w:rPr>
        <w:t xml:space="preserve">) מטעם אדם אלמוני שזהותו אינה ידועה למאשימה. במהלך השיחה מסר האלמוני כי רכב מסוג ב.מ.וו בצבע ירוק (להלן: </w:t>
      </w:r>
      <w:r>
        <w:rPr>
          <w:b/>
          <w:bCs/>
          <w:rtl/>
        </w:rPr>
        <w:t>הרכב</w:t>
      </w:r>
      <w:r>
        <w:rPr>
          <w:rtl/>
        </w:rPr>
        <w:t xml:space="preserve">) ואשר בו נהגה אישה הגיע אל מול בית הספר "אופק" ובחור שישב לצידה ירד מהרכב, נפגש עם אחר ושב לרכב. עוד מסר אלמוני כי הינו מבחין ברכב עוזב את המקום והכווין את המשטרה באשר למסלול נסיעתו. בעקבות השיחה הגיעו שני שוטרים למקום </w:t>
      </w:r>
      <w:r>
        <w:rPr>
          <w:rtl/>
        </w:rPr>
        <w:lastRenderedPageBreak/>
        <w:t xml:space="preserve">בניידת משטרתית, כאשר הם נוסעים אחרי הרכב. בסמוך לצומת ניר צבי נעצר הרכב  במופע רמזור אדום והניידת נעצרה אחריו. השוטרים יצאו מהניידת וניגשו לרכב תוך שהם צועקים לעברם "משטרה". באותן נסיבות הכניס הנאשם לפיו שקית אשר הכילה סם מסוכן מסוג הרואין, מחולק ל-9 מנות, במשקל של 7.0773 גרם נטו ולגם מים מבקבוק שתיה שהיה ברכב במטרה לבלוע את הסם. משהבחינו בכך השוטרים ניסו לאזוק את הנאשם בידיו אולם הנאשם בתגובה החל להניף ידיו לכל עבר וכל זאת כאשר השקית נמצאת בפיו. משהצליחו השוטרים לאזוק את ידיו של הנאשם והוציאו אותו מהרכב, השתטח הנאשם על הכביש כאשר הוא שכוב על בטנו, המשיך להשתולל ולהרים את ידיו האזוקות לכיוון פיו, הוציא את השקית והכניסה אל מתחת לרכב. </w:t>
      </w:r>
    </w:p>
    <w:p w14:paraId="29ECC5E6" w14:textId="77777777" w:rsidR="00600833" w:rsidRDefault="00600833">
      <w:pPr>
        <w:spacing w:line="360" w:lineRule="auto"/>
        <w:jc w:val="both"/>
        <w:rPr>
          <w:rtl/>
        </w:rPr>
      </w:pPr>
    </w:p>
    <w:p w14:paraId="7B70CEC2" w14:textId="77777777" w:rsidR="00600833" w:rsidRDefault="00332EDC">
      <w:pPr>
        <w:pStyle w:val="1"/>
        <w:rPr>
          <w:rFonts w:cs="David"/>
          <w:sz w:val="28"/>
          <w:szCs w:val="28"/>
          <w:u w:val="single"/>
          <w:rtl/>
        </w:rPr>
      </w:pPr>
      <w:r>
        <w:rPr>
          <w:rFonts w:cs="David"/>
          <w:sz w:val="28"/>
          <w:szCs w:val="28"/>
          <w:u w:val="single"/>
          <w:rtl/>
        </w:rPr>
        <w:t xml:space="preserve">טיעוני הצדדים לעונש </w:t>
      </w:r>
    </w:p>
    <w:p w14:paraId="31B8F03F" w14:textId="77777777" w:rsidR="00600833" w:rsidRDefault="00600833">
      <w:pPr>
        <w:spacing w:line="360" w:lineRule="auto"/>
        <w:jc w:val="both"/>
        <w:rPr>
          <w:rtl/>
        </w:rPr>
      </w:pPr>
    </w:p>
    <w:p w14:paraId="1EE57FD3" w14:textId="77777777" w:rsidR="00600833" w:rsidRDefault="00332EDC">
      <w:pPr>
        <w:pStyle w:val="a6"/>
        <w:ind w:left="720" w:hanging="720"/>
        <w:rPr>
          <w:rFonts w:cs="David"/>
          <w:rtl/>
        </w:rPr>
      </w:pPr>
      <w:r>
        <w:rPr>
          <w:rFonts w:cs="David" w:hint="cs"/>
          <w:rtl/>
        </w:rPr>
        <w:t>2.</w:t>
      </w:r>
      <w:r>
        <w:rPr>
          <w:rFonts w:cs="David" w:hint="cs"/>
          <w:rtl/>
        </w:rPr>
        <w:tab/>
      </w:r>
      <w:r>
        <w:rPr>
          <w:rFonts w:cs="David"/>
          <w:rtl/>
        </w:rPr>
        <w:t xml:space="preserve">באת כוח המאשימה הפנתה לעברו הפלילי של הנאשם אשר כולל 21 הרשעות קודמות בעבירות סמים, רכוש, סחיטה, הפרת הוראה חוקית ואלימות. הנאשם ריצה מספר עונשי מאסר בפועל בעבר וחלקם אף לתקופות ממושכות. לחובתו של הנאשם מאסר על תנאי של 12 חודשים על כל עבירה מסוג פשע לפי </w:t>
      </w:r>
      <w:hyperlink r:id="rId12" w:history="1">
        <w:r w:rsidR="00C91702" w:rsidRPr="00C91702">
          <w:rPr>
            <w:rStyle w:val="Hyperlink"/>
            <w:rFonts w:cs="David"/>
            <w:rtl/>
          </w:rPr>
          <w:t>פקודת הסמים המסוכנים</w:t>
        </w:r>
      </w:hyperlink>
      <w:r>
        <w:rPr>
          <w:rFonts w:cs="David"/>
          <w:rtl/>
        </w:rPr>
        <w:t xml:space="preserve"> של בית משפט השלום באילת ב</w:t>
      </w:r>
      <w:r w:rsidRPr="009045B5">
        <w:rPr>
          <w:rFonts w:cs="David"/>
          <w:color w:val="000000"/>
          <w:rtl/>
        </w:rPr>
        <w:t>ת"פ 1393/08</w:t>
      </w:r>
      <w:r>
        <w:rPr>
          <w:rFonts w:cs="David"/>
          <w:rtl/>
        </w:rPr>
        <w:t xml:space="preserve">. המאשימה טענה כי מתחם העונש ההולם נע בין 8 חודשי מאסר בפועל ועד 18 חודשי מאסר בפועל וכן עתרה לחילוט הרכב. </w:t>
      </w:r>
    </w:p>
    <w:p w14:paraId="65657A72" w14:textId="77777777" w:rsidR="00600833" w:rsidRDefault="00600833">
      <w:pPr>
        <w:spacing w:line="360" w:lineRule="auto"/>
        <w:jc w:val="both"/>
        <w:rPr>
          <w:rtl/>
        </w:rPr>
      </w:pPr>
    </w:p>
    <w:p w14:paraId="01175B7B" w14:textId="77777777" w:rsidR="00600833" w:rsidRDefault="00332EDC">
      <w:pPr>
        <w:spacing w:line="360" w:lineRule="auto"/>
        <w:ind w:left="720" w:hanging="720"/>
        <w:jc w:val="both"/>
        <w:rPr>
          <w:rtl/>
        </w:rPr>
      </w:pPr>
      <w:r>
        <w:rPr>
          <w:rFonts w:hint="cs"/>
          <w:rtl/>
        </w:rPr>
        <w:t>3.</w:t>
      </w:r>
      <w:r>
        <w:rPr>
          <w:rFonts w:hint="cs"/>
          <w:rtl/>
        </w:rPr>
        <w:tab/>
      </w:r>
      <w:r>
        <w:rPr>
          <w:rtl/>
        </w:rPr>
        <w:t xml:space="preserve">באת כוח הנאשם טענה כי העבירות נשוא כתב האישום בוצעו לקראת סוף תקופת המאסר המותנה שתלוי ועומד כנגדו ולכן יש לקחת נתון זה בחשבון בעת גזירת הדין. כמו כן, הפנתה לעובדה שהינו מכור לסמים קשים מזה שנים רבות ואין מסביבו משפחה תומכת מחוץ לכותלי בית הסוהר ועתרה שלא לחלט את הרכב מאחר ולא מתקיימים התנאים לחילוטו. הנאשם הביע חרטה על מעשיו והצביע על הקושי בשילובו בגמילה מסמים בתוך כותלי בית הסוהר (ראו </w:t>
      </w:r>
      <w:r>
        <w:rPr>
          <w:rFonts w:hint="cs"/>
          <w:rtl/>
        </w:rPr>
        <w:t>דברי הנאשם ב</w:t>
      </w:r>
      <w:r>
        <w:rPr>
          <w:rtl/>
        </w:rPr>
        <w:t xml:space="preserve">פרוטוקול מיום 29.1.13 עמ' 30 ש' 27 עד עמ' 31 ש' 5). </w:t>
      </w:r>
    </w:p>
    <w:p w14:paraId="781D3F05" w14:textId="77777777" w:rsidR="00600833" w:rsidRDefault="00600833">
      <w:pPr>
        <w:spacing w:line="360" w:lineRule="auto"/>
        <w:jc w:val="both"/>
        <w:rPr>
          <w:rtl/>
        </w:rPr>
      </w:pPr>
    </w:p>
    <w:p w14:paraId="15078BA5" w14:textId="77777777" w:rsidR="00600833" w:rsidRDefault="00332EDC">
      <w:pPr>
        <w:pStyle w:val="1"/>
        <w:rPr>
          <w:rFonts w:cs="David"/>
          <w:sz w:val="28"/>
          <w:szCs w:val="28"/>
          <w:u w:val="single"/>
          <w:rtl/>
        </w:rPr>
      </w:pPr>
      <w:r>
        <w:rPr>
          <w:rFonts w:cs="David"/>
          <w:sz w:val="28"/>
          <w:szCs w:val="28"/>
          <w:u w:val="single"/>
          <w:rtl/>
        </w:rPr>
        <w:t>דיון והכרעה</w:t>
      </w:r>
    </w:p>
    <w:p w14:paraId="5D84FC73" w14:textId="77777777" w:rsidR="00600833" w:rsidRDefault="00600833">
      <w:pPr>
        <w:spacing w:line="360" w:lineRule="auto"/>
        <w:jc w:val="both"/>
        <w:rPr>
          <w:rtl/>
        </w:rPr>
      </w:pPr>
    </w:p>
    <w:p w14:paraId="51D5BADE" w14:textId="77777777" w:rsidR="00600833" w:rsidRDefault="00332EDC">
      <w:pPr>
        <w:spacing w:line="360" w:lineRule="auto"/>
        <w:ind w:left="720" w:hanging="720"/>
        <w:jc w:val="both"/>
        <w:rPr>
          <w:rtl/>
        </w:rPr>
      </w:pPr>
      <w:r>
        <w:rPr>
          <w:rFonts w:hint="cs"/>
          <w:rtl/>
        </w:rPr>
        <w:t>4.</w:t>
      </w:r>
      <w:r>
        <w:rPr>
          <w:rFonts w:hint="cs"/>
          <w:rtl/>
        </w:rPr>
        <w:tab/>
      </w:r>
      <w:r>
        <w:rPr>
          <w:rtl/>
        </w:rPr>
        <w:t xml:space="preserve">הנאשם הורשע בביצוע עבירה של החזקת סם שלא לצריכה עצמית, כאשר מדובר בסם מסוג הרואין במשקל של 7.0073 גרם נטו, בצירוף עבירות של הפרעה לשוטר במילוי תפקידו וכן שיבוש מהלכי משפט. בעת קביעת מתחם העונש ההולם יש ליתן את הדעת </w:t>
      </w:r>
      <w:r>
        <w:rPr>
          <w:rFonts w:hint="cs"/>
          <w:b/>
          <w:bCs/>
          <w:rtl/>
        </w:rPr>
        <w:t>ל</w:t>
      </w:r>
      <w:r>
        <w:rPr>
          <w:b/>
          <w:bCs/>
          <w:rtl/>
        </w:rPr>
        <w:t>סוג העבירה</w:t>
      </w:r>
      <w:r>
        <w:rPr>
          <w:rtl/>
        </w:rPr>
        <w:t xml:space="preserve"> (החזקת סם שלא לצריכה עצמית), </w:t>
      </w:r>
      <w:r>
        <w:rPr>
          <w:b/>
          <w:bCs/>
          <w:rtl/>
        </w:rPr>
        <w:t>סוג הסם</w:t>
      </w:r>
      <w:r>
        <w:rPr>
          <w:rtl/>
        </w:rPr>
        <w:t xml:space="preserve"> (הרואין) </w:t>
      </w:r>
      <w:r>
        <w:rPr>
          <w:b/>
          <w:bCs/>
          <w:rtl/>
        </w:rPr>
        <w:t>וכמות הסם</w:t>
      </w:r>
      <w:r>
        <w:rPr>
          <w:rtl/>
        </w:rPr>
        <w:t xml:space="preserve"> (7.0073 גרם). נביא להלן דוגמאות מהפסיקה להחזקת סם מסוג הרואין (או קוקאין, שנמצא באותה קטגוריה, ראו סעיף 31(3) ל</w:t>
      </w:r>
      <w:hyperlink r:id="rId13" w:history="1">
        <w:r w:rsidR="00C91702" w:rsidRPr="00C91702">
          <w:rPr>
            <w:rStyle w:val="Hyperlink"/>
            <w:rtl/>
          </w:rPr>
          <w:t>פקודת הסמים המסוכנים</w:t>
        </w:r>
      </w:hyperlink>
      <w:r>
        <w:rPr>
          <w:rtl/>
        </w:rPr>
        <w:t xml:space="preserve"> וכן התוספת השניה לפקודה, ואשר לפיהן החזקה </w:t>
      </w:r>
      <w:r>
        <w:rPr>
          <w:rtl/>
        </w:rPr>
        <w:lastRenderedPageBreak/>
        <w:t>של סם מסוג הרואין או קוקאין בכמות סם של מעל 0.3 גרם , יוצרת חזקה שהסם הוחזק שלא לצריכה עצמית)</w:t>
      </w:r>
      <w:r>
        <w:rPr>
          <w:rFonts w:hint="cs"/>
          <w:rtl/>
        </w:rPr>
        <w:t>:</w:t>
      </w:r>
      <w:r>
        <w:rPr>
          <w:rtl/>
        </w:rPr>
        <w:t xml:space="preserve"> </w:t>
      </w:r>
    </w:p>
    <w:p w14:paraId="0F6EB07E" w14:textId="77777777" w:rsidR="00600833" w:rsidRDefault="00600833">
      <w:pPr>
        <w:spacing w:line="360" w:lineRule="auto"/>
        <w:jc w:val="both"/>
        <w:rPr>
          <w:rtl/>
        </w:rPr>
      </w:pPr>
    </w:p>
    <w:p w14:paraId="24757D16" w14:textId="77777777" w:rsidR="00600833" w:rsidRDefault="00C91702">
      <w:pPr>
        <w:numPr>
          <w:ilvl w:val="0"/>
          <w:numId w:val="1"/>
        </w:numPr>
        <w:spacing w:line="360" w:lineRule="auto"/>
        <w:jc w:val="both"/>
      </w:pPr>
      <w:hyperlink r:id="rId14" w:history="1">
        <w:r w:rsidRPr="00C91702">
          <w:rPr>
            <w:rStyle w:val="Hyperlink"/>
            <w:rtl/>
          </w:rPr>
          <w:t>רע"פ 7572/12</w:t>
        </w:r>
      </w:hyperlink>
      <w:r w:rsidR="00332EDC">
        <w:rPr>
          <w:rtl/>
        </w:rPr>
        <w:t xml:space="preserve"> </w:t>
      </w:r>
      <w:r w:rsidR="00332EDC">
        <w:rPr>
          <w:b/>
          <w:bCs/>
          <w:rtl/>
        </w:rPr>
        <w:t xml:space="preserve">הוזייל </w:t>
      </w:r>
      <w:r w:rsidR="00332EDC">
        <w:rPr>
          <w:rtl/>
        </w:rPr>
        <w:t>נ'</w:t>
      </w:r>
      <w:r w:rsidR="00332EDC">
        <w:rPr>
          <w:b/>
          <w:bCs/>
          <w:rtl/>
        </w:rPr>
        <w:t xml:space="preserve"> מדינת ישראל</w:t>
      </w:r>
      <w:r w:rsidR="00332EDC">
        <w:rPr>
          <w:rtl/>
        </w:rPr>
        <w:t xml:space="preserve"> [פורסם בנבו] ניתן ביום 23.10.12. במקרה זה, המבקש הורשע בהחזקת סם שלא לצריכה עצמית והפרעה לשוטר בשעת מילוי תפקידו, בכך שהחזיק 8 יחידות של סם מסוכן מסוג הרואין במשקל כולל של כ-5.3 גרם נטו. כאשר הבחין המבקש בשוטר המתקדם לעברו, השליך את הסם והתחיל במנוסה. השוטר החל לדלוק אחרי המבקש והורה לו לעצור אך המבקש לא שעה להוראות השוטר והמשיך במנוסתו. לאחר מרדף קצר, נתפס המבקש על ידי שוטר נוסף שהיה בקרבת מקום והצטרף למרדף. המבקש היה מכור לסמים קשים ולחובתו עבר פלילי הכולל הרשעות בעבירה של החזקת סם שלא לצריכה עצמית. בית משפט השלום גזר על המבקש 12 חודשי מאסר לריצוי בפועל ומאסר על תנאי. ערעור שהוגש לבי</w:t>
      </w:r>
      <w:r w:rsidR="00332EDC">
        <w:rPr>
          <w:rFonts w:hint="cs"/>
          <w:rtl/>
        </w:rPr>
        <w:t>ת המשפט</w:t>
      </w:r>
      <w:r w:rsidR="00332EDC">
        <w:rPr>
          <w:rtl/>
        </w:rPr>
        <w:t xml:space="preserve"> המחוזי נדחה וכן גם נדחתה בקשת רשות ערעור שהוגשה לבי</w:t>
      </w:r>
      <w:r w:rsidR="00332EDC">
        <w:rPr>
          <w:rFonts w:hint="cs"/>
          <w:rtl/>
        </w:rPr>
        <w:t>ת המשפט</w:t>
      </w:r>
      <w:r w:rsidR="00332EDC">
        <w:rPr>
          <w:rtl/>
        </w:rPr>
        <w:t xml:space="preserve"> העליון. </w:t>
      </w:r>
    </w:p>
    <w:p w14:paraId="4A4C6805" w14:textId="77777777" w:rsidR="00600833" w:rsidRDefault="00600833">
      <w:pPr>
        <w:spacing w:line="360" w:lineRule="auto"/>
        <w:ind w:left="720"/>
        <w:jc w:val="both"/>
      </w:pPr>
    </w:p>
    <w:p w14:paraId="703F560A" w14:textId="77777777" w:rsidR="00600833" w:rsidRDefault="00C91702">
      <w:pPr>
        <w:numPr>
          <w:ilvl w:val="0"/>
          <w:numId w:val="1"/>
        </w:numPr>
        <w:spacing w:line="360" w:lineRule="auto"/>
        <w:jc w:val="both"/>
      </w:pPr>
      <w:hyperlink r:id="rId15" w:history="1">
        <w:r w:rsidRPr="00C91702">
          <w:rPr>
            <w:rStyle w:val="Hyperlink"/>
            <w:rtl/>
          </w:rPr>
          <w:t>רע"פ 1188/08</w:t>
        </w:r>
      </w:hyperlink>
      <w:r w:rsidR="00332EDC">
        <w:rPr>
          <w:b/>
          <w:bCs/>
          <w:rtl/>
        </w:rPr>
        <w:t xml:space="preserve"> חלבי</w:t>
      </w:r>
      <w:r w:rsidR="00332EDC">
        <w:rPr>
          <w:rtl/>
        </w:rPr>
        <w:t xml:space="preserve">  נ'</w:t>
      </w:r>
      <w:r w:rsidR="00332EDC">
        <w:rPr>
          <w:b/>
          <w:bCs/>
          <w:rtl/>
        </w:rPr>
        <w:t xml:space="preserve"> מדינת ישראל </w:t>
      </w:r>
      <w:r w:rsidR="00332EDC">
        <w:rPr>
          <w:rtl/>
        </w:rPr>
        <w:t xml:space="preserve">[פורסם בנבו] ניתן ביום 12.2.08. במקרה זה, המבקש החזיק 15 גרם הרואין. הצדדים הגיעו להסדר טיעון לפיו יושתו על הנאשם 6 חודשי מאסר בפועל, ואם תסקיר שירות המבחן יהיה חיובי ניתן יהיה לרצותם בעבודות שירות. התסקיר היה שלילי והנאשם ריצה </w:t>
      </w:r>
      <w:r w:rsidR="00332EDC">
        <w:rPr>
          <w:rFonts w:hint="cs"/>
          <w:rtl/>
        </w:rPr>
        <w:t>את תקופת ה</w:t>
      </w:r>
      <w:r w:rsidR="00332EDC">
        <w:rPr>
          <w:rtl/>
        </w:rPr>
        <w:t>מאסר בפועל. ערעורו נדחה על ידי בית המשפט המחוזי וכ</w:t>
      </w:r>
      <w:r w:rsidR="00332EDC">
        <w:rPr>
          <w:rFonts w:hint="cs"/>
          <w:rtl/>
        </w:rPr>
        <w:t>ן</w:t>
      </w:r>
      <w:r w:rsidR="00332EDC">
        <w:rPr>
          <w:rtl/>
        </w:rPr>
        <w:t xml:space="preserve"> גם </w:t>
      </w:r>
      <w:r w:rsidR="00332EDC">
        <w:rPr>
          <w:rFonts w:hint="cs"/>
          <w:rtl/>
        </w:rPr>
        <w:t xml:space="preserve">נדחתה </w:t>
      </w:r>
      <w:r w:rsidR="00332EDC">
        <w:rPr>
          <w:rtl/>
        </w:rPr>
        <w:t>בקשת רשות ערעור שהוגשה לבית המשפט העליון.</w:t>
      </w:r>
    </w:p>
    <w:p w14:paraId="48D4AFC0" w14:textId="77777777" w:rsidR="00600833" w:rsidRDefault="00600833">
      <w:pPr>
        <w:spacing w:line="360" w:lineRule="auto"/>
        <w:ind w:left="720"/>
        <w:jc w:val="both"/>
      </w:pPr>
    </w:p>
    <w:p w14:paraId="226724CE" w14:textId="77777777" w:rsidR="00600833" w:rsidRDefault="00C91702">
      <w:pPr>
        <w:numPr>
          <w:ilvl w:val="0"/>
          <w:numId w:val="1"/>
        </w:numPr>
        <w:spacing w:line="360" w:lineRule="auto"/>
        <w:jc w:val="both"/>
      </w:pPr>
      <w:hyperlink r:id="rId16" w:history="1">
        <w:r w:rsidRPr="00C91702">
          <w:rPr>
            <w:rStyle w:val="Hyperlink"/>
            <w:rtl/>
          </w:rPr>
          <w:t>רע"פ 5354/12</w:t>
        </w:r>
      </w:hyperlink>
      <w:r w:rsidR="00332EDC">
        <w:rPr>
          <w:rtl/>
        </w:rPr>
        <w:t xml:space="preserve"> </w:t>
      </w:r>
      <w:r w:rsidR="00332EDC">
        <w:rPr>
          <w:b/>
          <w:bCs/>
          <w:rtl/>
        </w:rPr>
        <w:t>קובר</w:t>
      </w:r>
      <w:r w:rsidR="00332EDC">
        <w:rPr>
          <w:rtl/>
        </w:rPr>
        <w:t xml:space="preserve"> נ' </w:t>
      </w:r>
      <w:r w:rsidR="00332EDC">
        <w:rPr>
          <w:b/>
          <w:bCs/>
          <w:rtl/>
        </w:rPr>
        <w:t>מדינת ישראל</w:t>
      </w:r>
      <w:r w:rsidR="00332EDC">
        <w:rPr>
          <w:rtl/>
        </w:rPr>
        <w:t xml:space="preserve"> [פורסם בנבו] ניתן ביום 12.7.12. המבקש החזיק סם מסוג קוקאין במשקל כולל של 37.96 גרם נטו. לחובתו של המבקש עבר פלילי מכביד לרבות בעבירות סמים. בית משפט השלום השית על המבקש 14 חודשי מאסר בפועל, מאסר על תנאי, קנס כספי בסך של 4,000 ₪  ופסילת רישיון נהיגה. ערעור</w:t>
      </w:r>
      <w:r w:rsidR="00332EDC">
        <w:rPr>
          <w:rFonts w:hint="cs"/>
          <w:rtl/>
        </w:rPr>
        <w:t xml:space="preserve"> לבית המשפט המחוזי</w:t>
      </w:r>
      <w:r w:rsidR="00332EDC">
        <w:rPr>
          <w:rtl/>
        </w:rPr>
        <w:t xml:space="preserve"> על חומרת העונש נדחה וכ</w:t>
      </w:r>
      <w:r w:rsidR="00332EDC">
        <w:rPr>
          <w:rFonts w:hint="cs"/>
          <w:rtl/>
        </w:rPr>
        <w:t>ן</w:t>
      </w:r>
      <w:r w:rsidR="00332EDC">
        <w:rPr>
          <w:rtl/>
        </w:rPr>
        <w:t xml:space="preserve"> </w:t>
      </w:r>
      <w:r w:rsidR="00332EDC">
        <w:rPr>
          <w:rFonts w:hint="cs"/>
          <w:rtl/>
        </w:rPr>
        <w:t xml:space="preserve">נדחתה </w:t>
      </w:r>
      <w:r w:rsidR="00332EDC">
        <w:rPr>
          <w:rtl/>
        </w:rPr>
        <w:t>גם בקשת רשות ערעור שהוגשה לבי</w:t>
      </w:r>
      <w:r w:rsidR="00332EDC">
        <w:rPr>
          <w:rFonts w:hint="cs"/>
          <w:rtl/>
        </w:rPr>
        <w:t xml:space="preserve">ת המשפט </w:t>
      </w:r>
      <w:r w:rsidR="00332EDC">
        <w:rPr>
          <w:rtl/>
        </w:rPr>
        <w:t>העליון. בפסקה 10 להחלטתו של כבוד השופט שוהם נאמרו הדברים הבאים:</w:t>
      </w:r>
    </w:p>
    <w:p w14:paraId="69FBB452" w14:textId="77777777" w:rsidR="00600833" w:rsidRDefault="00600833">
      <w:pPr>
        <w:spacing w:line="360" w:lineRule="auto"/>
        <w:ind w:left="720"/>
        <w:jc w:val="both"/>
      </w:pPr>
    </w:p>
    <w:p w14:paraId="7841A48C" w14:textId="77777777" w:rsidR="00600833" w:rsidRDefault="00332EDC">
      <w:pPr>
        <w:spacing w:line="360" w:lineRule="auto"/>
        <w:ind w:left="2880"/>
        <w:jc w:val="both"/>
        <w:rPr>
          <w:rtl/>
        </w:rPr>
      </w:pPr>
      <w:r>
        <w:rPr>
          <w:rtl/>
        </w:rPr>
        <w:t xml:space="preserve">" בנוסף, לא שוכנעתי כי דובר בענייננו במקרה חריג, בו שיקולי הצדק מצדיקים מתן רשות ערעור (ראו: </w:t>
      </w:r>
      <w:hyperlink r:id="rId17" w:history="1">
        <w:r w:rsidR="00C91702" w:rsidRPr="00C91702">
          <w:rPr>
            <w:rStyle w:val="Hyperlink"/>
            <w:rtl/>
          </w:rPr>
          <w:t>רע"פ 5066/09</w:t>
        </w:r>
      </w:hyperlink>
      <w:r>
        <w:rPr>
          <w:rtl/>
        </w:rPr>
        <w:t xml:space="preserve"> </w:t>
      </w:r>
      <w:r>
        <w:rPr>
          <w:b/>
          <w:bCs/>
          <w:rtl/>
        </w:rPr>
        <w:t xml:space="preserve">אוחיון </w:t>
      </w:r>
      <w:r>
        <w:rPr>
          <w:rtl/>
        </w:rPr>
        <w:t>נ'</w:t>
      </w:r>
      <w:r>
        <w:rPr>
          <w:b/>
          <w:bCs/>
          <w:rtl/>
        </w:rPr>
        <w:t xml:space="preserve"> מדינת ישראל</w:t>
      </w:r>
      <w:r>
        <w:rPr>
          <w:rtl/>
        </w:rPr>
        <w:t xml:space="preserve"> (פורסם בנבו) (22.4.10) (להלן: </w:t>
      </w:r>
      <w:r>
        <w:rPr>
          <w:b/>
          <w:bCs/>
          <w:rtl/>
        </w:rPr>
        <w:t>עניין אוחיון</w:t>
      </w:r>
      <w:r>
        <w:rPr>
          <w:rtl/>
        </w:rPr>
        <w:t>). לטעמי, העונש מבטא באופן ראוי את חומרת עב</w:t>
      </w:r>
      <w:r>
        <w:rPr>
          <w:rFonts w:hint="cs"/>
          <w:rtl/>
        </w:rPr>
        <w:t>י</w:t>
      </w:r>
      <w:r>
        <w:rPr>
          <w:rtl/>
        </w:rPr>
        <w:t xml:space="preserve">רותיו של המבקש, תוך התחשבות בשיקול </w:t>
      </w:r>
      <w:r>
        <w:rPr>
          <w:rFonts w:hint="cs"/>
          <w:rtl/>
        </w:rPr>
        <w:t>ה</w:t>
      </w:r>
      <w:r>
        <w:rPr>
          <w:rtl/>
        </w:rPr>
        <w:t xml:space="preserve">שיקומי, בנסיבותיו האישיות וביתר השיקולים לקולא. סבורני,  כי העונש שהושת על המבקש אינו חמור יתר על המידה, בשים לב לעובדה כי ברשותו נתפסה כמות סם, גדולה יחסית, שלא לצריכה עצמית. אף על פי שמתחם העונש ההולם, שנקבע על ידי בית משפט השלום, נע בין 18 ל-36 חודשי מאסר בפועל, סטה בית משפט מהמתחם לקולא, בהתחשב בשיקול השיקומי". </w:t>
      </w:r>
    </w:p>
    <w:p w14:paraId="09528B3E" w14:textId="77777777" w:rsidR="00600833" w:rsidRDefault="00600833">
      <w:pPr>
        <w:spacing w:line="360" w:lineRule="auto"/>
        <w:jc w:val="both"/>
        <w:rPr>
          <w:rtl/>
        </w:rPr>
      </w:pPr>
    </w:p>
    <w:p w14:paraId="3EB49115" w14:textId="77777777" w:rsidR="00600833" w:rsidRDefault="00332EDC">
      <w:pPr>
        <w:spacing w:line="360" w:lineRule="auto"/>
        <w:ind w:left="720" w:hanging="720"/>
        <w:jc w:val="both"/>
        <w:rPr>
          <w:rtl/>
        </w:rPr>
      </w:pPr>
      <w:r>
        <w:rPr>
          <w:rFonts w:hint="cs"/>
          <w:rtl/>
        </w:rPr>
        <w:t>5.</w:t>
      </w:r>
      <w:r>
        <w:rPr>
          <w:rFonts w:hint="cs"/>
          <w:rtl/>
        </w:rPr>
        <w:tab/>
      </w:r>
      <w:r>
        <w:rPr>
          <w:rtl/>
        </w:rPr>
        <w:t xml:space="preserve">לעבירה של החזקת סם שלא לצריכה עצמית נתלוו שתי עבירות נוספות, הפרעה לשוטר במילוי תפקידו ושיבוש מהלכי משפט. הנני סבור כי מדובר במספר עבירות המהוות </w:t>
      </w:r>
      <w:r>
        <w:rPr>
          <w:b/>
          <w:bCs/>
          <w:rtl/>
        </w:rPr>
        <w:t>אירוע אחד</w:t>
      </w:r>
      <w:r>
        <w:rPr>
          <w:rtl/>
        </w:rPr>
        <w:t>, וזאת כאמור בסעיף 40יג(א) ל</w:t>
      </w:r>
      <w:hyperlink r:id="rId18" w:history="1">
        <w:r w:rsidR="00C91702" w:rsidRPr="00C91702">
          <w:rPr>
            <w:rStyle w:val="Hyperlink"/>
            <w:rtl/>
          </w:rPr>
          <w:t>חוק העונשין</w:t>
        </w:r>
      </w:hyperlink>
      <w:r>
        <w:rPr>
          <w:rtl/>
        </w:rPr>
        <w:t xml:space="preserve"> ואשר מורה כדלקמן:</w:t>
      </w:r>
    </w:p>
    <w:p w14:paraId="302E9804" w14:textId="77777777" w:rsidR="00600833" w:rsidRDefault="00600833">
      <w:pPr>
        <w:spacing w:line="360" w:lineRule="auto"/>
        <w:jc w:val="both"/>
        <w:rPr>
          <w:rtl/>
        </w:rPr>
      </w:pPr>
    </w:p>
    <w:p w14:paraId="068A8C93" w14:textId="77777777" w:rsidR="00600833" w:rsidRDefault="00332EDC">
      <w:pPr>
        <w:spacing w:line="360" w:lineRule="auto"/>
        <w:ind w:left="2880"/>
        <w:jc w:val="both"/>
        <w:rPr>
          <w:rtl/>
        </w:rPr>
      </w:pPr>
      <w:r>
        <w:rPr>
          <w:rtl/>
        </w:rPr>
        <w:t xml:space="preserve">"הרשיע בית משפט נאשם בכמה עבירות המהוות אירוע אחד, יקבע מתחם עונש הולם כאמור בסעיף 40יג(א) לאירוע כולו, ויגזור עונש כולל לכל העבירות בשל אותו אירוע" </w:t>
      </w:r>
    </w:p>
    <w:p w14:paraId="0C3FA2F2" w14:textId="77777777" w:rsidR="00600833" w:rsidRDefault="00600833">
      <w:pPr>
        <w:spacing w:line="360" w:lineRule="auto"/>
        <w:jc w:val="both"/>
        <w:rPr>
          <w:rtl/>
        </w:rPr>
      </w:pPr>
    </w:p>
    <w:p w14:paraId="005AD298" w14:textId="77777777" w:rsidR="00600833" w:rsidRDefault="00332EDC">
      <w:pPr>
        <w:spacing w:line="360" w:lineRule="auto"/>
        <w:ind w:left="720" w:hanging="720"/>
        <w:jc w:val="both"/>
        <w:rPr>
          <w:rtl/>
        </w:rPr>
      </w:pPr>
      <w:r>
        <w:rPr>
          <w:rFonts w:hint="cs"/>
          <w:rtl/>
        </w:rPr>
        <w:t>6.</w:t>
      </w:r>
      <w:r>
        <w:rPr>
          <w:rFonts w:hint="cs"/>
          <w:rtl/>
        </w:rPr>
        <w:tab/>
      </w:r>
      <w:r>
        <w:rPr>
          <w:rtl/>
        </w:rPr>
        <w:t xml:space="preserve">לפיכך, הנני קובע כי מתחם העונש ההולם לעבירות שבוצעו על ידי הנאשם נע בין 6 חודשי מאסר בפועל ועד 18 חודשי מאסר בפועל. </w:t>
      </w:r>
      <w:r>
        <w:rPr>
          <w:rFonts w:hint="cs"/>
          <w:rtl/>
        </w:rPr>
        <w:t xml:space="preserve">לרכיב המאסר בפועל יש להוסיף מאסר על תנאי, קנס ופסילת רישיון הנהיגה. </w:t>
      </w:r>
    </w:p>
    <w:p w14:paraId="374DB8EE" w14:textId="77777777" w:rsidR="00600833" w:rsidRDefault="00600833">
      <w:pPr>
        <w:spacing w:line="360" w:lineRule="auto"/>
        <w:jc w:val="both"/>
        <w:rPr>
          <w:rtl/>
        </w:rPr>
      </w:pPr>
    </w:p>
    <w:p w14:paraId="3BBC66A4" w14:textId="77777777" w:rsidR="00600833" w:rsidRDefault="00332EDC">
      <w:pPr>
        <w:spacing w:line="360" w:lineRule="auto"/>
        <w:ind w:left="720" w:hanging="720"/>
        <w:jc w:val="both"/>
        <w:rPr>
          <w:rtl/>
        </w:rPr>
      </w:pPr>
      <w:r>
        <w:rPr>
          <w:rFonts w:hint="cs"/>
          <w:rtl/>
        </w:rPr>
        <w:t>7.</w:t>
      </w:r>
      <w:r>
        <w:rPr>
          <w:rFonts w:hint="cs"/>
          <w:rtl/>
        </w:rPr>
        <w:tab/>
      </w:r>
      <w:r>
        <w:rPr>
          <w:rtl/>
        </w:rPr>
        <w:t>בעת קביעת העונש המתאים, לקחתי בחשבון גם את עברו הפלילי המכביד של הנאשם (ראו סעיף 40יא(11) ל</w:t>
      </w:r>
      <w:hyperlink r:id="rId19" w:history="1">
        <w:r w:rsidR="00C91702" w:rsidRPr="00C91702">
          <w:rPr>
            <w:rStyle w:val="Hyperlink"/>
            <w:rtl/>
          </w:rPr>
          <w:t>חוק העונשין</w:t>
        </w:r>
      </w:hyperlink>
      <w:r>
        <w:rPr>
          <w:rtl/>
        </w:rPr>
        <w:t xml:space="preserve">); הנזק שנגרם לחברה מעבירות שבוצעו ומתבטא בכמות וסוג הסם שהוחזק (ראו סעיף 40ט(א)(4) לחוק העונשין); החרטה שהביע הנאשם ורצונו לצאת מהמעגל השוטה של התמכרות לסם (ראו סעיפים 40ט(א)(5) לחוק העונשין, 40יא(4) לחוק העונשין). </w:t>
      </w:r>
    </w:p>
    <w:p w14:paraId="45BA842F" w14:textId="77777777" w:rsidR="00600833" w:rsidRDefault="00600833">
      <w:pPr>
        <w:spacing w:line="360" w:lineRule="auto"/>
        <w:jc w:val="both"/>
        <w:rPr>
          <w:rtl/>
        </w:rPr>
      </w:pPr>
    </w:p>
    <w:p w14:paraId="1F6DDA6A" w14:textId="77777777" w:rsidR="00600833" w:rsidRDefault="00332EDC">
      <w:pPr>
        <w:pStyle w:val="1"/>
        <w:rPr>
          <w:rFonts w:cs="David"/>
          <w:sz w:val="28"/>
          <w:szCs w:val="28"/>
          <w:u w:val="single"/>
          <w:rtl/>
        </w:rPr>
      </w:pPr>
      <w:r>
        <w:rPr>
          <w:rFonts w:cs="David"/>
          <w:sz w:val="28"/>
          <w:szCs w:val="28"/>
          <w:u w:val="single"/>
          <w:rtl/>
        </w:rPr>
        <w:t>הבקשה לחילוט הרכב</w:t>
      </w:r>
    </w:p>
    <w:p w14:paraId="5460D818" w14:textId="77777777" w:rsidR="00600833" w:rsidRDefault="00600833">
      <w:pPr>
        <w:spacing w:line="360" w:lineRule="auto"/>
        <w:jc w:val="both"/>
        <w:rPr>
          <w:rtl/>
        </w:rPr>
      </w:pPr>
    </w:p>
    <w:p w14:paraId="224EE46A" w14:textId="77777777" w:rsidR="00600833" w:rsidRDefault="00332EDC">
      <w:pPr>
        <w:spacing w:line="360" w:lineRule="auto"/>
        <w:jc w:val="both"/>
        <w:rPr>
          <w:rtl/>
        </w:rPr>
      </w:pPr>
      <w:r>
        <w:rPr>
          <w:rFonts w:hint="cs"/>
          <w:rtl/>
        </w:rPr>
        <w:t>8.</w:t>
      </w:r>
      <w:r>
        <w:rPr>
          <w:rFonts w:hint="cs"/>
          <w:rtl/>
        </w:rPr>
        <w:tab/>
      </w:r>
      <w:r>
        <w:rPr>
          <w:rtl/>
        </w:rPr>
        <w:t>בסיפא לכתב האישום נאמר כדלקמן:</w:t>
      </w:r>
    </w:p>
    <w:p w14:paraId="479D8C3A" w14:textId="77777777" w:rsidR="00600833" w:rsidRDefault="00600833">
      <w:pPr>
        <w:spacing w:line="360" w:lineRule="auto"/>
        <w:ind w:left="720"/>
        <w:jc w:val="both"/>
        <w:rPr>
          <w:rtl/>
        </w:rPr>
      </w:pPr>
    </w:p>
    <w:p w14:paraId="02195F1F" w14:textId="77777777" w:rsidR="00600833" w:rsidRDefault="00332EDC">
      <w:pPr>
        <w:spacing w:line="360" w:lineRule="auto"/>
        <w:ind w:left="2880"/>
        <w:jc w:val="both"/>
        <w:rPr>
          <w:u w:val="single"/>
          <w:rtl/>
        </w:rPr>
      </w:pPr>
      <w:r>
        <w:rPr>
          <w:u w:val="single"/>
          <w:rtl/>
        </w:rPr>
        <w:t>"בקשה לחילוט רכוש מכח סעיף 39(א) ל</w:t>
      </w:r>
      <w:r w:rsidRPr="009045B5">
        <w:rPr>
          <w:color w:val="000000"/>
          <w:rtl/>
        </w:rPr>
        <w:t>פקודת סדר הדין הפלילי</w:t>
      </w:r>
      <w:r>
        <w:rPr>
          <w:u w:val="single"/>
          <w:rtl/>
        </w:rPr>
        <w:t xml:space="preserve"> (נוסח חדש) התשכ"ט 1969-</w:t>
      </w:r>
    </w:p>
    <w:p w14:paraId="2262D7C5" w14:textId="77777777" w:rsidR="00600833" w:rsidRDefault="00332EDC">
      <w:pPr>
        <w:spacing w:line="360" w:lineRule="auto"/>
        <w:ind w:left="2880"/>
        <w:jc w:val="both"/>
        <w:rPr>
          <w:rtl/>
        </w:rPr>
      </w:pPr>
      <w:r>
        <w:rPr>
          <w:rtl/>
        </w:rPr>
        <w:t xml:space="preserve">במידה ויורשע הנאשם בעבירה לפי </w:t>
      </w:r>
      <w:hyperlink r:id="rId20" w:history="1">
        <w:r w:rsidR="00C91702" w:rsidRPr="00C91702">
          <w:rPr>
            <w:rStyle w:val="Hyperlink"/>
            <w:rtl/>
          </w:rPr>
          <w:t>פקודת הסמים המסוכנים</w:t>
        </w:r>
      </w:hyperlink>
      <w:r>
        <w:rPr>
          <w:rtl/>
        </w:rPr>
        <w:t xml:space="preserve"> (נוסח חדש) תשל"ג 1973 המיוחסת לו בכתב אישום זה, מתבקש בית משפט נכבד להורות על חילוט הרכוש כדלקמן:</w:t>
      </w:r>
    </w:p>
    <w:p w14:paraId="44FC5A30" w14:textId="77777777" w:rsidR="00600833" w:rsidRDefault="00332EDC">
      <w:pPr>
        <w:spacing w:line="360" w:lineRule="auto"/>
        <w:ind w:left="2880"/>
        <w:jc w:val="both"/>
        <w:rPr>
          <w:rtl/>
        </w:rPr>
      </w:pPr>
      <w:r>
        <w:rPr>
          <w:rtl/>
        </w:rPr>
        <w:t xml:space="preserve">רכב מסוג </w:t>
      </w:r>
      <w:r>
        <w:t>BMW</w:t>
      </w:r>
      <w:r>
        <w:rPr>
          <w:rtl/>
        </w:rPr>
        <w:t xml:space="preserve"> מ.ר 51</w:t>
      </w:r>
      <w:r>
        <w:rPr>
          <w:rFonts w:hint="cs"/>
          <w:rtl/>
        </w:rPr>
        <w:t>-</w:t>
      </w:r>
      <w:r>
        <w:rPr>
          <w:rtl/>
        </w:rPr>
        <w:t>510</w:t>
      </w:r>
      <w:r>
        <w:rPr>
          <w:rFonts w:hint="cs"/>
          <w:rtl/>
        </w:rPr>
        <w:t>-</w:t>
      </w:r>
      <w:r>
        <w:rPr>
          <w:rtl/>
        </w:rPr>
        <w:t xml:space="preserve">16 </w:t>
      </w:r>
    </w:p>
    <w:p w14:paraId="201CC812" w14:textId="77777777" w:rsidR="00600833" w:rsidRDefault="00332EDC">
      <w:pPr>
        <w:spacing w:line="360" w:lineRule="auto"/>
        <w:ind w:left="2880"/>
        <w:jc w:val="both"/>
        <w:rPr>
          <w:rtl/>
        </w:rPr>
      </w:pPr>
      <w:r>
        <w:rPr>
          <w:rtl/>
        </w:rPr>
        <w:t xml:space="preserve">טלפון סלולארי". </w:t>
      </w:r>
    </w:p>
    <w:p w14:paraId="0B340BD8" w14:textId="77777777" w:rsidR="00600833" w:rsidRDefault="00600833">
      <w:pPr>
        <w:spacing w:line="360" w:lineRule="auto"/>
        <w:jc w:val="both"/>
        <w:rPr>
          <w:rFonts w:ascii="Arial" w:hAnsi="Arial"/>
          <w:rtl/>
        </w:rPr>
      </w:pPr>
    </w:p>
    <w:p w14:paraId="66B724E0" w14:textId="77777777" w:rsidR="00600833" w:rsidRDefault="00332EDC">
      <w:pPr>
        <w:spacing w:line="360" w:lineRule="auto"/>
        <w:ind w:left="720" w:hanging="720"/>
        <w:jc w:val="both"/>
        <w:rPr>
          <w:rFonts w:ascii="Arial" w:hAnsi="Arial"/>
          <w:rtl/>
        </w:rPr>
      </w:pPr>
      <w:r>
        <w:rPr>
          <w:rFonts w:ascii="Arial" w:hAnsi="Arial" w:hint="cs"/>
          <w:rtl/>
        </w:rPr>
        <w:t>9.</w:t>
      </w:r>
      <w:r>
        <w:rPr>
          <w:rFonts w:ascii="Arial" w:hAnsi="Arial" w:hint="cs"/>
          <w:rtl/>
        </w:rPr>
        <w:tab/>
      </w:r>
      <w:r>
        <w:rPr>
          <w:rFonts w:ascii="Arial" w:hAnsi="Arial"/>
          <w:rtl/>
        </w:rPr>
        <w:t xml:space="preserve">כמו כן, בשלב ההוכחות ועוד בטרם מתן הכרעת הדין, נאמרו הדברים הבאים ע"י באי כוח הצדדים: </w:t>
      </w:r>
    </w:p>
    <w:p w14:paraId="1B0E8330" w14:textId="77777777" w:rsidR="00600833" w:rsidRDefault="00600833">
      <w:pPr>
        <w:spacing w:line="360" w:lineRule="auto"/>
        <w:jc w:val="both"/>
        <w:rPr>
          <w:rFonts w:ascii="Arial" w:hAnsi="Arial"/>
          <w:rtl/>
        </w:rPr>
      </w:pPr>
    </w:p>
    <w:p w14:paraId="16CB8BCD" w14:textId="77777777" w:rsidR="00600833" w:rsidRDefault="00332EDC">
      <w:pPr>
        <w:spacing w:line="360" w:lineRule="auto"/>
        <w:jc w:val="both"/>
        <w:rPr>
          <w:rFonts w:ascii="Arial" w:hAnsi="Arial"/>
          <w:b/>
          <w:bCs/>
          <w:u w:val="single"/>
          <w:rtl/>
        </w:rPr>
      </w:pPr>
      <w:r>
        <w:rPr>
          <w:rFonts w:ascii="Arial" w:hAnsi="Arial"/>
          <w:rtl/>
        </w:rPr>
        <w:tab/>
      </w:r>
      <w:r>
        <w:rPr>
          <w:rFonts w:ascii="Arial" w:hAnsi="Arial"/>
          <w:rtl/>
        </w:rPr>
        <w:tab/>
      </w:r>
      <w:r>
        <w:rPr>
          <w:rFonts w:ascii="Arial" w:hAnsi="Arial"/>
          <w:rtl/>
        </w:rPr>
        <w:tab/>
      </w:r>
      <w:r>
        <w:rPr>
          <w:rFonts w:ascii="Arial" w:hAnsi="Arial"/>
          <w:rtl/>
        </w:rPr>
        <w:tab/>
        <w:t>"</w:t>
      </w:r>
      <w:r>
        <w:rPr>
          <w:rFonts w:ascii="Arial" w:hAnsi="Arial"/>
          <w:b/>
          <w:bCs/>
          <w:u w:val="single"/>
          <w:rtl/>
        </w:rPr>
        <w:t>ב"כ המאשימה:</w:t>
      </w:r>
    </w:p>
    <w:p w14:paraId="19BEF644" w14:textId="77777777" w:rsidR="00600833" w:rsidRDefault="00332EDC">
      <w:pPr>
        <w:spacing w:line="360" w:lineRule="auto"/>
        <w:ind w:left="2880"/>
        <w:jc w:val="both"/>
        <w:rPr>
          <w:rFonts w:ascii="Arial" w:hAnsi="Arial"/>
          <w:rtl/>
        </w:rPr>
      </w:pPr>
      <w:r>
        <w:rPr>
          <w:rFonts w:ascii="Arial" w:hAnsi="Arial"/>
          <w:rtl/>
        </w:rPr>
        <w:t xml:space="preserve">בתיק זה, במידה והנאשם יורשע, נבקש לחלט את הרכב מסוג ב.מ.וו, המופיע בסעיף 2 לחלק הכללי בכתב האישום. הרכב נמצא בבעלותה של העדה (הגב' אדלינה ליפשיץ – ה.א.ש). </w:t>
      </w:r>
    </w:p>
    <w:p w14:paraId="4DFA4A6C" w14:textId="77777777" w:rsidR="00600833" w:rsidRDefault="00600833">
      <w:pPr>
        <w:spacing w:line="360" w:lineRule="auto"/>
        <w:ind w:left="2880"/>
        <w:jc w:val="both"/>
        <w:rPr>
          <w:rFonts w:ascii="Arial" w:hAnsi="Arial"/>
          <w:rtl/>
        </w:rPr>
      </w:pPr>
    </w:p>
    <w:p w14:paraId="1605E229" w14:textId="77777777" w:rsidR="00600833" w:rsidRDefault="00332EDC">
      <w:pPr>
        <w:spacing w:line="360" w:lineRule="auto"/>
        <w:ind w:left="2880"/>
        <w:jc w:val="both"/>
        <w:rPr>
          <w:rFonts w:ascii="Arial" w:hAnsi="Arial"/>
          <w:b/>
          <w:bCs/>
          <w:u w:val="single"/>
          <w:rtl/>
        </w:rPr>
      </w:pPr>
      <w:r>
        <w:rPr>
          <w:rFonts w:ascii="Arial" w:hAnsi="Arial"/>
          <w:b/>
          <w:bCs/>
          <w:u w:val="single"/>
          <w:rtl/>
        </w:rPr>
        <w:t>ב"כ הנאשם:</w:t>
      </w:r>
    </w:p>
    <w:p w14:paraId="7AC1F8F6" w14:textId="77777777" w:rsidR="00600833" w:rsidRDefault="00332EDC">
      <w:pPr>
        <w:spacing w:line="360" w:lineRule="auto"/>
        <w:ind w:left="2880"/>
        <w:jc w:val="both"/>
        <w:rPr>
          <w:rFonts w:ascii="Arial" w:hAnsi="Arial"/>
          <w:rtl/>
        </w:rPr>
      </w:pPr>
      <w:r>
        <w:rPr>
          <w:rFonts w:ascii="Arial" w:hAnsi="Arial"/>
          <w:rtl/>
        </w:rPr>
        <w:t xml:space="preserve">העניין שייך להליך אחר, העדה צריכה לקבל ייעוץ משפטי לגבי הרכב, שתוגש בקשה מסודרת לחילוט, העבירה היא בעניין שימוש לצריכה עצמית ואין עניין של סחר. יש עניין משפטי שצריך להיבדק. בכל מקרה, בהודעתה במשטרה מסרה כי הרכב נרכש מחציתו מכספה ומחציתו מכספי הנאשם. במידה ובימ"ש ירשיע את הנאשם אנו נתנגד לחילוט. </w:t>
      </w:r>
    </w:p>
    <w:p w14:paraId="7E78ECCD" w14:textId="77777777" w:rsidR="00600833" w:rsidRDefault="00600833">
      <w:pPr>
        <w:spacing w:line="360" w:lineRule="auto"/>
        <w:ind w:left="2880"/>
        <w:jc w:val="both"/>
        <w:rPr>
          <w:rFonts w:ascii="Arial" w:hAnsi="Arial"/>
          <w:rtl/>
        </w:rPr>
      </w:pPr>
    </w:p>
    <w:p w14:paraId="002162FF" w14:textId="77777777" w:rsidR="00600833" w:rsidRDefault="00332EDC">
      <w:pPr>
        <w:spacing w:line="360" w:lineRule="auto"/>
        <w:ind w:left="2880"/>
        <w:jc w:val="both"/>
        <w:rPr>
          <w:rFonts w:ascii="Arial" w:hAnsi="Arial"/>
          <w:b/>
          <w:bCs/>
          <w:u w:val="single"/>
          <w:rtl/>
        </w:rPr>
      </w:pPr>
      <w:r>
        <w:rPr>
          <w:rFonts w:ascii="Arial" w:hAnsi="Arial"/>
          <w:b/>
          <w:bCs/>
          <w:u w:val="single"/>
          <w:rtl/>
        </w:rPr>
        <w:t xml:space="preserve">החלטה </w:t>
      </w:r>
    </w:p>
    <w:p w14:paraId="1BDF811E" w14:textId="77777777" w:rsidR="00600833" w:rsidRDefault="00332EDC">
      <w:pPr>
        <w:spacing w:line="360" w:lineRule="auto"/>
        <w:ind w:left="2880"/>
        <w:jc w:val="both"/>
        <w:rPr>
          <w:rFonts w:ascii="Arial" w:hAnsi="Arial"/>
          <w:rtl/>
        </w:rPr>
      </w:pPr>
      <w:r>
        <w:rPr>
          <w:rFonts w:ascii="Arial" w:hAnsi="Arial"/>
          <w:rtl/>
        </w:rPr>
        <w:t xml:space="preserve">סוגיית החילוט של הרכב תידון בבוא העת, במידה והנאשם יורשע. </w:t>
      </w:r>
    </w:p>
    <w:p w14:paraId="68692361" w14:textId="77777777" w:rsidR="00600833" w:rsidRDefault="00332EDC">
      <w:pPr>
        <w:spacing w:line="360" w:lineRule="auto"/>
        <w:ind w:left="3600" w:firstLine="720"/>
        <w:jc w:val="both"/>
        <w:rPr>
          <w:rFonts w:ascii="Arial" w:hAnsi="Arial"/>
          <w:rtl/>
        </w:rPr>
      </w:pPr>
      <w:r>
        <w:rPr>
          <w:rFonts w:ascii="Arial" w:hAnsi="Arial"/>
          <w:rtl/>
        </w:rPr>
        <w:t>(חתימה)"</w:t>
      </w:r>
    </w:p>
    <w:p w14:paraId="247F3368" w14:textId="77777777" w:rsidR="00600833" w:rsidRDefault="00600833">
      <w:pPr>
        <w:spacing w:line="360" w:lineRule="auto"/>
        <w:jc w:val="both"/>
        <w:rPr>
          <w:rtl/>
        </w:rPr>
      </w:pPr>
    </w:p>
    <w:p w14:paraId="3EE3D73A" w14:textId="77777777" w:rsidR="00600833" w:rsidRDefault="00332EDC">
      <w:pPr>
        <w:spacing w:line="360" w:lineRule="auto"/>
        <w:ind w:left="720" w:hanging="720"/>
        <w:jc w:val="both"/>
        <w:rPr>
          <w:rtl/>
        </w:rPr>
      </w:pPr>
      <w:r>
        <w:rPr>
          <w:rFonts w:hint="cs"/>
          <w:rtl/>
        </w:rPr>
        <w:t>10</w:t>
      </w:r>
      <w:r>
        <w:rPr>
          <w:rtl/>
        </w:rPr>
        <w:t>.</w:t>
      </w:r>
      <w:r>
        <w:rPr>
          <w:rtl/>
        </w:rPr>
        <w:tab/>
        <w:t>בבוא התביעה לבקש את חילוט רכוש</w:t>
      </w:r>
      <w:r>
        <w:rPr>
          <w:rFonts w:hint="cs"/>
          <w:rtl/>
        </w:rPr>
        <w:t>ו</w:t>
      </w:r>
      <w:r>
        <w:rPr>
          <w:rtl/>
        </w:rPr>
        <w:t xml:space="preserve"> של נאשם,</w:t>
      </w:r>
      <w:r>
        <w:rPr>
          <w:rFonts w:hint="cs"/>
          <w:rtl/>
        </w:rPr>
        <w:t xml:space="preserve"> לפי </w:t>
      </w:r>
      <w:hyperlink r:id="rId21" w:history="1">
        <w:r w:rsidR="00C91702" w:rsidRPr="00C91702">
          <w:rPr>
            <w:rStyle w:val="Hyperlink"/>
            <w:rtl/>
          </w:rPr>
          <w:t>פקודת הסמים המסוכנים</w:t>
        </w:r>
      </w:hyperlink>
      <w:r>
        <w:rPr>
          <w:rFonts w:hint="cs"/>
          <w:rtl/>
        </w:rPr>
        <w:t>,</w:t>
      </w:r>
      <w:r>
        <w:rPr>
          <w:rtl/>
        </w:rPr>
        <w:t xml:space="preserve"> פתוחות בפניה ש</w:t>
      </w:r>
      <w:r>
        <w:rPr>
          <w:rFonts w:hint="cs"/>
          <w:rtl/>
        </w:rPr>
        <w:t>ת</w:t>
      </w:r>
      <w:r>
        <w:rPr>
          <w:rtl/>
        </w:rPr>
        <w:t xml:space="preserve">י דרכים לעשות כן: </w:t>
      </w:r>
      <w:r>
        <w:rPr>
          <w:b/>
          <w:bCs/>
          <w:rtl/>
        </w:rPr>
        <w:t>האחת</w:t>
      </w:r>
      <w:r>
        <w:rPr>
          <w:rtl/>
        </w:rPr>
        <w:t xml:space="preserve"> – להוכיח לגבי "סוחר סמים" כי רכוש ספציפי של הנידון הושג בעבירה של עסקת סמים ואזי הרכוש יהפוך לבר חילוט, וזאת לפי סעיף 36א(ב) לפקודה. דרך</w:t>
      </w:r>
      <w:r>
        <w:rPr>
          <w:b/>
          <w:bCs/>
          <w:rtl/>
        </w:rPr>
        <w:t xml:space="preserve"> שניה</w:t>
      </w:r>
      <w:r>
        <w:rPr>
          <w:rtl/>
        </w:rPr>
        <w:t xml:space="preserve"> הפתוחה בפניה היא להסתמך על החזקה שבסעיף 31(6) לפקודה (להלן – </w:t>
      </w:r>
      <w:r>
        <w:rPr>
          <w:b/>
          <w:bCs/>
          <w:rtl/>
        </w:rPr>
        <w:t>החזקה).</w:t>
      </w:r>
      <w:r>
        <w:rPr>
          <w:rtl/>
        </w:rPr>
        <w:t xml:space="preserve"> חזקה זו מבחינה בין רכוש המצוי בחזקתו של הנאשם או בני משפחתו הגרים עימו לבין רכוש של אדם אחר שהנידון מימן את רכישתו או העבירו אליו ללא תמורה. גם אלה ייחשבו מכח החזקה כרכוש שהושג בעבירה של עיסקת סמים, אלא אם הנידון הפריך חזקה זו בדרך המפורטת באותה הוראה. אולם בטרם תוחל החזקה, על התביעה להוכיח את התנאים המוקדמים להחלתה, קרי : כי מדובר ברכוש של הנידון, או רכוש של בן זוגו ושל ילדיו שטרם מלאו להם 21 שנים, או כי מדובר ברכוש של אדם אחר שהנידון מימן את רכישתו, או שהעבירו לאותו אדם ללא תמורה. בלא הוכחת התנאים הרלבנטיים להקמת החזקה היא לא תחול. משעמדה התביעה בנטל להוכיח את חלותה של החזקה, עומדת לנידון הזכות הדיונית להפריך את החזקה כאמור בסעיף 31(6)(א)(אא) ו- (בב) לפקודה. לצורך כך מדובר בנטל הוכחה של </w:t>
      </w:r>
      <w:r>
        <w:rPr>
          <w:b/>
          <w:bCs/>
          <w:rtl/>
        </w:rPr>
        <w:t>מאזן הסתברויות</w:t>
      </w:r>
      <w:r>
        <w:rPr>
          <w:rtl/>
        </w:rPr>
        <w:t xml:space="preserve">, ודי בהגשת גרסת הגנה המסתברת יותר והגיונית יותר מהגרסה הנוגדת (ראו </w:t>
      </w:r>
      <w:hyperlink r:id="rId22" w:history="1">
        <w:r w:rsidR="00C91702" w:rsidRPr="00C91702">
          <w:rPr>
            <w:rStyle w:val="Hyperlink"/>
            <w:rtl/>
          </w:rPr>
          <w:t>ע"פ 4496/04</w:t>
        </w:r>
      </w:hyperlink>
      <w:r>
        <w:rPr>
          <w:rtl/>
        </w:rPr>
        <w:t xml:space="preserve"> </w:t>
      </w:r>
      <w:r>
        <w:rPr>
          <w:b/>
          <w:bCs/>
          <w:rtl/>
        </w:rPr>
        <w:t xml:space="preserve">מחג'נה </w:t>
      </w:r>
      <w:r>
        <w:rPr>
          <w:rtl/>
        </w:rPr>
        <w:t>נ</w:t>
      </w:r>
      <w:r>
        <w:rPr>
          <w:b/>
          <w:bCs/>
          <w:rtl/>
        </w:rPr>
        <w:t>' מדינת ישראל</w:t>
      </w:r>
      <w:r>
        <w:rPr>
          <w:rtl/>
        </w:rPr>
        <w:t xml:space="preserve"> [פורסם בנבו] ניתן ביום 11.9.05 (להלן: </w:t>
      </w:r>
      <w:r>
        <w:rPr>
          <w:b/>
          <w:bCs/>
          <w:rtl/>
        </w:rPr>
        <w:t>הלכת מחג'נה)</w:t>
      </w:r>
      <w:r>
        <w:rPr>
          <w:rtl/>
        </w:rPr>
        <w:t xml:space="preserve"> פסקאות 8 ו- 9). </w:t>
      </w:r>
    </w:p>
    <w:p w14:paraId="45C4999F" w14:textId="77777777" w:rsidR="00600833" w:rsidRDefault="00600833">
      <w:pPr>
        <w:spacing w:line="360" w:lineRule="auto"/>
        <w:ind w:left="720"/>
        <w:jc w:val="both"/>
        <w:rPr>
          <w:rtl/>
        </w:rPr>
      </w:pPr>
    </w:p>
    <w:p w14:paraId="22464287" w14:textId="77777777" w:rsidR="00600833" w:rsidRDefault="00332EDC">
      <w:pPr>
        <w:spacing w:line="360" w:lineRule="auto"/>
        <w:ind w:left="720" w:hanging="720"/>
        <w:jc w:val="both"/>
        <w:rPr>
          <w:rFonts w:ascii="Arial" w:hAnsi="Arial"/>
          <w:rtl/>
        </w:rPr>
      </w:pPr>
      <w:r>
        <w:rPr>
          <w:rFonts w:ascii="Arial" w:hAnsi="Arial" w:hint="cs"/>
          <w:rtl/>
        </w:rPr>
        <w:t>11.</w:t>
      </w:r>
      <w:r>
        <w:rPr>
          <w:rFonts w:ascii="Arial" w:hAnsi="Arial" w:hint="cs"/>
          <w:rtl/>
        </w:rPr>
        <w:tab/>
      </w:r>
      <w:r>
        <w:rPr>
          <w:rFonts w:ascii="Arial" w:hAnsi="Arial"/>
          <w:rtl/>
        </w:rPr>
        <w:t>בשלב הטיעונים לעונש, המאשימה ביקשה להסתמך על החזקה שמופיעה בסעיף 31(6)(א) ל</w:t>
      </w:r>
      <w:hyperlink r:id="rId23" w:history="1">
        <w:r w:rsidR="00C91702" w:rsidRPr="00C91702">
          <w:rPr>
            <w:rStyle w:val="Hyperlink"/>
            <w:rFonts w:ascii="Arial" w:hAnsi="Arial"/>
            <w:rtl/>
          </w:rPr>
          <w:t>פקודת הסמים המסוכנים</w:t>
        </w:r>
      </w:hyperlink>
      <w:r>
        <w:rPr>
          <w:rFonts w:ascii="Arial" w:hAnsi="Arial"/>
          <w:rtl/>
        </w:rPr>
        <w:t xml:space="preserve"> לצורך חילוטו של הרכב (ראו פרוטוקול עמ' 28 ש' 19). </w:t>
      </w:r>
    </w:p>
    <w:p w14:paraId="7C72FFBE" w14:textId="77777777" w:rsidR="00600833" w:rsidRDefault="00600833">
      <w:pPr>
        <w:spacing w:line="360" w:lineRule="auto"/>
        <w:jc w:val="both"/>
        <w:rPr>
          <w:rFonts w:ascii="Arial" w:hAnsi="Arial"/>
          <w:rtl/>
        </w:rPr>
      </w:pPr>
    </w:p>
    <w:p w14:paraId="62CA1FE5" w14:textId="77777777" w:rsidR="00600833" w:rsidRDefault="00332EDC">
      <w:pPr>
        <w:spacing w:line="360" w:lineRule="auto"/>
        <w:jc w:val="both"/>
        <w:rPr>
          <w:rFonts w:ascii="Arial" w:hAnsi="Arial"/>
          <w:rtl/>
        </w:rPr>
      </w:pPr>
      <w:r>
        <w:rPr>
          <w:rFonts w:ascii="Arial" w:hAnsi="Arial" w:hint="cs"/>
          <w:rtl/>
        </w:rPr>
        <w:t>12.</w:t>
      </w:r>
      <w:r>
        <w:rPr>
          <w:rFonts w:ascii="Arial" w:hAnsi="Arial" w:hint="cs"/>
          <w:rtl/>
        </w:rPr>
        <w:tab/>
      </w:r>
      <w:r>
        <w:rPr>
          <w:rFonts w:ascii="Arial" w:hAnsi="Arial"/>
          <w:rtl/>
        </w:rPr>
        <w:t>סעיף 31(6) ל</w:t>
      </w:r>
      <w:hyperlink r:id="rId24" w:history="1">
        <w:r w:rsidR="00C91702" w:rsidRPr="00C91702">
          <w:rPr>
            <w:rStyle w:val="Hyperlink"/>
            <w:rFonts w:ascii="Arial" w:hAnsi="Arial"/>
            <w:rtl/>
          </w:rPr>
          <w:t>פקודת הסמים המסוכנים</w:t>
        </w:r>
      </w:hyperlink>
      <w:r>
        <w:rPr>
          <w:rFonts w:ascii="Arial" w:hAnsi="Arial"/>
          <w:rtl/>
        </w:rPr>
        <w:t xml:space="preserve"> קובע כדלקמן:</w:t>
      </w:r>
    </w:p>
    <w:p w14:paraId="7F368867" w14:textId="77777777" w:rsidR="00600833" w:rsidRDefault="00600833">
      <w:pPr>
        <w:spacing w:line="360" w:lineRule="auto"/>
        <w:jc w:val="both"/>
        <w:rPr>
          <w:rFonts w:ascii="Arial" w:hAnsi="Arial"/>
          <w:rtl/>
        </w:rPr>
      </w:pPr>
    </w:p>
    <w:p w14:paraId="6A1BCD0E" w14:textId="77777777" w:rsidR="00600833" w:rsidRDefault="00332EDC">
      <w:pPr>
        <w:spacing w:line="360" w:lineRule="auto"/>
        <w:jc w:val="both"/>
        <w:rPr>
          <w:rFonts w:ascii="Arial" w:hAnsi="Arial"/>
          <w:rtl/>
        </w:rPr>
      </w:pPr>
      <w:r>
        <w:rPr>
          <w:rFonts w:ascii="Arial" w:hAnsi="Arial"/>
          <w:rtl/>
        </w:rPr>
        <w:tab/>
      </w:r>
      <w:r>
        <w:rPr>
          <w:rFonts w:ascii="Arial" w:hAnsi="Arial"/>
          <w:rtl/>
        </w:rPr>
        <w:tab/>
      </w:r>
      <w:r>
        <w:rPr>
          <w:rFonts w:ascii="Arial" w:hAnsi="Arial"/>
          <w:rtl/>
        </w:rPr>
        <w:tab/>
      </w:r>
      <w:r>
        <w:rPr>
          <w:rFonts w:ascii="Arial" w:hAnsi="Arial"/>
          <w:rtl/>
        </w:rPr>
        <w:tab/>
        <w:t xml:space="preserve">"31. </w:t>
      </w:r>
      <w:r>
        <w:rPr>
          <w:rFonts w:ascii="Arial" w:hAnsi="Arial"/>
          <w:b/>
          <w:bCs/>
          <w:rtl/>
        </w:rPr>
        <w:t>חזקות</w:t>
      </w:r>
      <w:r>
        <w:rPr>
          <w:rFonts w:ascii="Arial" w:hAnsi="Arial"/>
          <w:rtl/>
        </w:rPr>
        <w:t xml:space="preserve"> </w:t>
      </w:r>
    </w:p>
    <w:p w14:paraId="479672D1" w14:textId="77777777" w:rsidR="00600833" w:rsidRDefault="00600833">
      <w:pPr>
        <w:spacing w:line="360" w:lineRule="auto"/>
        <w:jc w:val="both"/>
        <w:rPr>
          <w:rFonts w:ascii="Arial" w:hAnsi="Arial"/>
          <w:rtl/>
        </w:rPr>
      </w:pPr>
    </w:p>
    <w:p w14:paraId="71BFA8DE" w14:textId="77777777" w:rsidR="00600833" w:rsidRDefault="00332EDC">
      <w:pPr>
        <w:spacing w:line="360" w:lineRule="auto"/>
        <w:ind w:left="2160" w:firstLine="720"/>
        <w:jc w:val="both"/>
        <w:rPr>
          <w:rFonts w:ascii="Arial" w:hAnsi="Arial"/>
          <w:rtl/>
        </w:rPr>
      </w:pPr>
      <w:r>
        <w:rPr>
          <w:rFonts w:ascii="Arial" w:hAnsi="Arial"/>
          <w:rtl/>
        </w:rPr>
        <w:t xml:space="preserve">במשפט נגד אדם עם עבירה לפי פקודה זו או תקנות לפיה – </w:t>
      </w:r>
    </w:p>
    <w:p w14:paraId="60BE50E5" w14:textId="77777777" w:rsidR="00600833" w:rsidRDefault="00332EDC">
      <w:pPr>
        <w:spacing w:line="360" w:lineRule="auto"/>
        <w:ind w:left="2160" w:firstLine="720"/>
        <w:jc w:val="both"/>
        <w:rPr>
          <w:rFonts w:ascii="Arial" w:hAnsi="Arial"/>
          <w:rtl/>
        </w:rPr>
      </w:pPr>
      <w:r>
        <w:rPr>
          <w:rFonts w:ascii="Arial" w:hAnsi="Arial"/>
          <w:rtl/>
        </w:rPr>
        <w:t xml:space="preserve">(6) </w:t>
      </w:r>
      <w:r>
        <w:rPr>
          <w:rFonts w:ascii="Arial" w:hAnsi="Arial"/>
          <w:b/>
          <w:bCs/>
          <w:rtl/>
        </w:rPr>
        <w:t>קבע בית משפט לפי סעיף 36א(ב) שנידון הוא סוחר סמים</w:t>
      </w:r>
      <w:r>
        <w:rPr>
          <w:rFonts w:ascii="Arial" w:hAnsi="Arial"/>
          <w:rtl/>
        </w:rPr>
        <w:t xml:space="preserve"> – </w:t>
      </w:r>
    </w:p>
    <w:p w14:paraId="003251F6" w14:textId="77777777" w:rsidR="00600833" w:rsidRDefault="00332EDC">
      <w:pPr>
        <w:numPr>
          <w:ilvl w:val="0"/>
          <w:numId w:val="2"/>
        </w:numPr>
        <w:spacing w:line="360" w:lineRule="auto"/>
        <w:jc w:val="both"/>
        <w:rPr>
          <w:rFonts w:ascii="Arial" w:hAnsi="Arial"/>
          <w:rtl/>
        </w:rPr>
      </w:pPr>
      <w:r>
        <w:rPr>
          <w:rFonts w:ascii="Arial" w:hAnsi="Arial"/>
          <w:rtl/>
        </w:rPr>
        <w:t xml:space="preserve">כל רכוש של אדם כאמור, ורכוש של בן זוגו ושל ילדיו אשר טרם מלאו להם 21 שנים, וכן רכוש של אדם אחר שהנידון מימן את רכישתו או העבירו לאותו אדם ללא תמורה, יראה כרכוש של הנידון שהושג בעבירה של עסקת סמים, אלא אם כן הוכיח הנידון אחד מאלה: </w:t>
      </w:r>
    </w:p>
    <w:p w14:paraId="257F0C02" w14:textId="77777777" w:rsidR="00600833" w:rsidRDefault="00332EDC">
      <w:pPr>
        <w:spacing w:line="360" w:lineRule="auto"/>
        <w:ind w:left="3240" w:firstLine="720"/>
        <w:jc w:val="both"/>
        <w:rPr>
          <w:rFonts w:ascii="Arial" w:hAnsi="Arial"/>
          <w:rtl/>
        </w:rPr>
      </w:pPr>
      <w:r>
        <w:rPr>
          <w:rFonts w:ascii="Arial" w:hAnsi="Arial"/>
          <w:rtl/>
        </w:rPr>
        <w:t>(אא) האמצעים להשגת הרכוש היו חוקיים;</w:t>
      </w:r>
    </w:p>
    <w:p w14:paraId="15FC60B4" w14:textId="77777777" w:rsidR="00600833" w:rsidRDefault="00332EDC">
      <w:pPr>
        <w:spacing w:line="360" w:lineRule="auto"/>
        <w:ind w:left="3960"/>
        <w:jc w:val="both"/>
        <w:rPr>
          <w:rFonts w:ascii="Arial" w:hAnsi="Arial"/>
          <w:rtl/>
        </w:rPr>
      </w:pPr>
      <w:r>
        <w:rPr>
          <w:rFonts w:ascii="Arial" w:hAnsi="Arial"/>
          <w:rtl/>
        </w:rPr>
        <w:t>(בב) הרכוש הגיע לידיו או לידי בעליו לא מאוחר מ</w:t>
      </w:r>
      <w:r>
        <w:rPr>
          <w:rFonts w:ascii="Arial" w:hAnsi="Arial" w:hint="cs"/>
          <w:rtl/>
        </w:rPr>
        <w:t>שמונה</w:t>
      </w:r>
      <w:r>
        <w:rPr>
          <w:rFonts w:ascii="Arial" w:hAnsi="Arial"/>
          <w:rtl/>
        </w:rPr>
        <w:t xml:space="preserve"> שנים שקדמו ליום הגשת כתב האישום בשל העבירה שעליה נדון;</w:t>
      </w:r>
    </w:p>
    <w:p w14:paraId="0E168F31" w14:textId="77777777" w:rsidR="00600833" w:rsidRDefault="00332EDC">
      <w:pPr>
        <w:numPr>
          <w:ilvl w:val="0"/>
          <w:numId w:val="2"/>
        </w:numPr>
        <w:spacing w:line="360" w:lineRule="auto"/>
        <w:jc w:val="both"/>
        <w:rPr>
          <w:rFonts w:ascii="Arial" w:hAnsi="Arial"/>
        </w:rPr>
      </w:pPr>
      <w:r>
        <w:rPr>
          <w:rFonts w:ascii="Arial" w:hAnsi="Arial"/>
          <w:rtl/>
        </w:rPr>
        <w:t>כל רכוש שנמצא בחזקתו או בחשבונו של הנידון יראה כרכוש שלו אלא אם כן הוכיח שהרכוש הוא של זולתו, שאינו אחד הא</w:t>
      </w:r>
      <w:r>
        <w:rPr>
          <w:rFonts w:ascii="Arial" w:hAnsi="Arial" w:hint="cs"/>
          <w:rtl/>
        </w:rPr>
        <w:t>נ</w:t>
      </w:r>
      <w:r>
        <w:rPr>
          <w:rFonts w:ascii="Arial" w:hAnsi="Arial"/>
          <w:rtl/>
        </w:rPr>
        <w:t>שים המפורטים בפסקה (א)"</w:t>
      </w:r>
    </w:p>
    <w:p w14:paraId="12800E50" w14:textId="77777777" w:rsidR="00600833" w:rsidRDefault="00600833">
      <w:pPr>
        <w:spacing w:line="360" w:lineRule="auto"/>
        <w:ind w:left="3960"/>
        <w:jc w:val="both"/>
        <w:rPr>
          <w:rFonts w:ascii="Arial" w:hAnsi="Arial"/>
          <w:rtl/>
        </w:rPr>
      </w:pPr>
    </w:p>
    <w:p w14:paraId="55B1DFCA" w14:textId="77777777" w:rsidR="00600833" w:rsidRDefault="00332EDC">
      <w:pPr>
        <w:spacing w:line="360" w:lineRule="auto"/>
        <w:ind w:left="2880" w:firstLine="720"/>
        <w:jc w:val="both"/>
        <w:rPr>
          <w:rFonts w:ascii="Arial" w:hAnsi="Arial"/>
          <w:rtl/>
        </w:rPr>
      </w:pPr>
      <w:r>
        <w:rPr>
          <w:rFonts w:ascii="Arial" w:hAnsi="Arial"/>
          <w:rtl/>
        </w:rPr>
        <w:t xml:space="preserve">(ההדגשה לא במקור) </w:t>
      </w:r>
    </w:p>
    <w:p w14:paraId="23E32239" w14:textId="77777777" w:rsidR="00600833" w:rsidRDefault="00600833">
      <w:pPr>
        <w:spacing w:line="360" w:lineRule="auto"/>
        <w:jc w:val="both"/>
        <w:rPr>
          <w:rFonts w:ascii="Arial" w:hAnsi="Arial"/>
          <w:rtl/>
        </w:rPr>
      </w:pPr>
    </w:p>
    <w:p w14:paraId="5BA4B661" w14:textId="77777777" w:rsidR="00600833" w:rsidRDefault="00332EDC">
      <w:pPr>
        <w:spacing w:line="360" w:lineRule="auto"/>
        <w:jc w:val="both"/>
        <w:rPr>
          <w:rFonts w:ascii="Arial" w:hAnsi="Arial"/>
          <w:rtl/>
        </w:rPr>
      </w:pPr>
      <w:r>
        <w:rPr>
          <w:rFonts w:ascii="Arial" w:hAnsi="Arial" w:hint="cs"/>
          <w:rtl/>
        </w:rPr>
        <w:t>13.</w:t>
      </w:r>
      <w:r>
        <w:rPr>
          <w:rFonts w:ascii="Arial" w:hAnsi="Arial" w:hint="cs"/>
          <w:rtl/>
        </w:rPr>
        <w:tab/>
      </w:r>
      <w:r>
        <w:rPr>
          <w:rFonts w:ascii="Arial" w:hAnsi="Arial"/>
          <w:rtl/>
        </w:rPr>
        <w:t>סעיף 36א(ב) ל</w:t>
      </w:r>
      <w:hyperlink r:id="rId25" w:history="1">
        <w:r w:rsidR="00C91702" w:rsidRPr="00C91702">
          <w:rPr>
            <w:rStyle w:val="Hyperlink"/>
            <w:rFonts w:ascii="Arial" w:hAnsi="Arial"/>
            <w:rtl/>
          </w:rPr>
          <w:t>פקודת הסמים המסוכנים</w:t>
        </w:r>
      </w:hyperlink>
      <w:r>
        <w:rPr>
          <w:rFonts w:ascii="Arial" w:hAnsi="Arial"/>
          <w:rtl/>
        </w:rPr>
        <w:t xml:space="preserve"> קובע כדלקמן:</w:t>
      </w:r>
    </w:p>
    <w:p w14:paraId="58F580A0" w14:textId="77777777" w:rsidR="00600833" w:rsidRDefault="00600833">
      <w:pPr>
        <w:spacing w:line="360" w:lineRule="auto"/>
        <w:jc w:val="both"/>
        <w:rPr>
          <w:rFonts w:ascii="Arial" w:hAnsi="Arial"/>
          <w:rtl/>
        </w:rPr>
      </w:pPr>
    </w:p>
    <w:p w14:paraId="5D546EB6" w14:textId="77777777" w:rsidR="00600833" w:rsidRDefault="00332EDC">
      <w:pPr>
        <w:spacing w:line="360" w:lineRule="auto"/>
        <w:ind w:left="2880"/>
        <w:jc w:val="both"/>
        <w:rPr>
          <w:rFonts w:ascii="Arial" w:hAnsi="Arial"/>
          <w:rtl/>
        </w:rPr>
      </w:pPr>
      <w:r>
        <w:rPr>
          <w:rFonts w:ascii="Arial" w:hAnsi="Arial"/>
          <w:rtl/>
        </w:rPr>
        <w:t xml:space="preserve">"בית משפט שהרשיע אדם בעבירה של עסקת סמים והוכח לו כי הנידון הפיק רווח מעבירה של עסקת סמים, או שהיה אמור להפיק רווח מעבירה כאמור, </w:t>
      </w:r>
      <w:r>
        <w:rPr>
          <w:rFonts w:ascii="Arial" w:hAnsi="Arial"/>
          <w:b/>
          <w:bCs/>
          <w:rtl/>
        </w:rPr>
        <w:t>יקבע בהכרעת הדין, על פי בקשת תובע</w:t>
      </w:r>
      <w:r>
        <w:rPr>
          <w:rFonts w:ascii="Arial" w:hAnsi="Arial" w:hint="cs"/>
          <w:b/>
          <w:bCs/>
          <w:rtl/>
        </w:rPr>
        <w:t xml:space="preserve">, </w:t>
      </w:r>
      <w:r>
        <w:rPr>
          <w:rFonts w:ascii="Arial" w:hAnsi="Arial"/>
          <w:rtl/>
        </w:rPr>
        <w:t xml:space="preserve">שהנידון הוא </w:t>
      </w:r>
      <w:r>
        <w:rPr>
          <w:rFonts w:ascii="Arial" w:hAnsi="Arial" w:hint="cs"/>
          <w:rtl/>
        </w:rPr>
        <w:t>"</w:t>
      </w:r>
      <w:r>
        <w:rPr>
          <w:rFonts w:ascii="Arial" w:hAnsi="Arial"/>
          <w:rtl/>
        </w:rPr>
        <w:t>סוחר סמים</w:t>
      </w:r>
      <w:r>
        <w:rPr>
          <w:rFonts w:ascii="Arial" w:hAnsi="Arial" w:hint="cs"/>
          <w:rtl/>
        </w:rPr>
        <w:t>"</w:t>
      </w:r>
      <w:r>
        <w:rPr>
          <w:rFonts w:ascii="Arial" w:hAnsi="Arial"/>
          <w:rtl/>
        </w:rPr>
        <w:t xml:space="preserve">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 </w:t>
      </w:r>
    </w:p>
    <w:p w14:paraId="0B282E3D" w14:textId="77777777" w:rsidR="00600833" w:rsidRDefault="00600833">
      <w:pPr>
        <w:spacing w:line="360" w:lineRule="auto"/>
        <w:ind w:left="2880"/>
        <w:jc w:val="both"/>
        <w:rPr>
          <w:rFonts w:ascii="Arial" w:hAnsi="Arial"/>
          <w:rtl/>
        </w:rPr>
      </w:pPr>
    </w:p>
    <w:p w14:paraId="1F827FC7" w14:textId="77777777" w:rsidR="00600833" w:rsidRDefault="00332EDC">
      <w:pPr>
        <w:spacing w:line="360" w:lineRule="auto"/>
        <w:ind w:left="2160" w:firstLine="720"/>
        <w:jc w:val="both"/>
        <w:rPr>
          <w:rFonts w:ascii="Arial" w:hAnsi="Arial"/>
          <w:rtl/>
        </w:rPr>
      </w:pPr>
      <w:r>
        <w:rPr>
          <w:rFonts w:ascii="Arial" w:hAnsi="Arial"/>
          <w:rtl/>
        </w:rPr>
        <w:t>(ההדגשה לא במקור)</w:t>
      </w:r>
    </w:p>
    <w:p w14:paraId="6C6CAFCF" w14:textId="77777777" w:rsidR="00600833" w:rsidRDefault="00600833">
      <w:pPr>
        <w:spacing w:line="360" w:lineRule="auto"/>
        <w:ind w:left="720"/>
        <w:jc w:val="both"/>
        <w:rPr>
          <w:rtl/>
        </w:rPr>
      </w:pPr>
    </w:p>
    <w:p w14:paraId="20A19315" w14:textId="77777777" w:rsidR="00600833" w:rsidRDefault="00332EDC">
      <w:pPr>
        <w:spacing w:line="360" w:lineRule="auto"/>
        <w:ind w:left="720"/>
        <w:jc w:val="both"/>
        <w:rPr>
          <w:rtl/>
        </w:rPr>
      </w:pPr>
      <w:r>
        <w:rPr>
          <w:rFonts w:hint="cs"/>
          <w:rtl/>
        </w:rPr>
        <w:t>יוצא מכך, שצריכה להיות תחילה "בקשה מטעם תובע" להכריז על נאשם כ-"סוחר סמים", כדי שבית המשפט יעשה כן. לאחר שניתנת הכרזה כזו  על-ידי בית המשפט ניתן לבקש מבית המשפט לעשות שימוש בחזקה המופיעה בסעיף 31(6) ל</w:t>
      </w:r>
      <w:hyperlink r:id="rId26" w:history="1">
        <w:r w:rsidR="00C91702" w:rsidRPr="00C91702">
          <w:rPr>
            <w:rStyle w:val="Hyperlink"/>
            <w:rtl/>
          </w:rPr>
          <w:t>פקודת הסמים המסוכנים</w:t>
        </w:r>
      </w:hyperlink>
      <w:r>
        <w:rPr>
          <w:rFonts w:hint="cs"/>
          <w:rtl/>
        </w:rPr>
        <w:t xml:space="preserve">, ועל הנאשם הנטל לסתור את החזקה. </w:t>
      </w:r>
    </w:p>
    <w:p w14:paraId="71946245" w14:textId="77777777" w:rsidR="00600833" w:rsidRDefault="00600833">
      <w:pPr>
        <w:spacing w:line="360" w:lineRule="auto"/>
        <w:ind w:left="720"/>
        <w:jc w:val="both"/>
        <w:rPr>
          <w:rtl/>
        </w:rPr>
      </w:pPr>
    </w:p>
    <w:p w14:paraId="648AE282" w14:textId="77777777" w:rsidR="00600833" w:rsidRDefault="00332EDC">
      <w:pPr>
        <w:spacing w:line="360" w:lineRule="auto"/>
        <w:ind w:left="720" w:hanging="720"/>
        <w:jc w:val="both"/>
        <w:rPr>
          <w:rtl/>
        </w:rPr>
      </w:pPr>
      <w:r>
        <w:rPr>
          <w:rFonts w:hint="cs"/>
          <w:rtl/>
        </w:rPr>
        <w:t>14.</w:t>
      </w:r>
      <w:r>
        <w:rPr>
          <w:rFonts w:hint="cs"/>
          <w:rtl/>
        </w:rPr>
        <w:tab/>
      </w:r>
      <w:r>
        <w:rPr>
          <w:rtl/>
        </w:rPr>
        <w:t>במקרה שבפני בגוף כתב האישום לא היתה כל בקשה להכריז על הנאשם כ"סוחר סמים" במידה ויורשע על פי סעיף 36א(ב) ל</w:t>
      </w:r>
      <w:hyperlink r:id="rId27" w:history="1">
        <w:r w:rsidR="00C91702" w:rsidRPr="00C91702">
          <w:rPr>
            <w:rStyle w:val="Hyperlink"/>
            <w:rtl/>
          </w:rPr>
          <w:t>פקודת הסמים המסוכנים</w:t>
        </w:r>
      </w:hyperlink>
      <w:r>
        <w:rPr>
          <w:rtl/>
        </w:rPr>
        <w:t xml:space="preserve">. כמו כן, </w:t>
      </w:r>
      <w:r>
        <w:rPr>
          <w:rFonts w:hint="cs"/>
          <w:rtl/>
        </w:rPr>
        <w:t xml:space="preserve">בכתב האישום </w:t>
      </w:r>
      <w:r>
        <w:rPr>
          <w:rtl/>
        </w:rPr>
        <w:t xml:space="preserve">החילוט של הרכב </w:t>
      </w:r>
      <w:r>
        <w:rPr>
          <w:rFonts w:hint="cs"/>
          <w:rtl/>
        </w:rPr>
        <w:t>נתבקש</w:t>
      </w:r>
      <w:r>
        <w:rPr>
          <w:rtl/>
        </w:rPr>
        <w:t xml:space="preserve"> לפי סעיף 39 ל</w:t>
      </w:r>
      <w:r w:rsidRPr="009045B5">
        <w:rPr>
          <w:color w:val="000000"/>
          <w:rtl/>
        </w:rPr>
        <w:t>פקודת סדר הדין הפלילי</w:t>
      </w:r>
      <w:r>
        <w:rPr>
          <w:rtl/>
        </w:rPr>
        <w:t xml:space="preserve"> ולא לפי </w:t>
      </w:r>
      <w:hyperlink r:id="rId28" w:history="1">
        <w:r w:rsidR="00C91702" w:rsidRPr="00C91702">
          <w:rPr>
            <w:rStyle w:val="Hyperlink"/>
            <w:rtl/>
          </w:rPr>
          <w:t>פקודת הסמים המסוכנים</w:t>
        </w:r>
      </w:hyperlink>
      <w:r>
        <w:rPr>
          <w:rFonts w:hint="cs"/>
          <w:rtl/>
        </w:rPr>
        <w:t>,</w:t>
      </w:r>
      <w:r>
        <w:rPr>
          <w:rtl/>
        </w:rPr>
        <w:t xml:space="preserve"> </w:t>
      </w:r>
      <w:r>
        <w:rPr>
          <w:rFonts w:hint="cs"/>
          <w:rtl/>
        </w:rPr>
        <w:t>בעוד ש</w:t>
      </w:r>
      <w:r>
        <w:rPr>
          <w:rtl/>
        </w:rPr>
        <w:t>בשלב הטיעונים לעונש נתבקש החילוט לפי פקודת סמים המסוכנים ולא לפי סעיף 39 ל</w:t>
      </w:r>
      <w:r>
        <w:rPr>
          <w:rFonts w:hint="cs"/>
          <w:rtl/>
        </w:rPr>
        <w:t xml:space="preserve">פקודת </w:t>
      </w:r>
      <w:r>
        <w:rPr>
          <w:rtl/>
        </w:rPr>
        <w:t xml:space="preserve">סדר הדין הפלילי. בטרם מתן הכרעת הדין, לא היתה כל בקשה </w:t>
      </w:r>
      <w:r>
        <w:rPr>
          <w:rFonts w:hint="cs"/>
          <w:rtl/>
        </w:rPr>
        <w:t xml:space="preserve">מטעם המאשימה </w:t>
      </w:r>
      <w:r>
        <w:rPr>
          <w:rtl/>
        </w:rPr>
        <w:t>להכריז על הנאשם כ"סוחר סמים" לפי סעיף 36א(ב) ל</w:t>
      </w:r>
      <w:hyperlink r:id="rId29" w:history="1">
        <w:r w:rsidR="00C91702" w:rsidRPr="00C91702">
          <w:rPr>
            <w:rStyle w:val="Hyperlink"/>
            <w:rtl/>
          </w:rPr>
          <w:t>פקודת הסמים המסוכנים</w:t>
        </w:r>
      </w:hyperlink>
      <w:r>
        <w:rPr>
          <w:rtl/>
        </w:rPr>
        <w:t>. בפסיקה נקבע כי ניתן לבקש להכריז על נאשם כ"סוחר סמים" גם לאחר מתן הכרעת הדין ובטרם מתן גזר הדין (</w:t>
      </w:r>
      <w:hyperlink r:id="rId30" w:history="1">
        <w:r w:rsidR="00C91702" w:rsidRPr="00C91702">
          <w:rPr>
            <w:rStyle w:val="Hyperlink"/>
            <w:rtl/>
          </w:rPr>
          <w:t>ע"פ 170/07</w:t>
        </w:r>
      </w:hyperlink>
      <w:r>
        <w:rPr>
          <w:rtl/>
        </w:rPr>
        <w:t xml:space="preserve"> </w:t>
      </w:r>
      <w:r>
        <w:rPr>
          <w:b/>
          <w:bCs/>
          <w:rtl/>
        </w:rPr>
        <w:t xml:space="preserve">מטיס </w:t>
      </w:r>
      <w:r>
        <w:rPr>
          <w:rtl/>
        </w:rPr>
        <w:t>נ'</w:t>
      </w:r>
      <w:r>
        <w:rPr>
          <w:b/>
          <w:bCs/>
          <w:rtl/>
        </w:rPr>
        <w:t xml:space="preserve"> מדינת ישראל</w:t>
      </w:r>
      <w:r>
        <w:rPr>
          <w:rtl/>
        </w:rPr>
        <w:t xml:space="preserve"> [פורסם בנבו] ניתן ביום 15.10.07, פסקה 8 לפסק דינה של כבוד השופטת ברלינר, ואשר לדעתה הצטרפו כבוד השופטות ארבל וחיות). גם לאחר מתן הכרעת הדין לא הונחה בפני כל בקשה </w:t>
      </w:r>
      <w:r>
        <w:rPr>
          <w:rFonts w:hint="cs"/>
          <w:rtl/>
        </w:rPr>
        <w:t xml:space="preserve">מטעם המאשימה </w:t>
      </w:r>
      <w:r>
        <w:rPr>
          <w:rtl/>
        </w:rPr>
        <w:t xml:space="preserve">להכריז על הנאשם כ"סוחר סמים". לכן בנסיבות אלה, </w:t>
      </w:r>
      <w:r>
        <w:rPr>
          <w:rFonts w:hint="cs"/>
          <w:rtl/>
        </w:rPr>
        <w:t xml:space="preserve">שבהן לא היתה כל בקשה מבית המשפט מטעם המאשימה להכריז על הנאשם כ"סוחר סמים", </w:t>
      </w:r>
      <w:r>
        <w:rPr>
          <w:rtl/>
        </w:rPr>
        <w:t>לא ניתן לעשות שימוש בחזקה שקבועה בסעיף 31(6) ל</w:t>
      </w:r>
      <w:hyperlink r:id="rId31" w:history="1">
        <w:r w:rsidR="00C91702" w:rsidRPr="00C91702">
          <w:rPr>
            <w:rStyle w:val="Hyperlink"/>
            <w:rtl/>
          </w:rPr>
          <w:t>פקודת הסמים המסוכנים</w:t>
        </w:r>
      </w:hyperlink>
      <w:r>
        <w:rPr>
          <w:rtl/>
        </w:rPr>
        <w:t xml:space="preserve">. </w:t>
      </w:r>
    </w:p>
    <w:p w14:paraId="3F206F5E" w14:textId="77777777" w:rsidR="00600833" w:rsidRDefault="00600833">
      <w:pPr>
        <w:spacing w:line="360" w:lineRule="auto"/>
        <w:ind w:left="720"/>
        <w:jc w:val="both"/>
        <w:rPr>
          <w:rtl/>
        </w:rPr>
      </w:pPr>
    </w:p>
    <w:p w14:paraId="5A5D3054" w14:textId="77777777" w:rsidR="00600833" w:rsidRDefault="00332EDC">
      <w:pPr>
        <w:spacing w:line="360" w:lineRule="auto"/>
        <w:ind w:left="720" w:hanging="720"/>
        <w:jc w:val="both"/>
        <w:rPr>
          <w:rtl/>
        </w:rPr>
      </w:pPr>
      <w:r>
        <w:rPr>
          <w:rFonts w:hint="cs"/>
          <w:rtl/>
        </w:rPr>
        <w:t>15.</w:t>
      </w:r>
      <w:r>
        <w:rPr>
          <w:rFonts w:hint="cs"/>
          <w:rtl/>
        </w:rPr>
        <w:tab/>
      </w:r>
      <w:r>
        <w:rPr>
          <w:rtl/>
        </w:rPr>
        <w:t xml:space="preserve">בהעדר בהירות מה הוא המסלול אשר לפיו מבקשת המאשימה לחלט את רכב הב.מ.וו, </w:t>
      </w:r>
      <w:r>
        <w:rPr>
          <w:rFonts w:hint="cs"/>
          <w:rtl/>
        </w:rPr>
        <w:t xml:space="preserve">האם </w:t>
      </w:r>
      <w:r>
        <w:rPr>
          <w:rtl/>
        </w:rPr>
        <w:t>לפי סעיף 39 ל</w:t>
      </w:r>
      <w:r w:rsidRPr="009045B5">
        <w:rPr>
          <w:color w:val="000000"/>
          <w:rtl/>
        </w:rPr>
        <w:t>פקודת סדר הדין הפלילי</w:t>
      </w:r>
      <w:r>
        <w:rPr>
          <w:rtl/>
        </w:rPr>
        <w:t xml:space="preserve"> </w:t>
      </w:r>
      <w:r>
        <w:rPr>
          <w:rFonts w:hint="cs"/>
          <w:rtl/>
        </w:rPr>
        <w:t xml:space="preserve">(כאמור בכתב האישום) </w:t>
      </w:r>
      <w:r>
        <w:rPr>
          <w:rtl/>
        </w:rPr>
        <w:t>או שמא לפי סעיף 31(6) ל</w:t>
      </w:r>
      <w:hyperlink r:id="rId32" w:history="1">
        <w:r w:rsidR="00C91702" w:rsidRPr="00C91702">
          <w:rPr>
            <w:rStyle w:val="Hyperlink"/>
            <w:rtl/>
          </w:rPr>
          <w:t>פקודת הסמים המסוכנים</w:t>
        </w:r>
      </w:hyperlink>
      <w:r>
        <w:rPr>
          <w:rFonts w:hint="cs"/>
          <w:rtl/>
        </w:rPr>
        <w:t xml:space="preserve"> (כנטען בשלב הטיעונים לעונש)</w:t>
      </w:r>
      <w:r>
        <w:rPr>
          <w:rtl/>
        </w:rPr>
        <w:t>, הבקשה לחילוט רכב הב.מ.וו, נדחית.</w:t>
      </w:r>
    </w:p>
    <w:p w14:paraId="4413F5C9" w14:textId="77777777" w:rsidR="00600833" w:rsidRDefault="00600833">
      <w:pPr>
        <w:spacing w:line="360" w:lineRule="auto"/>
        <w:ind w:left="720" w:hanging="720"/>
        <w:jc w:val="both"/>
        <w:rPr>
          <w:rtl/>
        </w:rPr>
      </w:pPr>
    </w:p>
    <w:p w14:paraId="4CC8EFBE" w14:textId="77777777" w:rsidR="00600833" w:rsidRDefault="00332EDC">
      <w:pPr>
        <w:spacing w:line="360" w:lineRule="auto"/>
        <w:ind w:left="720" w:hanging="720"/>
        <w:jc w:val="both"/>
        <w:rPr>
          <w:rtl/>
        </w:rPr>
      </w:pPr>
      <w:r>
        <w:rPr>
          <w:rFonts w:hint="cs"/>
          <w:rtl/>
        </w:rPr>
        <w:t>16.</w:t>
      </w:r>
      <w:r>
        <w:rPr>
          <w:rFonts w:hint="cs"/>
          <w:rtl/>
        </w:rPr>
        <w:tab/>
        <w:t>למעלה מן הנדרש יצוין כי אין מקום להורות על חילוט הרכב גם לפי סעיף 39 ל</w:t>
      </w:r>
      <w:hyperlink r:id="rId33" w:history="1">
        <w:r w:rsidR="00C91702" w:rsidRPr="00C91702">
          <w:rPr>
            <w:rStyle w:val="Hyperlink"/>
            <w:rFonts w:hint="eastAsia"/>
            <w:rtl/>
          </w:rPr>
          <w:t>פקודת</w:t>
        </w:r>
        <w:r w:rsidR="00C91702" w:rsidRPr="00C91702">
          <w:rPr>
            <w:rStyle w:val="Hyperlink"/>
            <w:rtl/>
          </w:rPr>
          <w:t xml:space="preserve"> סדר הדין הפלילי (מעצר וחיפוש)</w:t>
        </w:r>
      </w:hyperlink>
      <w:r>
        <w:rPr>
          <w:rFonts w:hint="cs"/>
          <w:rtl/>
        </w:rPr>
        <w:t xml:space="preserve"> [נוסח חדש] התשכ"ט </w:t>
      </w:r>
      <w:r>
        <w:rPr>
          <w:rtl/>
        </w:rPr>
        <w:t>–</w:t>
      </w:r>
      <w:r>
        <w:rPr>
          <w:rFonts w:hint="cs"/>
          <w:rtl/>
        </w:rPr>
        <w:t xml:space="preserve"> 1969. סעיף 39 קובע כדלקמן:</w:t>
      </w:r>
    </w:p>
    <w:p w14:paraId="53A2300D" w14:textId="77777777" w:rsidR="00600833" w:rsidRDefault="00600833">
      <w:pPr>
        <w:spacing w:line="360" w:lineRule="auto"/>
        <w:ind w:left="720" w:hanging="720"/>
        <w:jc w:val="both"/>
        <w:rPr>
          <w:rtl/>
        </w:rPr>
      </w:pPr>
    </w:p>
    <w:p w14:paraId="101A4F5F" w14:textId="77777777" w:rsidR="00600833" w:rsidRDefault="00332EDC">
      <w:pPr>
        <w:spacing w:line="360" w:lineRule="auto"/>
        <w:ind w:left="720" w:hanging="720"/>
        <w:jc w:val="both"/>
        <w:rPr>
          <w:b/>
          <w:bCs/>
          <w:rtl/>
        </w:rPr>
      </w:pPr>
      <w:r>
        <w:rPr>
          <w:rFonts w:hint="cs"/>
          <w:rtl/>
        </w:rPr>
        <w:tab/>
      </w:r>
      <w:r>
        <w:rPr>
          <w:rFonts w:hint="cs"/>
          <w:rtl/>
        </w:rPr>
        <w:tab/>
      </w:r>
      <w:r>
        <w:rPr>
          <w:rFonts w:hint="cs"/>
          <w:rtl/>
        </w:rPr>
        <w:tab/>
      </w:r>
      <w:r>
        <w:rPr>
          <w:rFonts w:hint="cs"/>
          <w:rtl/>
        </w:rPr>
        <w:tab/>
        <w:t xml:space="preserve">"39. </w:t>
      </w:r>
      <w:r>
        <w:rPr>
          <w:rFonts w:hint="cs"/>
          <w:b/>
          <w:bCs/>
          <w:rtl/>
        </w:rPr>
        <w:t>צו חילוט</w:t>
      </w:r>
    </w:p>
    <w:p w14:paraId="5C63B186" w14:textId="77777777" w:rsidR="00600833" w:rsidRDefault="00600833">
      <w:pPr>
        <w:spacing w:line="360" w:lineRule="auto"/>
        <w:ind w:left="720" w:hanging="720"/>
        <w:jc w:val="both"/>
        <w:rPr>
          <w:rtl/>
        </w:rPr>
      </w:pPr>
    </w:p>
    <w:p w14:paraId="779E3C7D" w14:textId="77777777" w:rsidR="00600833" w:rsidRDefault="00332EDC">
      <w:pPr>
        <w:spacing w:line="360" w:lineRule="auto"/>
        <w:ind w:left="2880" w:hanging="720"/>
        <w:jc w:val="both"/>
        <w:rPr>
          <w:rtl/>
        </w:rPr>
      </w:pPr>
      <w:r>
        <w:rPr>
          <w:rFonts w:hint="cs"/>
          <w:rtl/>
        </w:rPr>
        <w:tab/>
        <w:t xml:space="preserve">(א)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w:t>
      </w:r>
    </w:p>
    <w:p w14:paraId="0C838D4F" w14:textId="77777777" w:rsidR="00600833" w:rsidRDefault="00600833">
      <w:pPr>
        <w:spacing w:line="360" w:lineRule="auto"/>
        <w:ind w:left="2880" w:hanging="720"/>
        <w:jc w:val="both"/>
        <w:rPr>
          <w:rtl/>
        </w:rPr>
      </w:pPr>
    </w:p>
    <w:p w14:paraId="2DD0D9F4" w14:textId="77777777" w:rsidR="00600833" w:rsidRDefault="00332EDC">
      <w:pPr>
        <w:spacing w:line="360" w:lineRule="auto"/>
        <w:ind w:left="2880" w:hanging="720"/>
        <w:jc w:val="both"/>
        <w:rPr>
          <w:rtl/>
        </w:rPr>
      </w:pPr>
      <w:r>
        <w:rPr>
          <w:rFonts w:hint="cs"/>
          <w:rtl/>
        </w:rPr>
        <w:tab/>
        <w:t>(ב) ניתן חפץ כשכר בעד ביצוע העבירה או כאמצעי לביצועה, ולא חל עליו אחד התנאים האחרים האמורים בסעיף 32, לא יחולט אלא אם החפץ ניתן מאת בעליו, או מאת המחזיק בו כדין, או על דעתו, כשכר בעד ביצוע העבירה שעליה הורשע הנידון, או כאמצעי לביצועה, או בעד ביצוע עבירה אחרת הקשורה בעבירה שבה הורשע הנידון, או כאמצעי לביצוע העבירה האחרת; ואין נפקא מינה אם ביצע הנידון את העבירה האחרת ואם לאו, ואף אם לא נתכוון לבצעה.</w:t>
      </w:r>
    </w:p>
    <w:p w14:paraId="40463FB4" w14:textId="77777777" w:rsidR="00600833" w:rsidRDefault="00600833">
      <w:pPr>
        <w:spacing w:line="360" w:lineRule="auto"/>
        <w:ind w:left="2880" w:hanging="720"/>
        <w:jc w:val="both"/>
        <w:rPr>
          <w:rtl/>
        </w:rPr>
      </w:pPr>
    </w:p>
    <w:p w14:paraId="6206C2F7" w14:textId="77777777" w:rsidR="00600833" w:rsidRDefault="00332EDC">
      <w:pPr>
        <w:spacing w:line="360" w:lineRule="auto"/>
        <w:ind w:left="2880" w:hanging="720"/>
        <w:jc w:val="both"/>
        <w:rPr>
          <w:rtl/>
        </w:rPr>
      </w:pPr>
      <w:r>
        <w:rPr>
          <w:rFonts w:hint="cs"/>
          <w:rtl/>
        </w:rPr>
        <w:tab/>
        <w:t xml:space="preserve">(ג) צו חילוט לפי סעיף זה יכול שיינתן בין בגזר הדין ובין על פי עתירה מטעם תובע". </w:t>
      </w:r>
    </w:p>
    <w:p w14:paraId="3872711F" w14:textId="77777777" w:rsidR="00600833" w:rsidRDefault="00600833">
      <w:pPr>
        <w:spacing w:line="360" w:lineRule="auto"/>
        <w:jc w:val="both"/>
        <w:rPr>
          <w:rtl/>
        </w:rPr>
      </w:pPr>
    </w:p>
    <w:p w14:paraId="196A819D" w14:textId="77777777" w:rsidR="00600833" w:rsidRDefault="00332EDC">
      <w:pPr>
        <w:spacing w:line="360" w:lineRule="auto"/>
        <w:jc w:val="both"/>
        <w:rPr>
          <w:rtl/>
        </w:rPr>
      </w:pPr>
      <w:r>
        <w:rPr>
          <w:rFonts w:hint="cs"/>
          <w:rtl/>
        </w:rPr>
        <w:t>17.</w:t>
      </w:r>
      <w:r>
        <w:rPr>
          <w:rFonts w:hint="cs"/>
          <w:rtl/>
        </w:rPr>
        <w:tab/>
        <w:t>סעיפים 32(א) ו-33 לפקודה הנ"ל, קובעים כדלקמן:</w:t>
      </w:r>
    </w:p>
    <w:p w14:paraId="25FB253A" w14:textId="77777777" w:rsidR="00600833" w:rsidRDefault="00600833">
      <w:pPr>
        <w:spacing w:line="360" w:lineRule="auto"/>
        <w:jc w:val="both"/>
        <w:rPr>
          <w:rtl/>
        </w:rPr>
      </w:pPr>
    </w:p>
    <w:p w14:paraId="2ECFD699" w14:textId="77777777" w:rsidR="00600833" w:rsidRDefault="00332EDC">
      <w:pPr>
        <w:spacing w:line="360" w:lineRule="auto"/>
        <w:ind w:left="2880"/>
        <w:jc w:val="both"/>
        <w:rPr>
          <w:rtl/>
        </w:rPr>
      </w:pPr>
      <w:r>
        <w:rPr>
          <w:rFonts w:hint="cs"/>
          <w:rtl/>
        </w:rPr>
        <w:t xml:space="preserve">"32. </w:t>
      </w:r>
      <w:r>
        <w:rPr>
          <w:rFonts w:hint="cs"/>
          <w:b/>
          <w:bCs/>
          <w:rtl/>
        </w:rPr>
        <w:t>סמכות לתפוס חפצים</w:t>
      </w:r>
    </w:p>
    <w:p w14:paraId="76686BB8" w14:textId="77777777" w:rsidR="00600833" w:rsidRDefault="00600833">
      <w:pPr>
        <w:spacing w:line="360" w:lineRule="auto"/>
        <w:ind w:left="2880"/>
        <w:jc w:val="both"/>
        <w:rPr>
          <w:rtl/>
        </w:rPr>
      </w:pPr>
    </w:p>
    <w:p w14:paraId="1EF95E44" w14:textId="77777777" w:rsidR="00600833" w:rsidRDefault="00332EDC">
      <w:pPr>
        <w:spacing w:line="360" w:lineRule="auto"/>
        <w:ind w:left="2880"/>
        <w:jc w:val="both"/>
        <w:rPr>
          <w:rtl/>
        </w:rPr>
      </w:pPr>
      <w:r>
        <w:rPr>
          <w:rFonts w:hint="cs"/>
          <w:rtl/>
        </w:rPr>
        <w:t xml:space="preserve">(א) רשאי שוטר לתפוס חפץ, אם יש לו יסוד סביר להניח כי באותו חפץ נעברה, או עומדים לעבור, עבירה, או שהוא עשוי לשמש ראיה בהליך משפטי בשל עבירה, או שניתן כשכר בעד ביצוע העבירה או כאמצעי לביצועה. </w:t>
      </w:r>
    </w:p>
    <w:p w14:paraId="5FA22A3F" w14:textId="77777777" w:rsidR="00600833" w:rsidRDefault="00600833">
      <w:pPr>
        <w:spacing w:line="360" w:lineRule="auto"/>
        <w:ind w:left="2880"/>
        <w:jc w:val="both"/>
        <w:rPr>
          <w:rtl/>
        </w:rPr>
      </w:pPr>
    </w:p>
    <w:p w14:paraId="6B3BA107" w14:textId="77777777" w:rsidR="00600833" w:rsidRDefault="00332EDC">
      <w:pPr>
        <w:spacing w:line="360" w:lineRule="auto"/>
        <w:ind w:left="2880"/>
        <w:jc w:val="both"/>
        <w:rPr>
          <w:b/>
          <w:bCs/>
          <w:rtl/>
        </w:rPr>
      </w:pPr>
      <w:r>
        <w:rPr>
          <w:rFonts w:hint="cs"/>
          <w:rtl/>
        </w:rPr>
        <w:t xml:space="preserve">33. </w:t>
      </w:r>
      <w:r>
        <w:rPr>
          <w:rFonts w:hint="cs"/>
          <w:b/>
          <w:bCs/>
          <w:rtl/>
        </w:rPr>
        <w:t>שמירת התפוס</w:t>
      </w:r>
    </w:p>
    <w:p w14:paraId="699D8A31" w14:textId="77777777" w:rsidR="00600833" w:rsidRDefault="00600833">
      <w:pPr>
        <w:spacing w:line="360" w:lineRule="auto"/>
        <w:ind w:left="2880"/>
        <w:jc w:val="both"/>
        <w:rPr>
          <w:rtl/>
        </w:rPr>
      </w:pPr>
    </w:p>
    <w:p w14:paraId="5BCB755B" w14:textId="77777777" w:rsidR="00600833" w:rsidRDefault="00332EDC">
      <w:pPr>
        <w:spacing w:line="360" w:lineRule="auto"/>
        <w:ind w:left="2880"/>
        <w:jc w:val="both"/>
        <w:rPr>
          <w:rtl/>
        </w:rPr>
      </w:pPr>
      <w:r>
        <w:rPr>
          <w:rFonts w:hint="cs"/>
          <w:rtl/>
        </w:rPr>
        <w:t xml:space="preserve">נתפס חפץ כאמור בסעיף 32, או הגיע לידי המשטרה חפץ שאחד התנאים האמורים בסעיף 32 חל עליו, רשאית המשטרה, בכפוף לאמור בסעיף 34, לשמרו עד אשר יוגש לבית המשפט". </w:t>
      </w:r>
    </w:p>
    <w:p w14:paraId="2762120E" w14:textId="77777777" w:rsidR="00600833" w:rsidRDefault="00600833">
      <w:pPr>
        <w:spacing w:line="360" w:lineRule="auto"/>
        <w:jc w:val="both"/>
        <w:rPr>
          <w:rtl/>
        </w:rPr>
      </w:pPr>
    </w:p>
    <w:p w14:paraId="785B6F6F" w14:textId="77777777" w:rsidR="00600833" w:rsidRDefault="00332EDC">
      <w:pPr>
        <w:spacing w:line="360" w:lineRule="auto"/>
        <w:ind w:left="720" w:hanging="720"/>
        <w:jc w:val="both"/>
        <w:rPr>
          <w:rtl/>
        </w:rPr>
      </w:pPr>
      <w:r>
        <w:rPr>
          <w:rFonts w:hint="cs"/>
          <w:rtl/>
        </w:rPr>
        <w:t>18.</w:t>
      </w:r>
      <w:r>
        <w:rPr>
          <w:rFonts w:hint="cs"/>
          <w:rtl/>
        </w:rPr>
        <w:tab/>
        <w:t>היוצא מההוראות הנ"ל, על מנת לחלט חפץ לפי סעיפים 32 ו-39 ל</w:t>
      </w:r>
      <w:r w:rsidRPr="009045B5">
        <w:rPr>
          <w:color w:val="000000"/>
          <w:rtl/>
        </w:rPr>
        <w:t>פקודת סדר הדין הפלילי</w:t>
      </w:r>
      <w:r>
        <w:rPr>
          <w:rFonts w:hint="cs"/>
          <w:rtl/>
        </w:rPr>
        <w:t xml:space="preserve">, יש להראות או שבאותו חפץ נעברה עבירה, או שהוא עשוי לשמש ראיה בהליך משפטי בשל עבירה, או שניתן כשכר בעד ביצוע עבירה או כאמצעי לביצועה (השוו עם: </w:t>
      </w:r>
      <w:hyperlink r:id="rId34" w:history="1">
        <w:r w:rsidR="00C91702" w:rsidRPr="00C91702">
          <w:rPr>
            <w:rStyle w:val="Hyperlink"/>
            <w:rtl/>
          </w:rPr>
          <w:t>בש"פ 6234/03</w:t>
        </w:r>
      </w:hyperlink>
      <w:r>
        <w:rPr>
          <w:rFonts w:hint="cs"/>
          <w:rtl/>
        </w:rPr>
        <w:t xml:space="preserve"> </w:t>
      </w:r>
      <w:r>
        <w:rPr>
          <w:rFonts w:hint="cs"/>
          <w:b/>
          <w:bCs/>
          <w:rtl/>
        </w:rPr>
        <w:t>מדינת ישראל</w:t>
      </w:r>
      <w:r>
        <w:rPr>
          <w:rFonts w:hint="cs"/>
          <w:rtl/>
        </w:rPr>
        <w:t xml:space="preserve"> נ'</w:t>
      </w:r>
      <w:r>
        <w:rPr>
          <w:rFonts w:hint="cs"/>
          <w:b/>
          <w:bCs/>
          <w:rtl/>
        </w:rPr>
        <w:t xml:space="preserve"> זיתאווי</w:t>
      </w:r>
      <w:r>
        <w:rPr>
          <w:rFonts w:hint="cs"/>
          <w:rtl/>
        </w:rPr>
        <w:t xml:space="preserve"> [פורסם בנבו] ניתן ביום 9.3.05, פסקה 5 לפסק דינו של כבוד השופט לוי). המאשימה לא טענה כי אחת העילות הנ"ל מתקיימת במקרה שבפני לגבי הרכוש שאותו היא מבקשת לחלט (הרכב והטלפון הנייד). הראיה המרכזית לגבי הרכב הינה הודעתה של הגב' אדלינה ליפשיץ במשטרה מיום 5.8.12 (ת/4), ואשר הוגשה בהסכמת הצדדים לתיק בית המשפט. מההודעה עולה כי הרכב נרכש על ידי הנאשם והגב' אדלינה ליפשיץ תמורת סך של 20,000 ₪, כאשר כל אחד מהם תרם 10,000 ₪ לרכישה. הרכב נרשם על שמה של הגב' ליפשיץ אדלינה והיה בחזקתו של הנאשם. משנשאלה הגב' אדלינה ליפשיץ באם היא מעוניינת בקבלת הרכב בחזרה או שמא היא מוותרת עליו לצורך חילוטו, השיבה בת/4 בעמ' 4 "אני מוותרת על הרכב, אבל מנצור שילם חצי על הרכב, למרות שהוא על שמי אני בטוחה שהוא יתנגד". אין כל אינדיקציה בעדותה של הגב' אדלינה ליפשיץ כי מתקיימות מי מהעילות לחילוט תפוס לפי סעיפים 33,32 ו-39 לפקודה. הווה אומר, אין אינדיקציה מהעדות כי </w:t>
      </w:r>
      <w:r>
        <w:rPr>
          <w:rFonts w:hint="cs"/>
          <w:b/>
          <w:bCs/>
          <w:rtl/>
        </w:rPr>
        <w:t>באמצעות הרכב</w:t>
      </w:r>
      <w:r>
        <w:rPr>
          <w:rFonts w:hint="cs"/>
          <w:rtl/>
        </w:rPr>
        <w:t xml:space="preserve"> נעברה העבירה של החזקת סמים שלא לצריכה עצמית, או שהרכב </w:t>
      </w:r>
      <w:r>
        <w:rPr>
          <w:rFonts w:hint="cs"/>
          <w:b/>
          <w:bCs/>
          <w:rtl/>
        </w:rPr>
        <w:t xml:space="preserve">ניתן כשכר בעד ביצוע העבירה או שימש כאמצעי לביצועה. </w:t>
      </w:r>
      <w:r>
        <w:rPr>
          <w:rFonts w:hint="cs"/>
          <w:rtl/>
        </w:rPr>
        <w:t xml:space="preserve">בנוסף, </w:t>
      </w:r>
      <w:r>
        <w:rPr>
          <w:rFonts w:hint="cs"/>
          <w:b/>
          <w:bCs/>
          <w:rtl/>
        </w:rPr>
        <w:t>הרכב לא שימש כראיה</w:t>
      </w:r>
      <w:r>
        <w:rPr>
          <w:rFonts w:hint="cs"/>
          <w:rtl/>
        </w:rPr>
        <w:t xml:space="preserve"> בהליך המשפטי שהתנהל בפני. לסיכום, הנני קובע כי לא התקיימו התנאים לחילוט הרכב לפי סעיפים 33,32 ו-39 לפקודה.</w:t>
      </w:r>
    </w:p>
    <w:p w14:paraId="66CEF90C" w14:textId="77777777" w:rsidR="00600833" w:rsidRDefault="00600833">
      <w:pPr>
        <w:spacing w:line="360" w:lineRule="auto"/>
        <w:ind w:left="720" w:hanging="720"/>
        <w:jc w:val="both"/>
        <w:rPr>
          <w:rtl/>
        </w:rPr>
      </w:pPr>
    </w:p>
    <w:p w14:paraId="2D3527CA" w14:textId="77777777" w:rsidR="00600833" w:rsidRDefault="00332EDC">
      <w:pPr>
        <w:spacing w:line="360" w:lineRule="auto"/>
        <w:ind w:left="720" w:hanging="720"/>
        <w:jc w:val="both"/>
        <w:rPr>
          <w:rtl/>
        </w:rPr>
      </w:pPr>
      <w:r>
        <w:rPr>
          <w:rFonts w:hint="cs"/>
          <w:rtl/>
        </w:rPr>
        <w:t>19.</w:t>
      </w:r>
      <w:r>
        <w:rPr>
          <w:rFonts w:hint="cs"/>
          <w:rtl/>
        </w:rPr>
        <w:tab/>
      </w:r>
      <w:r>
        <w:rPr>
          <w:rtl/>
        </w:rPr>
        <w:t xml:space="preserve">כל אשר נאמר לגבי רכב הב.מ.וו </w:t>
      </w:r>
      <w:r>
        <w:rPr>
          <w:rFonts w:hint="cs"/>
          <w:rtl/>
        </w:rPr>
        <w:t xml:space="preserve">לגבי היעדר האפשרות לחלטו לפי </w:t>
      </w:r>
      <w:hyperlink r:id="rId35" w:history="1">
        <w:r w:rsidR="00C91702" w:rsidRPr="00C91702">
          <w:rPr>
            <w:rStyle w:val="Hyperlink"/>
            <w:rtl/>
          </w:rPr>
          <w:t>פקודת הסמים המסוכנים</w:t>
        </w:r>
      </w:hyperlink>
      <w:r>
        <w:rPr>
          <w:rFonts w:hint="cs"/>
          <w:rtl/>
        </w:rPr>
        <w:t xml:space="preserve"> ולפי </w:t>
      </w:r>
      <w:r w:rsidRPr="009045B5">
        <w:rPr>
          <w:color w:val="000000"/>
          <w:rtl/>
        </w:rPr>
        <w:t>פקודת סדר הדין הפלילי</w:t>
      </w:r>
      <w:r>
        <w:rPr>
          <w:rFonts w:hint="cs"/>
          <w:rtl/>
        </w:rPr>
        <w:t xml:space="preserve">, </w:t>
      </w:r>
      <w:r>
        <w:rPr>
          <w:rtl/>
        </w:rPr>
        <w:t>כוחו יפה גם לעניין מכשיר הטלפון הנייד</w:t>
      </w:r>
      <w:r>
        <w:rPr>
          <w:rFonts w:hint="cs"/>
          <w:rtl/>
        </w:rPr>
        <w:t xml:space="preserve"> שנתפס על ידי המשטרה.</w:t>
      </w:r>
      <w:r>
        <w:rPr>
          <w:rtl/>
        </w:rPr>
        <w:t xml:space="preserve"> </w:t>
      </w:r>
    </w:p>
    <w:p w14:paraId="6B442F78" w14:textId="77777777" w:rsidR="00600833" w:rsidRDefault="00600833">
      <w:pPr>
        <w:spacing w:line="360" w:lineRule="auto"/>
        <w:ind w:left="720"/>
        <w:jc w:val="both"/>
        <w:rPr>
          <w:rtl/>
        </w:rPr>
      </w:pPr>
    </w:p>
    <w:p w14:paraId="31DE0C8D" w14:textId="77777777" w:rsidR="00600833" w:rsidRDefault="00332EDC">
      <w:pPr>
        <w:pStyle w:val="2"/>
        <w:rPr>
          <w:rFonts w:cs="David"/>
          <w:color w:val="auto"/>
          <w:sz w:val="28"/>
          <w:szCs w:val="28"/>
          <w:u w:val="single"/>
          <w:rtl/>
        </w:rPr>
      </w:pPr>
      <w:r>
        <w:rPr>
          <w:rFonts w:cs="David"/>
          <w:color w:val="auto"/>
          <w:sz w:val="28"/>
          <w:szCs w:val="28"/>
          <w:u w:val="single"/>
          <w:rtl/>
        </w:rPr>
        <w:t>סוף דבר</w:t>
      </w:r>
    </w:p>
    <w:p w14:paraId="2E943DBD" w14:textId="77777777" w:rsidR="00600833" w:rsidRDefault="00600833">
      <w:pPr>
        <w:spacing w:line="360" w:lineRule="auto"/>
        <w:jc w:val="both"/>
        <w:rPr>
          <w:b/>
          <w:bCs/>
          <w:rtl/>
        </w:rPr>
      </w:pPr>
    </w:p>
    <w:p w14:paraId="08113E33" w14:textId="77777777" w:rsidR="00600833" w:rsidRDefault="00332EDC">
      <w:pPr>
        <w:spacing w:line="360" w:lineRule="auto"/>
        <w:jc w:val="both"/>
        <w:rPr>
          <w:rtl/>
        </w:rPr>
      </w:pPr>
      <w:r>
        <w:rPr>
          <w:rFonts w:hint="cs"/>
          <w:rtl/>
        </w:rPr>
        <w:t>20.</w:t>
      </w:r>
      <w:r>
        <w:rPr>
          <w:rFonts w:hint="cs"/>
          <w:rtl/>
        </w:rPr>
        <w:tab/>
      </w:r>
      <w:r>
        <w:rPr>
          <w:rtl/>
        </w:rPr>
        <w:t>לאור כל האמור לעיל, הנני משית על הנאשם את העונשים הבאים:</w:t>
      </w:r>
    </w:p>
    <w:p w14:paraId="188BE965" w14:textId="77777777" w:rsidR="00600833" w:rsidRDefault="00600833">
      <w:pPr>
        <w:spacing w:line="360" w:lineRule="auto"/>
        <w:jc w:val="both"/>
        <w:rPr>
          <w:rtl/>
        </w:rPr>
      </w:pPr>
    </w:p>
    <w:p w14:paraId="4A858A61" w14:textId="77777777" w:rsidR="00600833" w:rsidRDefault="00332EDC">
      <w:pPr>
        <w:spacing w:line="360" w:lineRule="auto"/>
        <w:ind w:left="1080" w:hanging="360"/>
        <w:jc w:val="both"/>
      </w:pPr>
      <w:r>
        <w:rPr>
          <w:rFonts w:hint="cs"/>
          <w:rtl/>
        </w:rPr>
        <w:t>א.</w:t>
      </w:r>
      <w:r>
        <w:rPr>
          <w:rFonts w:hint="cs"/>
          <w:rtl/>
        </w:rPr>
        <w:tab/>
      </w:r>
      <w:r>
        <w:rPr>
          <w:rtl/>
        </w:rPr>
        <w:t>הנני מפעיל את המאסר המותנה של 12 חודשים שהוטל על הנאשם ב</w:t>
      </w:r>
      <w:r w:rsidRPr="009045B5">
        <w:rPr>
          <w:color w:val="000000"/>
          <w:rtl/>
        </w:rPr>
        <w:t>ת"פ 1393/08</w:t>
      </w:r>
      <w:r>
        <w:rPr>
          <w:rtl/>
        </w:rPr>
        <w:t xml:space="preserve"> בבית משפט השלום באילת, מיום 7.1.09. </w:t>
      </w:r>
    </w:p>
    <w:p w14:paraId="001A780B" w14:textId="77777777" w:rsidR="00600833" w:rsidRDefault="00600833">
      <w:pPr>
        <w:spacing w:line="360" w:lineRule="auto"/>
        <w:ind w:left="360"/>
        <w:jc w:val="both"/>
        <w:rPr>
          <w:rtl/>
        </w:rPr>
      </w:pPr>
    </w:p>
    <w:p w14:paraId="127BF871" w14:textId="77777777" w:rsidR="00600833" w:rsidRDefault="00332EDC">
      <w:pPr>
        <w:spacing w:line="360" w:lineRule="auto"/>
        <w:ind w:left="1080" w:hanging="360"/>
        <w:jc w:val="both"/>
      </w:pPr>
      <w:r>
        <w:rPr>
          <w:rFonts w:hint="cs"/>
          <w:rtl/>
        </w:rPr>
        <w:t>ב.</w:t>
      </w:r>
      <w:r>
        <w:rPr>
          <w:rFonts w:hint="cs"/>
          <w:rtl/>
        </w:rPr>
        <w:tab/>
      </w:r>
      <w:r>
        <w:rPr>
          <w:rtl/>
        </w:rPr>
        <w:t xml:space="preserve">הנני מטיל על הנאשם 10 חודשי מאסר בפועל, שירוצו במצטבר לעונש המאסר המותנה שהופעל לעיל. </w:t>
      </w:r>
    </w:p>
    <w:p w14:paraId="38F6D49B" w14:textId="77777777" w:rsidR="00600833" w:rsidRDefault="00600833">
      <w:pPr>
        <w:spacing w:line="360" w:lineRule="auto"/>
        <w:jc w:val="both"/>
        <w:rPr>
          <w:rtl/>
        </w:rPr>
      </w:pPr>
    </w:p>
    <w:p w14:paraId="70470013" w14:textId="77777777" w:rsidR="00600833" w:rsidRDefault="00332EDC">
      <w:pPr>
        <w:spacing w:line="360" w:lineRule="auto"/>
        <w:ind w:left="720" w:firstLine="360"/>
        <w:jc w:val="both"/>
        <w:rPr>
          <w:b/>
          <w:bCs/>
          <w:rtl/>
        </w:rPr>
      </w:pPr>
      <w:r>
        <w:rPr>
          <w:b/>
          <w:bCs/>
          <w:rtl/>
        </w:rPr>
        <w:t xml:space="preserve">סך הכל ירצה הנאשם 22 חודשי מאסר בפועל בניכוי ימי מעצרו מיום 5.8.12. </w:t>
      </w:r>
    </w:p>
    <w:p w14:paraId="6EDACD0A" w14:textId="77777777" w:rsidR="00600833" w:rsidRDefault="00600833">
      <w:pPr>
        <w:spacing w:line="360" w:lineRule="auto"/>
        <w:ind w:left="360"/>
        <w:jc w:val="both"/>
        <w:rPr>
          <w:rtl/>
        </w:rPr>
      </w:pPr>
    </w:p>
    <w:p w14:paraId="5AF8E773" w14:textId="77777777" w:rsidR="00600833" w:rsidRDefault="00332EDC">
      <w:pPr>
        <w:spacing w:line="360" w:lineRule="auto"/>
        <w:ind w:left="1210" w:hanging="490"/>
        <w:jc w:val="both"/>
      </w:pPr>
      <w:r>
        <w:rPr>
          <w:rFonts w:hint="cs"/>
          <w:rtl/>
        </w:rPr>
        <w:t>ג.</w:t>
      </w:r>
      <w:r>
        <w:rPr>
          <w:rFonts w:hint="cs"/>
          <w:rtl/>
        </w:rPr>
        <w:tab/>
      </w:r>
      <w:r>
        <w:rPr>
          <w:rtl/>
        </w:rPr>
        <w:t>10 חודשי מאסר על תנאי והתנאי הוא שבמש</w:t>
      </w:r>
      <w:r>
        <w:rPr>
          <w:rFonts w:hint="cs"/>
          <w:rtl/>
        </w:rPr>
        <w:t>ך</w:t>
      </w:r>
      <w:r>
        <w:rPr>
          <w:rtl/>
        </w:rPr>
        <w:t xml:space="preserve"> 3 שנים ממועד שחרורו לא יבצע עבירות  מסוג פשע לפי </w:t>
      </w:r>
      <w:hyperlink r:id="rId36" w:history="1">
        <w:r w:rsidR="00C91702" w:rsidRPr="00C91702">
          <w:rPr>
            <w:rStyle w:val="Hyperlink"/>
            <w:rtl/>
          </w:rPr>
          <w:t>פקודת הסמים המסוכנים</w:t>
        </w:r>
      </w:hyperlink>
      <w:r>
        <w:rPr>
          <w:rtl/>
        </w:rPr>
        <w:t xml:space="preserve">. </w:t>
      </w:r>
    </w:p>
    <w:p w14:paraId="19D4197F" w14:textId="77777777" w:rsidR="00600833" w:rsidRDefault="00600833">
      <w:pPr>
        <w:spacing w:line="360" w:lineRule="auto"/>
        <w:ind w:left="360"/>
        <w:jc w:val="both"/>
      </w:pPr>
    </w:p>
    <w:p w14:paraId="78E2D422" w14:textId="77777777" w:rsidR="00600833" w:rsidRDefault="00332EDC">
      <w:pPr>
        <w:spacing w:line="360" w:lineRule="auto"/>
        <w:ind w:left="1068" w:hanging="360"/>
        <w:jc w:val="both"/>
      </w:pPr>
      <w:r>
        <w:rPr>
          <w:rFonts w:hint="cs"/>
          <w:rtl/>
        </w:rPr>
        <w:t>ד.</w:t>
      </w:r>
      <w:r>
        <w:rPr>
          <w:rFonts w:hint="cs"/>
          <w:rtl/>
        </w:rPr>
        <w:tab/>
      </w:r>
      <w:r>
        <w:rPr>
          <w:rtl/>
        </w:rPr>
        <w:t>4 חודשי מאסר על תנאי והתנאי הוא שבמש</w:t>
      </w:r>
      <w:r>
        <w:rPr>
          <w:rFonts w:hint="cs"/>
          <w:rtl/>
        </w:rPr>
        <w:t>ך</w:t>
      </w:r>
      <w:r>
        <w:rPr>
          <w:rtl/>
        </w:rPr>
        <w:t xml:space="preserve"> 3 שנים ממועד שחרורו לא יבצע עבירות  מסוג עוון  לפי </w:t>
      </w:r>
      <w:hyperlink r:id="rId37" w:history="1">
        <w:r w:rsidR="00C91702" w:rsidRPr="00C91702">
          <w:rPr>
            <w:rStyle w:val="Hyperlink"/>
            <w:rtl/>
          </w:rPr>
          <w:t>פקודת הסמים המסוכנים</w:t>
        </w:r>
      </w:hyperlink>
      <w:r>
        <w:rPr>
          <w:rtl/>
        </w:rPr>
        <w:t xml:space="preserve">. </w:t>
      </w:r>
    </w:p>
    <w:p w14:paraId="30F102A1" w14:textId="77777777" w:rsidR="00600833" w:rsidRDefault="00600833">
      <w:pPr>
        <w:spacing w:line="360" w:lineRule="auto"/>
        <w:jc w:val="both"/>
      </w:pPr>
    </w:p>
    <w:p w14:paraId="28FEB215" w14:textId="77777777" w:rsidR="00600833" w:rsidRDefault="00332EDC">
      <w:pPr>
        <w:spacing w:line="360" w:lineRule="auto"/>
        <w:ind w:left="1068" w:hanging="360"/>
        <w:jc w:val="both"/>
      </w:pPr>
      <w:r>
        <w:rPr>
          <w:rFonts w:hint="cs"/>
          <w:rtl/>
        </w:rPr>
        <w:t>ה.</w:t>
      </w:r>
      <w:r>
        <w:rPr>
          <w:rFonts w:hint="cs"/>
          <w:rtl/>
        </w:rPr>
        <w:tab/>
      </w:r>
      <w:r>
        <w:rPr>
          <w:rtl/>
        </w:rPr>
        <w:t xml:space="preserve"> 4 חודשי מאסר על תנאי והתנאי הוא שבמש</w:t>
      </w:r>
      <w:r>
        <w:rPr>
          <w:rFonts w:hint="cs"/>
          <w:rtl/>
        </w:rPr>
        <w:t>ך</w:t>
      </w:r>
      <w:r>
        <w:rPr>
          <w:rtl/>
        </w:rPr>
        <w:t xml:space="preserve"> 3 שנים ממועד שחרורו לא יבצע עבירה לפי סעיף 244 או</w:t>
      </w:r>
      <w:r>
        <w:rPr>
          <w:rFonts w:hint="cs"/>
          <w:rtl/>
        </w:rPr>
        <w:t xml:space="preserve"> לפי סעיף</w:t>
      </w:r>
      <w:r>
        <w:rPr>
          <w:rtl/>
        </w:rPr>
        <w:t xml:space="preserve"> 275 ל</w:t>
      </w:r>
      <w:hyperlink r:id="rId38" w:history="1">
        <w:r w:rsidR="00C91702" w:rsidRPr="00C91702">
          <w:rPr>
            <w:rStyle w:val="Hyperlink"/>
            <w:rtl/>
          </w:rPr>
          <w:t>חוק העונשין</w:t>
        </w:r>
      </w:hyperlink>
      <w:r>
        <w:rPr>
          <w:rtl/>
        </w:rPr>
        <w:t xml:space="preserve">. </w:t>
      </w:r>
    </w:p>
    <w:p w14:paraId="4E029011" w14:textId="77777777" w:rsidR="00600833" w:rsidRDefault="00600833">
      <w:pPr>
        <w:spacing w:line="360" w:lineRule="auto"/>
        <w:jc w:val="both"/>
        <w:rPr>
          <w:rtl/>
        </w:rPr>
      </w:pPr>
    </w:p>
    <w:p w14:paraId="535DBE1B" w14:textId="77777777" w:rsidR="00600833" w:rsidRDefault="00332EDC">
      <w:pPr>
        <w:spacing w:line="360" w:lineRule="auto"/>
        <w:ind w:left="1068" w:hanging="360"/>
        <w:jc w:val="both"/>
      </w:pPr>
      <w:r>
        <w:rPr>
          <w:rFonts w:hint="cs"/>
          <w:rtl/>
        </w:rPr>
        <w:t>ו.</w:t>
      </w:r>
      <w:r>
        <w:rPr>
          <w:rFonts w:hint="cs"/>
          <w:rtl/>
        </w:rPr>
        <w:tab/>
      </w:r>
      <w:r>
        <w:rPr>
          <w:rtl/>
        </w:rPr>
        <w:t xml:space="preserve">הנאשם ישלם קנס בסך של </w:t>
      </w:r>
      <w:r>
        <w:rPr>
          <w:rFonts w:hint="cs"/>
          <w:rtl/>
        </w:rPr>
        <w:t>3,000</w:t>
      </w:r>
      <w:r>
        <w:rPr>
          <w:rtl/>
        </w:rPr>
        <w:t xml:space="preserve"> ₪, או 1</w:t>
      </w:r>
      <w:r>
        <w:rPr>
          <w:rFonts w:hint="cs"/>
          <w:rtl/>
        </w:rPr>
        <w:t xml:space="preserve">5 </w:t>
      </w:r>
      <w:r>
        <w:rPr>
          <w:rtl/>
        </w:rPr>
        <w:t>ימי מאסר תמורתו. הקנס ישולם לא יאוחר מיום 1.5.13.</w:t>
      </w:r>
    </w:p>
    <w:p w14:paraId="4E52FB28" w14:textId="77777777" w:rsidR="00600833" w:rsidRDefault="00600833">
      <w:pPr>
        <w:spacing w:line="360" w:lineRule="auto"/>
        <w:ind w:left="360"/>
        <w:jc w:val="both"/>
        <w:rPr>
          <w:rtl/>
        </w:rPr>
      </w:pPr>
    </w:p>
    <w:p w14:paraId="607A1634" w14:textId="77777777" w:rsidR="00600833" w:rsidRDefault="00332EDC">
      <w:pPr>
        <w:spacing w:line="360" w:lineRule="auto"/>
        <w:ind w:left="1068" w:hanging="360"/>
        <w:jc w:val="both"/>
      </w:pPr>
      <w:r>
        <w:rPr>
          <w:rFonts w:hint="cs"/>
          <w:rtl/>
        </w:rPr>
        <w:t>ז.</w:t>
      </w:r>
      <w:r>
        <w:rPr>
          <w:rFonts w:hint="cs"/>
          <w:rtl/>
        </w:rPr>
        <w:tab/>
      </w:r>
      <w:r>
        <w:rPr>
          <w:rtl/>
        </w:rPr>
        <w:t xml:space="preserve">5 חודשי פסילת רישיון נהיגה בפועל שיחלו ממועד שחרורו ממאסרו ובכפוף להפקדת רישיון נהיגה, ככל שיש לנאשם רישיון כזה. </w:t>
      </w:r>
    </w:p>
    <w:p w14:paraId="46B2BF94" w14:textId="77777777" w:rsidR="00600833" w:rsidRDefault="00600833">
      <w:pPr>
        <w:spacing w:line="360" w:lineRule="auto"/>
        <w:jc w:val="both"/>
        <w:rPr>
          <w:rtl/>
        </w:rPr>
      </w:pPr>
    </w:p>
    <w:p w14:paraId="526C5FD0" w14:textId="77777777" w:rsidR="00600833" w:rsidRDefault="00332EDC">
      <w:pPr>
        <w:spacing w:line="360" w:lineRule="auto"/>
        <w:ind w:left="1068" w:hanging="360"/>
        <w:jc w:val="both"/>
      </w:pPr>
      <w:r>
        <w:rPr>
          <w:rFonts w:hint="cs"/>
          <w:rtl/>
        </w:rPr>
        <w:t>ח.</w:t>
      </w:r>
      <w:r>
        <w:rPr>
          <w:rFonts w:hint="cs"/>
          <w:rtl/>
        </w:rPr>
        <w:tab/>
      </w:r>
      <w:r>
        <w:rPr>
          <w:rtl/>
        </w:rPr>
        <w:t xml:space="preserve">5 חודשי פסילת רישיון נהיגה וזאת על תנאי למשך שנתיים ממועד שחרורו והתנאי הוא שלא יבצע עבירה מסוג פשע לפי </w:t>
      </w:r>
      <w:hyperlink r:id="rId39" w:history="1">
        <w:r w:rsidR="00C91702" w:rsidRPr="00C91702">
          <w:rPr>
            <w:rStyle w:val="Hyperlink"/>
            <w:rtl/>
          </w:rPr>
          <w:t>פקודת הסמים המסוכנים</w:t>
        </w:r>
      </w:hyperlink>
      <w:r>
        <w:rPr>
          <w:rtl/>
        </w:rPr>
        <w:t xml:space="preserve">. </w:t>
      </w:r>
    </w:p>
    <w:p w14:paraId="22A4A09B" w14:textId="77777777" w:rsidR="00600833" w:rsidRDefault="00600833">
      <w:pPr>
        <w:spacing w:line="360" w:lineRule="auto"/>
        <w:jc w:val="both"/>
        <w:rPr>
          <w:rtl/>
        </w:rPr>
      </w:pPr>
    </w:p>
    <w:p w14:paraId="20B21F52" w14:textId="77777777" w:rsidR="00600833" w:rsidRDefault="00332EDC">
      <w:pPr>
        <w:spacing w:line="360" w:lineRule="auto"/>
        <w:ind w:left="708" w:hanging="708"/>
        <w:jc w:val="both"/>
      </w:pPr>
      <w:r>
        <w:rPr>
          <w:rFonts w:hint="cs"/>
          <w:rtl/>
        </w:rPr>
        <w:t>21.</w:t>
      </w:r>
      <w:r>
        <w:rPr>
          <w:rFonts w:hint="cs"/>
          <w:rtl/>
        </w:rPr>
        <w:tab/>
      </w:r>
      <w:r>
        <w:rPr>
          <w:rtl/>
        </w:rPr>
        <w:t>הנני מורה על החזרת הרכב מסוג ב.מ.וו מספר רישוי 51.510.16 לידי הנאשם וזאת לאור הטענה של הבעלים הרשום הגב' אדלינה ליפשיץ בהודעה במשטרה (ת/4) שהינה מוותרת על הרכב</w:t>
      </w:r>
      <w:r>
        <w:rPr>
          <w:rFonts w:hint="cs"/>
          <w:rtl/>
        </w:rPr>
        <w:t>. כמו כן,</w:t>
      </w:r>
      <w:r>
        <w:rPr>
          <w:rtl/>
        </w:rPr>
        <w:t xml:space="preserve"> הנני מורה על החזרת מכשיר הטלפון הנייד שנתפס עם הנאשם בעת מעצרו לידיו.  הנאשם יוכל להגיש בקשה לבית המשפט ובו יציין את שמו של האדם שיוכל לקבל את הרכב ואת הטלפון הנייד בשמו. </w:t>
      </w:r>
    </w:p>
    <w:p w14:paraId="6C684B6D" w14:textId="77777777" w:rsidR="00600833" w:rsidRDefault="00600833">
      <w:pPr>
        <w:spacing w:line="360" w:lineRule="auto"/>
        <w:jc w:val="both"/>
        <w:rPr>
          <w:rtl/>
        </w:rPr>
      </w:pPr>
    </w:p>
    <w:p w14:paraId="78228F1A" w14:textId="77777777" w:rsidR="00600833" w:rsidRDefault="00332EDC">
      <w:pPr>
        <w:spacing w:line="360" w:lineRule="auto"/>
        <w:jc w:val="both"/>
        <w:rPr>
          <w:rtl/>
        </w:rPr>
      </w:pPr>
      <w:r>
        <w:rPr>
          <w:rFonts w:hint="cs"/>
          <w:rtl/>
        </w:rPr>
        <w:t>22.</w:t>
      </w:r>
      <w:r>
        <w:rPr>
          <w:rFonts w:hint="cs"/>
          <w:rtl/>
        </w:rPr>
        <w:tab/>
        <w:t xml:space="preserve">ניתן בזאת צו להשמדת הסמים. </w:t>
      </w:r>
    </w:p>
    <w:p w14:paraId="60D8D80C" w14:textId="77777777" w:rsidR="00600833" w:rsidRDefault="00600833">
      <w:pPr>
        <w:spacing w:line="360" w:lineRule="auto"/>
        <w:jc w:val="both"/>
        <w:rPr>
          <w:rtl/>
        </w:rPr>
      </w:pPr>
    </w:p>
    <w:p w14:paraId="79E52B15" w14:textId="77777777" w:rsidR="00600833" w:rsidRDefault="00332EDC">
      <w:pPr>
        <w:spacing w:line="360" w:lineRule="auto"/>
        <w:jc w:val="both"/>
      </w:pPr>
      <w:r>
        <w:rPr>
          <w:rtl/>
        </w:rPr>
        <w:t>זכות ערעור תוך 45 יום</w:t>
      </w:r>
    </w:p>
    <w:p w14:paraId="67B2C5F4" w14:textId="77777777" w:rsidR="00600833" w:rsidRDefault="00600833">
      <w:pPr>
        <w:rPr>
          <w:rtl/>
        </w:rPr>
      </w:pPr>
    </w:p>
    <w:p w14:paraId="50610F43" w14:textId="77777777" w:rsidR="00600833" w:rsidRPr="00332EDC" w:rsidRDefault="00332EDC">
      <w:pPr>
        <w:rPr>
          <w:color w:val="FFFFFF"/>
          <w:sz w:val="2"/>
          <w:szCs w:val="2"/>
          <w:rtl/>
        </w:rPr>
      </w:pPr>
      <w:r w:rsidRPr="00332EDC">
        <w:rPr>
          <w:color w:val="FFFFFF"/>
          <w:sz w:val="2"/>
          <w:szCs w:val="2"/>
          <w:rtl/>
        </w:rPr>
        <w:t>5129371</w:t>
      </w:r>
    </w:p>
    <w:p w14:paraId="36934D37" w14:textId="77777777" w:rsidR="00600833" w:rsidRDefault="002064C0">
      <w:pPr>
        <w:rPr>
          <w:rtl/>
        </w:rPr>
      </w:pPr>
      <w:r w:rsidRPr="002064C0">
        <w:rPr>
          <w:rFonts w:ascii="Arial" w:hAnsi="Arial"/>
          <w:color w:val="FFFFFF"/>
          <w:sz w:val="2"/>
          <w:szCs w:val="2"/>
          <w:rtl/>
        </w:rPr>
        <w:t>5129371</w:t>
      </w:r>
      <w:r w:rsidR="00332EDC" w:rsidRPr="00332EDC">
        <w:rPr>
          <w:rFonts w:ascii="Arial" w:hAnsi="Arial"/>
          <w:color w:val="FFFFFF"/>
          <w:sz w:val="2"/>
          <w:szCs w:val="2"/>
          <w:rtl/>
        </w:rPr>
        <w:t>54678313</w:t>
      </w:r>
      <w:r w:rsidR="00332EDC">
        <w:rPr>
          <w:rFonts w:ascii="Arial" w:hAnsi="Arial"/>
          <w:rtl/>
        </w:rPr>
        <w:t xml:space="preserve">ניתן היום,  כ"ו שבט תשע"ג, 6 פברואר  2013, במעמד הצדדים. </w:t>
      </w:r>
    </w:p>
    <w:p w14:paraId="4C060295" w14:textId="77777777" w:rsidR="00332EDC" w:rsidRPr="002064C0" w:rsidRDefault="002064C0" w:rsidP="00332EDC">
      <w:pPr>
        <w:keepNext/>
        <w:rPr>
          <w:rFonts w:ascii="David" w:hAnsi="David"/>
          <w:color w:val="FFFFFF"/>
          <w:sz w:val="2"/>
          <w:szCs w:val="2"/>
          <w:rtl/>
        </w:rPr>
      </w:pPr>
      <w:r w:rsidRPr="002064C0">
        <w:rPr>
          <w:rFonts w:ascii="David" w:hAnsi="David"/>
          <w:color w:val="FFFFFF"/>
          <w:sz w:val="2"/>
          <w:szCs w:val="2"/>
          <w:rtl/>
        </w:rPr>
        <w:t>54678313</w:t>
      </w:r>
    </w:p>
    <w:p w14:paraId="1D9DF289" w14:textId="77777777" w:rsidR="002064C0" w:rsidRPr="002064C0" w:rsidRDefault="002064C0" w:rsidP="002064C0">
      <w:pPr>
        <w:keepNext/>
        <w:rPr>
          <w:rFonts w:ascii="David" w:hAnsi="David"/>
          <w:color w:val="000000"/>
          <w:sz w:val="22"/>
          <w:szCs w:val="22"/>
          <w:rtl/>
        </w:rPr>
      </w:pPr>
    </w:p>
    <w:p w14:paraId="4F6E3488" w14:textId="77777777" w:rsidR="002064C0" w:rsidRPr="002064C0" w:rsidRDefault="002064C0" w:rsidP="002064C0">
      <w:pPr>
        <w:keepNext/>
        <w:rPr>
          <w:rFonts w:ascii="David" w:hAnsi="David"/>
          <w:color w:val="000000"/>
          <w:sz w:val="22"/>
          <w:szCs w:val="22"/>
          <w:rtl/>
        </w:rPr>
      </w:pPr>
      <w:r w:rsidRPr="002064C0">
        <w:rPr>
          <w:rFonts w:ascii="David" w:hAnsi="David"/>
          <w:color w:val="000000"/>
          <w:sz w:val="22"/>
          <w:szCs w:val="22"/>
          <w:rtl/>
        </w:rPr>
        <w:t>הישאם אבו שחאדה 54678313-/</w:t>
      </w:r>
    </w:p>
    <w:p w14:paraId="51E2192D" w14:textId="77777777" w:rsidR="00332EDC" w:rsidRDefault="00332EDC" w:rsidP="00332EDC">
      <w:r w:rsidRPr="00332EDC">
        <w:rPr>
          <w:color w:val="000000"/>
          <w:rtl/>
        </w:rPr>
        <w:t>נוסח מסמך זה כפוף לשינויי ניסוח ועריכה</w:t>
      </w:r>
    </w:p>
    <w:p w14:paraId="69ECB008" w14:textId="77777777" w:rsidR="00332EDC" w:rsidRDefault="00332EDC" w:rsidP="00332EDC">
      <w:pPr>
        <w:rPr>
          <w:rtl/>
        </w:rPr>
      </w:pPr>
    </w:p>
    <w:p w14:paraId="382A1732" w14:textId="77777777" w:rsidR="00332EDC" w:rsidRDefault="00332EDC" w:rsidP="00332EDC">
      <w:pPr>
        <w:jc w:val="center"/>
        <w:rPr>
          <w:color w:val="0000FF"/>
          <w:u w:val="single"/>
        </w:rPr>
      </w:pPr>
      <w:r w:rsidRPr="009045B5">
        <w:rPr>
          <w:color w:val="000000"/>
          <w:rtl/>
        </w:rPr>
        <w:t>בעניין עריכה ושינויים במסמכי פסיקה, חקיקה ועוד באתר נבו – הקש כאן</w:t>
      </w:r>
    </w:p>
    <w:sectPr w:rsidR="00332EDC" w:rsidSect="002064C0">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FDD6D" w14:textId="77777777" w:rsidR="00BE3F5E" w:rsidRPr="002A4FD0" w:rsidRDefault="00BE3F5E">
      <w:pPr>
        <w:rPr>
          <w:rFonts w:cs="Arial"/>
          <w:szCs w:val="20"/>
        </w:rPr>
      </w:pPr>
      <w:r>
        <w:separator/>
      </w:r>
    </w:p>
  </w:endnote>
  <w:endnote w:type="continuationSeparator" w:id="0">
    <w:p w14:paraId="4533BF2E" w14:textId="77777777" w:rsidR="00BE3F5E" w:rsidRPr="002A4FD0" w:rsidRDefault="00BE3F5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C9A9B" w14:textId="77777777" w:rsidR="00BE3F5E" w:rsidRDefault="00BE3F5E" w:rsidP="002064C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B3EB8C" w14:textId="77777777" w:rsidR="00BE3F5E" w:rsidRPr="002064C0" w:rsidRDefault="00BE3F5E" w:rsidP="002064C0">
    <w:pPr>
      <w:pStyle w:val="a4"/>
      <w:pBdr>
        <w:top w:val="single" w:sz="4" w:space="1" w:color="auto"/>
        <w:between w:val="single" w:sz="4" w:space="0" w:color="auto"/>
      </w:pBdr>
      <w:spacing w:after="60"/>
      <w:jc w:val="center"/>
      <w:rPr>
        <w:rFonts w:ascii="FrankRuehl" w:hAnsi="FrankRuehl" w:cs="FrankRuehl"/>
        <w:color w:val="000000"/>
      </w:rPr>
    </w:pPr>
    <w:r w:rsidRPr="002064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C9787" w14:textId="77777777" w:rsidR="00BE3F5E" w:rsidRDefault="00BE3F5E" w:rsidP="002064C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6038">
      <w:rPr>
        <w:rFonts w:ascii="FrankRuehl" w:hAnsi="FrankRuehl" w:cs="FrankRuehl"/>
        <w:noProof/>
        <w:rtl/>
      </w:rPr>
      <w:t>1</w:t>
    </w:r>
    <w:r>
      <w:rPr>
        <w:rFonts w:ascii="FrankRuehl" w:hAnsi="FrankRuehl" w:cs="FrankRuehl"/>
        <w:rtl/>
      </w:rPr>
      <w:fldChar w:fldCharType="end"/>
    </w:r>
  </w:p>
  <w:p w14:paraId="6BFDD25C" w14:textId="77777777" w:rsidR="00BE3F5E" w:rsidRPr="002064C0" w:rsidRDefault="00BE3F5E" w:rsidP="002064C0">
    <w:pPr>
      <w:pStyle w:val="a4"/>
      <w:pBdr>
        <w:top w:val="single" w:sz="4" w:space="1" w:color="auto"/>
        <w:between w:val="single" w:sz="4" w:space="0" w:color="auto"/>
      </w:pBdr>
      <w:spacing w:after="60"/>
      <w:jc w:val="center"/>
      <w:rPr>
        <w:rFonts w:ascii="FrankRuehl" w:hAnsi="FrankRuehl" w:cs="FrankRuehl"/>
        <w:color w:val="000000"/>
      </w:rPr>
    </w:pPr>
    <w:r w:rsidRPr="002064C0">
      <w:rPr>
        <w:rFonts w:ascii="FrankRuehl" w:hAnsi="FrankRuehl" w:cs="FrankRuehl"/>
        <w:color w:val="000000"/>
      </w:rPr>
      <w:pict w14:anchorId="38695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E053E" w14:textId="77777777" w:rsidR="00BE3F5E" w:rsidRPr="002A4FD0" w:rsidRDefault="00BE3F5E">
      <w:pPr>
        <w:rPr>
          <w:rFonts w:cs="Arial"/>
          <w:szCs w:val="20"/>
        </w:rPr>
      </w:pPr>
      <w:r>
        <w:separator/>
      </w:r>
    </w:p>
  </w:footnote>
  <w:footnote w:type="continuationSeparator" w:id="0">
    <w:p w14:paraId="627578E3" w14:textId="77777777" w:rsidR="00BE3F5E" w:rsidRPr="002A4FD0" w:rsidRDefault="00BE3F5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2E483" w14:textId="77777777" w:rsidR="00BE3F5E" w:rsidRPr="002064C0" w:rsidRDefault="00BE3F5E" w:rsidP="002064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16749-08-12</w:t>
    </w:r>
    <w:r>
      <w:rPr>
        <w:rFonts w:ascii="David" w:hAnsi="David"/>
        <w:color w:val="000000"/>
        <w:sz w:val="22"/>
        <w:szCs w:val="22"/>
        <w:rtl/>
      </w:rPr>
      <w:tab/>
      <w:t xml:space="preserve"> מדינת ישראל נ' מונצר עקל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5D03" w14:textId="77777777" w:rsidR="00BE3F5E" w:rsidRPr="002064C0" w:rsidRDefault="00BE3F5E" w:rsidP="002064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16749-08-12</w:t>
    </w:r>
    <w:r>
      <w:rPr>
        <w:rFonts w:ascii="David" w:hAnsi="David"/>
        <w:color w:val="000000"/>
        <w:sz w:val="22"/>
        <w:szCs w:val="22"/>
        <w:rtl/>
      </w:rPr>
      <w:tab/>
      <w:t xml:space="preserve"> מדינת ישראל נ' מונצר עקל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B24DD"/>
    <w:multiLevelType w:val="hybridMultilevel"/>
    <w:tmpl w:val="EF344390"/>
    <w:lvl w:ilvl="0" w:tplc="8DE8744C">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1" w15:restartNumberingAfterBreak="0">
    <w:nsid w:val="32907B99"/>
    <w:multiLevelType w:val="hybridMultilevel"/>
    <w:tmpl w:val="35EA98BC"/>
    <w:lvl w:ilvl="0" w:tplc="EF66A494">
      <w:start w:val="1"/>
      <w:numFmt w:val="hebrew1"/>
      <w:lvlText w:val="(%1)"/>
      <w:lvlJc w:val="left"/>
      <w:pPr>
        <w:tabs>
          <w:tab w:val="num" w:pos="3960"/>
        </w:tabs>
        <w:ind w:left="3960" w:hanging="1080"/>
      </w:pPr>
      <w:rPr>
        <w:rFonts w:cs="Times New Roman" w:hint="default"/>
      </w:rPr>
    </w:lvl>
    <w:lvl w:ilvl="1" w:tplc="040D0019">
      <w:start w:val="1"/>
      <w:numFmt w:val="lowerLetter"/>
      <w:lvlText w:val="%2."/>
      <w:lvlJc w:val="left"/>
      <w:pPr>
        <w:tabs>
          <w:tab w:val="num" w:pos="3960"/>
        </w:tabs>
        <w:ind w:left="3960" w:hanging="360"/>
      </w:pPr>
      <w:rPr>
        <w:rFonts w:cs="Times New Roman"/>
      </w:rPr>
    </w:lvl>
    <w:lvl w:ilvl="2" w:tplc="040D001B">
      <w:start w:val="1"/>
      <w:numFmt w:val="lowerRoman"/>
      <w:lvlText w:val="%3."/>
      <w:lvlJc w:val="right"/>
      <w:pPr>
        <w:tabs>
          <w:tab w:val="num" w:pos="4680"/>
        </w:tabs>
        <w:ind w:left="4680" w:hanging="180"/>
      </w:pPr>
      <w:rPr>
        <w:rFonts w:cs="Times New Roman"/>
      </w:rPr>
    </w:lvl>
    <w:lvl w:ilvl="3" w:tplc="040D000F">
      <w:start w:val="1"/>
      <w:numFmt w:val="decimal"/>
      <w:lvlText w:val="%4."/>
      <w:lvlJc w:val="left"/>
      <w:pPr>
        <w:tabs>
          <w:tab w:val="num" w:pos="5400"/>
        </w:tabs>
        <w:ind w:left="5400" w:hanging="360"/>
      </w:pPr>
      <w:rPr>
        <w:rFonts w:cs="Times New Roman"/>
      </w:rPr>
    </w:lvl>
    <w:lvl w:ilvl="4" w:tplc="040D0019">
      <w:start w:val="1"/>
      <w:numFmt w:val="lowerLetter"/>
      <w:lvlText w:val="%5."/>
      <w:lvlJc w:val="left"/>
      <w:pPr>
        <w:tabs>
          <w:tab w:val="num" w:pos="6120"/>
        </w:tabs>
        <w:ind w:left="6120" w:hanging="360"/>
      </w:pPr>
      <w:rPr>
        <w:rFonts w:cs="Times New Roman"/>
      </w:rPr>
    </w:lvl>
    <w:lvl w:ilvl="5" w:tplc="040D001B">
      <w:start w:val="1"/>
      <w:numFmt w:val="lowerRoman"/>
      <w:lvlText w:val="%6."/>
      <w:lvlJc w:val="right"/>
      <w:pPr>
        <w:tabs>
          <w:tab w:val="num" w:pos="6840"/>
        </w:tabs>
        <w:ind w:left="6840" w:hanging="180"/>
      </w:pPr>
      <w:rPr>
        <w:rFonts w:cs="Times New Roman"/>
      </w:rPr>
    </w:lvl>
    <w:lvl w:ilvl="6" w:tplc="040D000F">
      <w:start w:val="1"/>
      <w:numFmt w:val="decimal"/>
      <w:lvlText w:val="%7."/>
      <w:lvlJc w:val="left"/>
      <w:pPr>
        <w:tabs>
          <w:tab w:val="num" w:pos="7560"/>
        </w:tabs>
        <w:ind w:left="7560" w:hanging="360"/>
      </w:pPr>
      <w:rPr>
        <w:rFonts w:cs="Times New Roman"/>
      </w:rPr>
    </w:lvl>
    <w:lvl w:ilvl="7" w:tplc="040D0019">
      <w:start w:val="1"/>
      <w:numFmt w:val="lowerLetter"/>
      <w:lvlText w:val="%8."/>
      <w:lvlJc w:val="left"/>
      <w:pPr>
        <w:tabs>
          <w:tab w:val="num" w:pos="8280"/>
        </w:tabs>
        <w:ind w:left="8280" w:hanging="360"/>
      </w:pPr>
      <w:rPr>
        <w:rFonts w:cs="Times New Roman"/>
      </w:rPr>
    </w:lvl>
    <w:lvl w:ilvl="8" w:tplc="040D001B">
      <w:start w:val="1"/>
      <w:numFmt w:val="lowerRoman"/>
      <w:lvlText w:val="%9."/>
      <w:lvlJc w:val="right"/>
      <w:pPr>
        <w:tabs>
          <w:tab w:val="num" w:pos="9000"/>
        </w:tabs>
        <w:ind w:left="9000" w:hanging="180"/>
      </w:pPr>
      <w:rPr>
        <w:rFonts w:cs="Times New Roman"/>
      </w:rPr>
    </w:lvl>
  </w:abstractNum>
  <w:num w:numId="1" w16cid:durableId="433132110">
    <w:abstractNumId w:val="0"/>
  </w:num>
  <w:num w:numId="2" w16cid:durableId="165290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0833"/>
    <w:rsid w:val="001C35B6"/>
    <w:rsid w:val="002064C0"/>
    <w:rsid w:val="0022207A"/>
    <w:rsid w:val="00332EDC"/>
    <w:rsid w:val="00370066"/>
    <w:rsid w:val="00380433"/>
    <w:rsid w:val="003D739A"/>
    <w:rsid w:val="00600833"/>
    <w:rsid w:val="009045B5"/>
    <w:rsid w:val="00BE3F5E"/>
    <w:rsid w:val="00C91702"/>
    <w:rsid w:val="00EA60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FF765A"/>
  <w15:chartTrackingRefBased/>
  <w15:docId w15:val="{78C832D6-D75A-4B88-A736-C13C2462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0833"/>
    <w:pPr>
      <w:bidi/>
    </w:pPr>
    <w:rPr>
      <w:rFonts w:cs="David"/>
      <w:sz w:val="24"/>
      <w:szCs w:val="24"/>
    </w:rPr>
  </w:style>
  <w:style w:type="paragraph" w:styleId="1">
    <w:name w:val="heading 1"/>
    <w:basedOn w:val="a"/>
    <w:next w:val="a"/>
    <w:qFormat/>
    <w:rsid w:val="00600833"/>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600833"/>
    <w:pPr>
      <w:keepNext/>
      <w:keepLines/>
      <w:spacing w:before="200"/>
      <w:outlineLvl w:val="1"/>
    </w:pPr>
    <w:rPr>
      <w:rFonts w:ascii="Cambria" w:hAnsi="Cambria" w:cs="Times New Roman"/>
      <w:b/>
      <w:bCs/>
      <w:color w:val="4F81BD"/>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00833"/>
    <w:pPr>
      <w:tabs>
        <w:tab w:val="center" w:pos="4153"/>
        <w:tab w:val="right" w:pos="8306"/>
      </w:tabs>
    </w:pPr>
  </w:style>
  <w:style w:type="paragraph" w:styleId="a4">
    <w:name w:val="footer"/>
    <w:basedOn w:val="a"/>
    <w:rsid w:val="00600833"/>
    <w:pPr>
      <w:tabs>
        <w:tab w:val="center" w:pos="4153"/>
        <w:tab w:val="right" w:pos="8306"/>
      </w:tabs>
    </w:pPr>
  </w:style>
  <w:style w:type="character" w:styleId="a5">
    <w:name w:val="page number"/>
    <w:basedOn w:val="a0"/>
    <w:rsid w:val="00600833"/>
  </w:style>
  <w:style w:type="character" w:customStyle="1" w:styleId="20">
    <w:name w:val="כותרת 2 תו"/>
    <w:basedOn w:val="a0"/>
    <w:link w:val="2"/>
    <w:rsid w:val="00600833"/>
    <w:rPr>
      <w:rFonts w:ascii="Cambria" w:hAnsi="Cambria"/>
      <w:b/>
      <w:bCs/>
      <w:color w:val="4F81BD"/>
      <w:sz w:val="26"/>
      <w:szCs w:val="26"/>
      <w:lang w:val="en-US" w:eastAsia="en-US" w:bidi="he-IL"/>
    </w:rPr>
  </w:style>
  <w:style w:type="paragraph" w:styleId="a6">
    <w:name w:val="Body Text"/>
    <w:basedOn w:val="a"/>
    <w:link w:val="a7"/>
    <w:rsid w:val="00600833"/>
    <w:pPr>
      <w:spacing w:line="360" w:lineRule="auto"/>
      <w:jc w:val="both"/>
    </w:pPr>
    <w:rPr>
      <w:rFonts w:cs="Times New Roman"/>
      <w:lang w:eastAsia="he-IL"/>
    </w:rPr>
  </w:style>
  <w:style w:type="character" w:customStyle="1" w:styleId="a7">
    <w:name w:val="גוף טקסט תו"/>
    <w:basedOn w:val="a0"/>
    <w:link w:val="a6"/>
    <w:rsid w:val="00600833"/>
    <w:rPr>
      <w:sz w:val="24"/>
      <w:szCs w:val="24"/>
      <w:lang w:val="en-US" w:eastAsia="he-IL" w:bidi="he-IL"/>
    </w:rPr>
  </w:style>
  <w:style w:type="character" w:styleId="Hyperlink">
    <w:name w:val="Hyperlink"/>
    <w:basedOn w:val="a0"/>
    <w:rsid w:val="00332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34" Type="http://schemas.openxmlformats.org/officeDocument/2006/relationships/hyperlink" Target="http://www.nevo.co.il/case/6055128"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590169"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752870"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4918" TargetMode="External"/><Relationship Id="rId14" Type="http://schemas.openxmlformats.org/officeDocument/2006/relationships/hyperlink" Target="http://www.nevo.co.il/case/5601732" TargetMode="External"/><Relationship Id="rId22" Type="http://schemas.openxmlformats.org/officeDocument/2006/relationships/hyperlink" Target="http://www.nevo.co.il/case/5960324" TargetMode="External"/><Relationship Id="rId27" Type="http://schemas.openxmlformats.org/officeDocument/2006/relationships/hyperlink" Target="http://www.nevo.co.il/law/4216" TargetMode="External"/><Relationship Id="rId30" Type="http://schemas.openxmlformats.org/officeDocument/2006/relationships/hyperlink" Target="http://www.nevo.co.il/case/5681787" TargetMode="External"/><Relationship Id="rId35" Type="http://schemas.openxmlformats.org/officeDocument/2006/relationships/hyperlink" Target="http://www.nevo.co.il/law/4216"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5991438" TargetMode="External"/><Relationship Id="rId25" Type="http://schemas.openxmlformats.org/officeDocument/2006/relationships/hyperlink" Target="http://www.nevo.co.il/law/4216" TargetMode="External"/><Relationship Id="rId33" Type="http://schemas.openxmlformats.org/officeDocument/2006/relationships/hyperlink" Target="http://www.nevo.co.il/law/74918" TargetMode="External"/><Relationship Id="rId38"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2888</Words>
  <Characters>14441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17295</CharactersWithSpaces>
  <SharedDoc>false</SharedDoc>
  <HLinks>
    <vt:vector size="198" baseType="variant">
      <vt:variant>
        <vt:i4>8257637</vt:i4>
      </vt:variant>
      <vt:variant>
        <vt:i4>96</vt:i4>
      </vt:variant>
      <vt:variant>
        <vt:i4>0</vt:i4>
      </vt:variant>
      <vt:variant>
        <vt:i4>5</vt:i4>
      </vt:variant>
      <vt:variant>
        <vt:lpwstr>http://www.nevo.co.il/law/4216</vt:lpwstr>
      </vt:variant>
      <vt:variant>
        <vt:lpwstr/>
      </vt:variant>
      <vt:variant>
        <vt:i4>7995492</vt:i4>
      </vt:variant>
      <vt:variant>
        <vt:i4>93</vt:i4>
      </vt:variant>
      <vt:variant>
        <vt:i4>0</vt:i4>
      </vt:variant>
      <vt:variant>
        <vt:i4>5</vt:i4>
      </vt:variant>
      <vt:variant>
        <vt:lpwstr>http://www.nevo.co.il/law/70301</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3801203</vt:i4>
      </vt:variant>
      <vt:variant>
        <vt:i4>81</vt:i4>
      </vt:variant>
      <vt:variant>
        <vt:i4>0</vt:i4>
      </vt:variant>
      <vt:variant>
        <vt:i4>5</vt:i4>
      </vt:variant>
      <vt:variant>
        <vt:lpwstr>http://www.nevo.co.il/case/6055128</vt:lpwstr>
      </vt:variant>
      <vt:variant>
        <vt:lpwstr/>
      </vt:variant>
      <vt:variant>
        <vt:i4>8323182</vt:i4>
      </vt:variant>
      <vt:variant>
        <vt:i4>78</vt:i4>
      </vt:variant>
      <vt:variant>
        <vt:i4>0</vt:i4>
      </vt:variant>
      <vt:variant>
        <vt:i4>5</vt:i4>
      </vt:variant>
      <vt:variant>
        <vt:lpwstr>http://www.nevo.co.il/law/74918</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3997819</vt:i4>
      </vt:variant>
      <vt:variant>
        <vt:i4>69</vt:i4>
      </vt:variant>
      <vt:variant>
        <vt:i4>0</vt:i4>
      </vt:variant>
      <vt:variant>
        <vt:i4>5</vt:i4>
      </vt:variant>
      <vt:variant>
        <vt:lpwstr>http://www.nevo.co.il/case/5681787</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3407999</vt:i4>
      </vt:variant>
      <vt:variant>
        <vt:i4>45</vt:i4>
      </vt:variant>
      <vt:variant>
        <vt:i4>0</vt:i4>
      </vt:variant>
      <vt:variant>
        <vt:i4>5</vt:i4>
      </vt:variant>
      <vt:variant>
        <vt:lpwstr>http://www.nevo.co.il/case/5960324</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3145855</vt:i4>
      </vt:variant>
      <vt:variant>
        <vt:i4>30</vt:i4>
      </vt:variant>
      <vt:variant>
        <vt:i4>0</vt:i4>
      </vt:variant>
      <vt:variant>
        <vt:i4>5</vt:i4>
      </vt:variant>
      <vt:variant>
        <vt:lpwstr>http://www.nevo.co.il/case/5991438</vt:lpwstr>
      </vt:variant>
      <vt:variant>
        <vt:lpwstr/>
      </vt:variant>
      <vt:variant>
        <vt:i4>3407991</vt:i4>
      </vt:variant>
      <vt:variant>
        <vt:i4>27</vt:i4>
      </vt:variant>
      <vt:variant>
        <vt:i4>0</vt:i4>
      </vt:variant>
      <vt:variant>
        <vt:i4>5</vt:i4>
      </vt:variant>
      <vt:variant>
        <vt:lpwstr>http://www.nevo.co.il/case/5590169</vt:lpwstr>
      </vt:variant>
      <vt:variant>
        <vt:lpwstr/>
      </vt:variant>
      <vt:variant>
        <vt:i4>3670134</vt:i4>
      </vt:variant>
      <vt:variant>
        <vt:i4>24</vt:i4>
      </vt:variant>
      <vt:variant>
        <vt:i4>0</vt:i4>
      </vt:variant>
      <vt:variant>
        <vt:i4>5</vt:i4>
      </vt:variant>
      <vt:variant>
        <vt:lpwstr>http://www.nevo.co.il/case/5752870</vt:lpwstr>
      </vt:variant>
      <vt:variant>
        <vt:lpwstr/>
      </vt:variant>
      <vt:variant>
        <vt:i4>3145840</vt:i4>
      </vt:variant>
      <vt:variant>
        <vt:i4>21</vt:i4>
      </vt:variant>
      <vt:variant>
        <vt:i4>0</vt:i4>
      </vt:variant>
      <vt:variant>
        <vt:i4>5</vt:i4>
      </vt:variant>
      <vt:variant>
        <vt:lpwstr>http://www.nevo.co.il/case/5601732</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8257637</vt:i4>
      </vt:variant>
      <vt:variant>
        <vt:i4>9</vt:i4>
      </vt:variant>
      <vt:variant>
        <vt:i4>0</vt:i4>
      </vt:variant>
      <vt:variant>
        <vt:i4>5</vt:i4>
      </vt:variant>
      <vt:variant>
        <vt:lpwstr>http://www.nevo.co.il/law/4216</vt:lpwstr>
      </vt:variant>
      <vt:variant>
        <vt:lpwstr/>
      </vt:variant>
      <vt:variant>
        <vt:i4>8323182</vt:i4>
      </vt:variant>
      <vt:variant>
        <vt:i4>6</vt:i4>
      </vt:variant>
      <vt:variant>
        <vt:i4>0</vt:i4>
      </vt:variant>
      <vt:variant>
        <vt:i4>5</vt:i4>
      </vt:variant>
      <vt:variant>
        <vt:lpwstr>http://www.nevo.co.il/law/74918</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16749</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מונצר עקל</vt:lpwstr>
  </property>
  <property fmtid="{D5CDD505-2E9C-101B-9397-08002B2CF9AE}" pid="10" name="LAWYER">
    <vt:lpwstr>זוהר שקורי שוורץ;מיטל וקנין קורקוס</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20130206</vt:lpwstr>
  </property>
  <property fmtid="{D5CDD505-2E9C-101B-9397-08002B2CF9AE}" pid="14" name="TYPE_N_DATE">
    <vt:lpwstr>38020130206</vt:lpwstr>
  </property>
  <property fmtid="{D5CDD505-2E9C-101B-9397-08002B2CF9AE}" pid="15" name="WORDNUMPAGES">
    <vt:lpwstr>10</vt:lpwstr>
  </property>
  <property fmtid="{D5CDD505-2E9C-101B-9397-08002B2CF9AE}" pid="16" name="TYPE_ABS_DATE">
    <vt:lpwstr>380020130206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5601732;5752870;5590169;5991438;5960324;5681787;6055128</vt:lpwstr>
  </property>
  <property fmtid="{D5CDD505-2E9C-101B-9397-08002B2CF9AE}" pid="36" name="CASENOTES1">
    <vt:lpwstr>ProcID=209&amp;PartA=1393&amp;PartC=08</vt:lpwstr>
  </property>
  <property fmtid="{D5CDD505-2E9C-101B-9397-08002B2CF9AE}" pid="37" name="LAWLISTTMP1">
    <vt:lpwstr>4216:18</vt:lpwstr>
  </property>
  <property fmtid="{D5CDD505-2E9C-101B-9397-08002B2CF9AE}" pid="38" name="LAWLISTTMP2">
    <vt:lpwstr>70301:4</vt:lpwstr>
  </property>
  <property fmtid="{D5CDD505-2E9C-101B-9397-08002B2CF9AE}" pid="39" name="LAWLISTTMP3">
    <vt:lpwstr>74918</vt:lpwstr>
  </property>
</Properties>
</file>