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CE3285" w:rsidRPr="009F4A97" w14:paraId="099AE6DC" w14:textId="77777777">
        <w:trPr>
          <w:trHeight w:hRule="exact" w:val="418"/>
          <w:jc w:val="center"/>
        </w:trPr>
        <w:tc>
          <w:tcPr>
            <w:tcW w:w="8720" w:type="dxa"/>
            <w:gridSpan w:val="3"/>
          </w:tcPr>
          <w:p w14:paraId="44BC5F25" w14:textId="77777777" w:rsidR="00CE3285" w:rsidRPr="009F4A97" w:rsidRDefault="009F4A97">
            <w:pPr>
              <w:pStyle w:val="a3"/>
              <w:tabs>
                <w:tab w:val="clear" w:pos="8306"/>
              </w:tabs>
              <w:jc w:val="center"/>
              <w:rPr>
                <w:rFonts w:ascii="Tahoma" w:hAnsi="Tahoma" w:cs="Tahoma"/>
                <w:b/>
                <w:bCs/>
                <w:color w:val="000080"/>
                <w:sz w:val="20"/>
                <w:szCs w:val="20"/>
                <w:rtl/>
              </w:rPr>
            </w:pPr>
            <w:r w:rsidRPr="009F4A97">
              <w:rPr>
                <w:rFonts w:ascii="Tahoma" w:hAnsi="Tahoma" w:cs="Tahoma"/>
                <w:b/>
                <w:bCs/>
                <w:color w:val="000080"/>
                <w:sz w:val="20"/>
                <w:szCs w:val="20"/>
                <w:rtl/>
              </w:rPr>
              <w:t>בית משפט השלום בעכו</w:t>
            </w:r>
          </w:p>
        </w:tc>
      </w:tr>
      <w:tr w:rsidR="00CE3285" w:rsidRPr="009F4A97" w14:paraId="4DB2E870" w14:textId="77777777">
        <w:trPr>
          <w:trHeight w:val="337"/>
          <w:jc w:val="center"/>
        </w:trPr>
        <w:tc>
          <w:tcPr>
            <w:tcW w:w="3973" w:type="dxa"/>
          </w:tcPr>
          <w:p w14:paraId="1697464A" w14:textId="77777777" w:rsidR="00CE3285" w:rsidRPr="009F4A97" w:rsidRDefault="009F4A97">
            <w:pPr>
              <w:rPr>
                <w:b/>
                <w:bCs/>
                <w:sz w:val="26"/>
                <w:szCs w:val="26"/>
                <w:rtl/>
              </w:rPr>
            </w:pPr>
            <w:r w:rsidRPr="009F4A97">
              <w:rPr>
                <w:b/>
                <w:bCs/>
                <w:sz w:val="26"/>
                <w:szCs w:val="26"/>
                <w:rtl/>
              </w:rPr>
              <w:t>ת"פ</w:t>
            </w:r>
            <w:r w:rsidRPr="009F4A97">
              <w:rPr>
                <w:rFonts w:hint="cs"/>
                <w:b/>
                <w:bCs/>
                <w:sz w:val="26"/>
                <w:szCs w:val="26"/>
                <w:rtl/>
              </w:rPr>
              <w:t xml:space="preserve"> </w:t>
            </w:r>
            <w:r w:rsidRPr="009F4A97">
              <w:rPr>
                <w:b/>
                <w:bCs/>
                <w:sz w:val="26"/>
                <w:szCs w:val="26"/>
                <w:rtl/>
              </w:rPr>
              <w:t>1793-08-12</w:t>
            </w:r>
            <w:r w:rsidRPr="009F4A97">
              <w:rPr>
                <w:rFonts w:hint="cs"/>
                <w:b/>
                <w:bCs/>
                <w:sz w:val="26"/>
                <w:szCs w:val="26"/>
                <w:rtl/>
              </w:rPr>
              <w:t xml:space="preserve"> </w:t>
            </w:r>
            <w:r w:rsidRPr="009F4A97">
              <w:rPr>
                <w:b/>
                <w:bCs/>
                <w:sz w:val="26"/>
                <w:szCs w:val="26"/>
                <w:rtl/>
              </w:rPr>
              <w:t>מדינת ישראל נ' סעדי</w:t>
            </w:r>
          </w:p>
          <w:p w14:paraId="4470397C" w14:textId="77777777" w:rsidR="00CE3285" w:rsidRPr="009F4A97" w:rsidRDefault="00CE3285">
            <w:pPr>
              <w:rPr>
                <w:b/>
                <w:bCs/>
                <w:sz w:val="26"/>
                <w:szCs w:val="26"/>
                <w:rtl/>
              </w:rPr>
            </w:pPr>
          </w:p>
        </w:tc>
        <w:tc>
          <w:tcPr>
            <w:tcW w:w="1068" w:type="dxa"/>
          </w:tcPr>
          <w:p w14:paraId="205A1128" w14:textId="77777777" w:rsidR="00CE3285" w:rsidRPr="009F4A97" w:rsidRDefault="00CE3285">
            <w:pPr>
              <w:pStyle w:val="a3"/>
              <w:jc w:val="right"/>
              <w:rPr>
                <w:b/>
                <w:bCs/>
                <w:sz w:val="26"/>
                <w:szCs w:val="26"/>
                <w:rtl/>
              </w:rPr>
            </w:pPr>
          </w:p>
        </w:tc>
        <w:tc>
          <w:tcPr>
            <w:tcW w:w="3679" w:type="dxa"/>
          </w:tcPr>
          <w:p w14:paraId="3A50ED78" w14:textId="77777777" w:rsidR="00CE3285" w:rsidRPr="009F4A97" w:rsidRDefault="009F4A97">
            <w:pPr>
              <w:pStyle w:val="a3"/>
              <w:tabs>
                <w:tab w:val="clear" w:pos="4153"/>
              </w:tabs>
              <w:jc w:val="right"/>
              <w:rPr>
                <w:b/>
                <w:bCs/>
                <w:sz w:val="26"/>
                <w:szCs w:val="26"/>
                <w:rtl/>
              </w:rPr>
            </w:pPr>
            <w:r w:rsidRPr="009F4A97">
              <w:rPr>
                <w:b/>
                <w:bCs/>
                <w:sz w:val="26"/>
                <w:szCs w:val="26"/>
                <w:rtl/>
              </w:rPr>
              <w:t>19 מאי 2013</w:t>
            </w:r>
          </w:p>
        </w:tc>
      </w:tr>
    </w:tbl>
    <w:p w14:paraId="638BF457" w14:textId="77777777" w:rsidR="00CE3285" w:rsidRPr="009F4A97" w:rsidRDefault="00CE3285">
      <w:pPr>
        <w:pStyle w:val="a3"/>
        <w:jc w:val="center"/>
        <w:rPr>
          <w:rFonts w:ascii="Tahoma" w:hAnsi="Tahoma" w:cs="Tahoma"/>
          <w:b/>
          <w:bCs/>
          <w:color w:val="000080"/>
          <w:sz w:val="20"/>
          <w:szCs w:val="20"/>
          <w:rtl/>
        </w:rPr>
      </w:pPr>
    </w:p>
    <w:p w14:paraId="0B299DC7" w14:textId="77777777" w:rsidR="00CE3285" w:rsidRPr="009F4A97" w:rsidRDefault="00CE3285">
      <w:pPr>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CE3285" w:rsidRPr="009F4A97" w14:paraId="013574BC" w14:textId="77777777">
        <w:trPr>
          <w:trHeight w:val="337"/>
          <w:jc w:val="center"/>
        </w:trPr>
        <w:tc>
          <w:tcPr>
            <w:tcW w:w="5856" w:type="dxa"/>
          </w:tcPr>
          <w:p w14:paraId="56968B8C" w14:textId="77777777" w:rsidR="00CE3285" w:rsidRPr="009F4A97" w:rsidRDefault="009F4A97">
            <w:pPr>
              <w:spacing w:line="360" w:lineRule="auto"/>
              <w:jc w:val="both"/>
              <w:rPr>
                <w:b/>
                <w:bCs/>
                <w:sz w:val="26"/>
                <w:szCs w:val="26"/>
                <w:rtl/>
              </w:rPr>
            </w:pPr>
            <w:r w:rsidRPr="009F4A97">
              <w:rPr>
                <w:rFonts w:hint="cs"/>
                <w:b/>
                <w:bCs/>
                <w:sz w:val="26"/>
                <w:szCs w:val="26"/>
                <w:rtl/>
              </w:rPr>
              <w:t>בפני כב' השופט משה אלטר, סגן נשיא (בדימוס)</w:t>
            </w:r>
          </w:p>
        </w:tc>
        <w:tc>
          <w:tcPr>
            <w:tcW w:w="236" w:type="dxa"/>
          </w:tcPr>
          <w:p w14:paraId="687452CC" w14:textId="77777777" w:rsidR="00CE3285" w:rsidRPr="009F4A97" w:rsidRDefault="00CE3285">
            <w:pPr>
              <w:pStyle w:val="a3"/>
              <w:jc w:val="both"/>
              <w:rPr>
                <w:b/>
                <w:bCs/>
                <w:sz w:val="26"/>
                <w:szCs w:val="26"/>
                <w:rtl/>
              </w:rPr>
            </w:pPr>
          </w:p>
        </w:tc>
        <w:tc>
          <w:tcPr>
            <w:tcW w:w="2628" w:type="dxa"/>
          </w:tcPr>
          <w:p w14:paraId="51994D40" w14:textId="77777777" w:rsidR="00CE3285" w:rsidRPr="009F4A97" w:rsidRDefault="00CE3285">
            <w:pPr>
              <w:pStyle w:val="a3"/>
              <w:jc w:val="both"/>
              <w:rPr>
                <w:b/>
                <w:bCs/>
                <w:sz w:val="26"/>
                <w:szCs w:val="26"/>
                <w:rtl/>
              </w:rPr>
            </w:pPr>
          </w:p>
        </w:tc>
      </w:tr>
    </w:tbl>
    <w:p w14:paraId="7ACBF3A9" w14:textId="77777777" w:rsidR="00CE3285" w:rsidRPr="009F4A97" w:rsidRDefault="00CE3285">
      <w:pPr>
        <w:spacing w:line="360" w:lineRule="auto"/>
        <w:jc w:val="both"/>
        <w:rPr>
          <w:rFonts w:ascii="Arial" w:hAnsi="Arial"/>
          <w:rtl/>
        </w:rPr>
      </w:pPr>
      <w:bookmarkStart w:id="0" w:name="LastJudge"/>
      <w:bookmarkEnd w:id="0"/>
    </w:p>
    <w:p w14:paraId="7D4F9068" w14:textId="77777777" w:rsidR="00CE3285" w:rsidRPr="009F4A97" w:rsidRDefault="00CE3285">
      <w:pPr>
        <w:spacing w:line="360" w:lineRule="auto"/>
        <w:jc w:val="both"/>
        <w:rPr>
          <w:sz w:val="6"/>
          <w:szCs w:val="6"/>
          <w:rtl/>
        </w:rPr>
      </w:pPr>
    </w:p>
    <w:tbl>
      <w:tblPr>
        <w:bidiVisual/>
        <w:tblW w:w="8802" w:type="dxa"/>
        <w:tblInd w:w="-28" w:type="dxa"/>
        <w:tblLayout w:type="fixed"/>
        <w:tblLook w:val="01E0" w:firstRow="1" w:lastRow="1" w:firstColumn="1" w:lastColumn="1" w:noHBand="0" w:noVBand="0"/>
      </w:tblPr>
      <w:tblGrid>
        <w:gridCol w:w="3240"/>
        <w:gridCol w:w="5562"/>
      </w:tblGrid>
      <w:tr w:rsidR="00CE3285" w:rsidRPr="009F4A97" w14:paraId="15B82A03" w14:textId="77777777">
        <w:tc>
          <w:tcPr>
            <w:tcW w:w="3240" w:type="dxa"/>
          </w:tcPr>
          <w:p w14:paraId="7063CE74" w14:textId="77777777" w:rsidR="00CE3285" w:rsidRPr="009F4A97" w:rsidRDefault="009F4A97">
            <w:pPr>
              <w:ind w:left="26"/>
              <w:rPr>
                <w:rFonts w:ascii="Times New Roman" w:eastAsia="Times New Roman" w:hAnsi="Times New Roman"/>
                <w:b/>
                <w:bCs/>
                <w:sz w:val="26"/>
                <w:szCs w:val="26"/>
                <w:rtl/>
              </w:rPr>
            </w:pPr>
            <w:bookmarkStart w:id="1" w:name="FirstAppellant"/>
            <w:r w:rsidRPr="009F4A97">
              <w:rPr>
                <w:rFonts w:ascii="Times New Roman" w:eastAsia="Times New Roman" w:hAnsi="Times New Roman" w:hint="cs"/>
                <w:b/>
                <w:bCs/>
                <w:sz w:val="26"/>
                <w:szCs w:val="26"/>
                <w:rtl/>
              </w:rPr>
              <w:t>ה</w:t>
            </w:r>
            <w:r w:rsidRPr="009F4A97">
              <w:rPr>
                <w:rFonts w:ascii="Times New Roman" w:eastAsia="Times New Roman" w:hAnsi="Times New Roman" w:hint="cs"/>
                <w:rtl/>
              </w:rPr>
              <w:t>מאשימה</w:t>
            </w:r>
          </w:p>
        </w:tc>
        <w:tc>
          <w:tcPr>
            <w:tcW w:w="5562" w:type="dxa"/>
          </w:tcPr>
          <w:p w14:paraId="3FF42EE7" w14:textId="77777777" w:rsidR="00CE3285" w:rsidRPr="009F4A97" w:rsidRDefault="009F4A97">
            <w:pPr>
              <w:rPr>
                <w:rFonts w:ascii="Times New Roman" w:eastAsia="Times New Roman" w:hAnsi="Times New Roman"/>
                <w:b/>
                <w:bCs/>
                <w:sz w:val="26"/>
                <w:szCs w:val="26"/>
                <w:rtl/>
              </w:rPr>
            </w:pPr>
            <w:r w:rsidRPr="009F4A97">
              <w:rPr>
                <w:rFonts w:ascii="Times New Roman" w:eastAsia="Times New Roman" w:hAnsi="Times New Roman" w:hint="cs"/>
                <w:b/>
                <w:bCs/>
                <w:sz w:val="26"/>
                <w:szCs w:val="26"/>
                <w:rtl/>
              </w:rPr>
              <w:t xml:space="preserve"> </w:t>
            </w:r>
            <w:r w:rsidRPr="009F4A97">
              <w:rPr>
                <w:rFonts w:ascii="Times New Roman" w:eastAsia="Times New Roman" w:hAnsi="Times New Roman" w:hint="cs"/>
                <w:rtl/>
              </w:rPr>
              <w:t>מדינת ישראל</w:t>
            </w:r>
          </w:p>
        </w:tc>
      </w:tr>
      <w:bookmarkEnd w:id="1"/>
      <w:tr w:rsidR="00CE3285" w:rsidRPr="009F4A97" w14:paraId="73F0A7A1" w14:textId="77777777">
        <w:tc>
          <w:tcPr>
            <w:tcW w:w="8802" w:type="dxa"/>
            <w:gridSpan w:val="2"/>
          </w:tcPr>
          <w:p w14:paraId="5530839D" w14:textId="77777777" w:rsidR="00CE3285" w:rsidRPr="009F4A97" w:rsidRDefault="00CE3285">
            <w:pPr>
              <w:jc w:val="both"/>
              <w:rPr>
                <w:rFonts w:ascii="Arial" w:eastAsia="Times New Roman" w:hAnsi="Arial"/>
                <w:b/>
                <w:bCs/>
                <w:sz w:val="26"/>
                <w:szCs w:val="26"/>
                <w:rtl/>
              </w:rPr>
            </w:pPr>
          </w:p>
          <w:p w14:paraId="413605A9" w14:textId="77777777" w:rsidR="00CE3285" w:rsidRPr="009F4A97" w:rsidRDefault="009F4A97">
            <w:pPr>
              <w:jc w:val="center"/>
              <w:rPr>
                <w:rFonts w:ascii="Arial" w:eastAsia="Times New Roman" w:hAnsi="Arial"/>
                <w:b/>
                <w:bCs/>
                <w:sz w:val="26"/>
                <w:szCs w:val="26"/>
                <w:rtl/>
              </w:rPr>
            </w:pPr>
            <w:r w:rsidRPr="009F4A97">
              <w:rPr>
                <w:rFonts w:ascii="Arial" w:eastAsia="Times New Roman" w:hAnsi="Arial"/>
                <w:b/>
                <w:bCs/>
                <w:sz w:val="26"/>
                <w:szCs w:val="26"/>
                <w:rtl/>
              </w:rPr>
              <w:t>נגד</w:t>
            </w:r>
          </w:p>
          <w:p w14:paraId="50840640" w14:textId="77777777" w:rsidR="00CE3285" w:rsidRPr="009F4A97" w:rsidRDefault="00CE3285">
            <w:pPr>
              <w:jc w:val="center"/>
              <w:rPr>
                <w:rFonts w:ascii="Arial" w:eastAsia="Times New Roman" w:hAnsi="Arial"/>
                <w:b/>
                <w:bCs/>
                <w:sz w:val="26"/>
                <w:szCs w:val="26"/>
              </w:rPr>
            </w:pPr>
          </w:p>
        </w:tc>
      </w:tr>
      <w:tr w:rsidR="00CE3285" w:rsidRPr="009F4A97" w14:paraId="421B063D" w14:textId="77777777">
        <w:tc>
          <w:tcPr>
            <w:tcW w:w="3240" w:type="dxa"/>
          </w:tcPr>
          <w:p w14:paraId="725BB848" w14:textId="77777777" w:rsidR="00CE3285" w:rsidRPr="009F4A97" w:rsidRDefault="009F4A97">
            <w:pPr>
              <w:ind w:left="26"/>
              <w:rPr>
                <w:rFonts w:ascii="Times New Roman" w:eastAsia="Times New Roman" w:hAnsi="Times New Roman"/>
                <w:b/>
                <w:bCs/>
                <w:sz w:val="26"/>
                <w:szCs w:val="26"/>
                <w:rtl/>
              </w:rPr>
            </w:pPr>
            <w:r w:rsidRPr="009F4A97">
              <w:rPr>
                <w:rFonts w:ascii="Times New Roman" w:eastAsia="Times New Roman" w:hAnsi="Times New Roman" w:hint="cs"/>
                <w:b/>
                <w:bCs/>
                <w:sz w:val="26"/>
                <w:szCs w:val="26"/>
                <w:rtl/>
              </w:rPr>
              <w:t>ה</w:t>
            </w:r>
            <w:r w:rsidRPr="009F4A97">
              <w:rPr>
                <w:rFonts w:ascii="Times New Roman" w:eastAsia="Times New Roman" w:hAnsi="Times New Roman" w:hint="cs"/>
                <w:rtl/>
              </w:rPr>
              <w:t>נאשם</w:t>
            </w:r>
          </w:p>
        </w:tc>
        <w:tc>
          <w:tcPr>
            <w:tcW w:w="5562" w:type="dxa"/>
          </w:tcPr>
          <w:p w14:paraId="43B99878" w14:textId="77777777" w:rsidR="00CE3285" w:rsidRPr="009F4A97" w:rsidRDefault="009F4A97">
            <w:pPr>
              <w:rPr>
                <w:rFonts w:ascii="Times New Roman" w:eastAsia="Times New Roman" w:hAnsi="Times New Roman"/>
                <w:b/>
                <w:bCs/>
                <w:sz w:val="26"/>
                <w:szCs w:val="26"/>
                <w:rtl/>
              </w:rPr>
            </w:pPr>
            <w:r w:rsidRPr="009F4A97">
              <w:rPr>
                <w:rFonts w:ascii="Times New Roman" w:eastAsia="Times New Roman" w:hAnsi="Times New Roman" w:hint="cs"/>
                <w:b/>
                <w:bCs/>
                <w:sz w:val="26"/>
                <w:szCs w:val="26"/>
                <w:rtl/>
              </w:rPr>
              <w:t xml:space="preserve"> </w:t>
            </w:r>
            <w:r w:rsidRPr="009F4A97">
              <w:rPr>
                <w:rFonts w:ascii="Times New Roman" w:eastAsia="Times New Roman" w:hAnsi="Times New Roman" w:hint="cs"/>
                <w:rtl/>
              </w:rPr>
              <w:t>מוחמד סעדי</w:t>
            </w:r>
          </w:p>
        </w:tc>
      </w:tr>
      <w:tr w:rsidR="00CE3285" w:rsidRPr="009F4A97" w14:paraId="0C665687" w14:textId="77777777">
        <w:trPr>
          <w:trHeight w:val="692"/>
        </w:trPr>
        <w:tc>
          <w:tcPr>
            <w:tcW w:w="8802" w:type="dxa"/>
            <w:gridSpan w:val="2"/>
          </w:tcPr>
          <w:p w14:paraId="21CB396A" w14:textId="77777777" w:rsidR="00CE3285" w:rsidRPr="009F4A97" w:rsidRDefault="00CE3285">
            <w:pPr>
              <w:jc w:val="center"/>
              <w:rPr>
                <w:rFonts w:ascii="Arial" w:hAnsi="Arial"/>
                <w:b/>
                <w:bCs/>
                <w:sz w:val="26"/>
                <w:szCs w:val="26"/>
              </w:rPr>
            </w:pPr>
          </w:p>
        </w:tc>
      </w:tr>
      <w:tr w:rsidR="00CE3285" w:rsidRPr="009F4A97" w14:paraId="185DD1C0" w14:textId="77777777">
        <w:tc>
          <w:tcPr>
            <w:tcW w:w="3240" w:type="dxa"/>
          </w:tcPr>
          <w:p w14:paraId="4D12234D" w14:textId="77777777" w:rsidR="00CE3285" w:rsidRPr="009F4A97" w:rsidRDefault="00CE3285"/>
        </w:tc>
        <w:tc>
          <w:tcPr>
            <w:tcW w:w="5562" w:type="dxa"/>
          </w:tcPr>
          <w:p w14:paraId="4BE12BE5" w14:textId="77777777" w:rsidR="00CE3285" w:rsidRPr="009F4A97" w:rsidRDefault="00CE3285"/>
        </w:tc>
      </w:tr>
    </w:tbl>
    <w:p w14:paraId="62447941" w14:textId="77777777" w:rsidR="00CE3285" w:rsidRPr="009F4A97" w:rsidRDefault="009F4A97">
      <w:pPr>
        <w:spacing w:line="360" w:lineRule="auto"/>
        <w:jc w:val="both"/>
        <w:rPr>
          <w:sz w:val="6"/>
          <w:szCs w:val="6"/>
          <w:rtl/>
        </w:rPr>
      </w:pPr>
      <w:r w:rsidRPr="009F4A97">
        <w:rPr>
          <w:sz w:val="6"/>
          <w:szCs w:val="6"/>
          <w:rtl/>
        </w:rPr>
        <w:t>&lt;#1#&gt;</w:t>
      </w:r>
    </w:p>
    <w:p w14:paraId="77ECAFE4" w14:textId="77777777" w:rsidR="00CE3285" w:rsidRPr="009F4A97" w:rsidRDefault="009F4A97">
      <w:pPr>
        <w:pStyle w:val="12"/>
        <w:rPr>
          <w:u w:val="none"/>
          <w:rtl/>
        </w:rPr>
      </w:pPr>
      <w:r w:rsidRPr="009F4A97">
        <w:rPr>
          <w:rFonts w:hint="cs"/>
          <w:u w:val="none"/>
          <w:rtl/>
        </w:rPr>
        <w:t>נוכחים:</w:t>
      </w:r>
    </w:p>
    <w:p w14:paraId="4E24B2A4" w14:textId="77777777" w:rsidR="00CE3285" w:rsidRPr="009F4A97" w:rsidRDefault="009F4A97">
      <w:pPr>
        <w:pStyle w:val="12"/>
        <w:rPr>
          <w:b w:val="0"/>
          <w:bCs w:val="0"/>
          <w:u w:val="none"/>
          <w:rtl/>
        </w:rPr>
      </w:pPr>
      <w:bookmarkStart w:id="2" w:name="FirstLawyer"/>
      <w:r w:rsidRPr="009F4A97">
        <w:rPr>
          <w:rFonts w:hint="cs"/>
          <w:b w:val="0"/>
          <w:bCs w:val="0"/>
          <w:u w:val="none"/>
          <w:rtl/>
        </w:rPr>
        <w:t>ב"כ</w:t>
      </w:r>
      <w:bookmarkEnd w:id="2"/>
      <w:r w:rsidRPr="009F4A97">
        <w:rPr>
          <w:rFonts w:hint="cs"/>
          <w:b w:val="0"/>
          <w:bCs w:val="0"/>
          <w:u w:val="none"/>
          <w:rtl/>
        </w:rPr>
        <w:t xml:space="preserve"> המאשימה </w:t>
      </w:r>
      <w:r w:rsidRPr="009F4A97">
        <w:rPr>
          <w:b w:val="0"/>
          <w:bCs w:val="0"/>
          <w:u w:val="none"/>
          <w:rtl/>
        </w:rPr>
        <w:t>–</w:t>
      </w:r>
      <w:r w:rsidRPr="009F4A97">
        <w:rPr>
          <w:rFonts w:hint="cs"/>
          <w:b w:val="0"/>
          <w:bCs w:val="0"/>
          <w:u w:val="none"/>
          <w:rtl/>
        </w:rPr>
        <w:t xml:space="preserve"> עו"ד גל ירדן</w:t>
      </w:r>
    </w:p>
    <w:p w14:paraId="70E61E4F" w14:textId="77777777" w:rsidR="00CE3285" w:rsidRPr="009F4A97" w:rsidRDefault="009F4A97">
      <w:pPr>
        <w:pStyle w:val="12"/>
        <w:rPr>
          <w:b w:val="0"/>
          <w:bCs w:val="0"/>
          <w:u w:val="none"/>
          <w:rtl/>
        </w:rPr>
      </w:pPr>
      <w:r w:rsidRPr="009F4A97">
        <w:rPr>
          <w:rFonts w:hint="cs"/>
          <w:b w:val="0"/>
          <w:bCs w:val="0"/>
          <w:u w:val="none"/>
          <w:rtl/>
        </w:rPr>
        <w:t xml:space="preserve">הנאשם </w:t>
      </w:r>
      <w:r w:rsidRPr="009F4A97">
        <w:rPr>
          <w:b w:val="0"/>
          <w:bCs w:val="0"/>
          <w:u w:val="none"/>
          <w:rtl/>
        </w:rPr>
        <w:t>–</w:t>
      </w:r>
      <w:r w:rsidRPr="009F4A97">
        <w:rPr>
          <w:rFonts w:hint="cs"/>
          <w:b w:val="0"/>
          <w:bCs w:val="0"/>
          <w:u w:val="none"/>
          <w:rtl/>
        </w:rPr>
        <w:t xml:space="preserve"> נוכח</w:t>
      </w:r>
    </w:p>
    <w:p w14:paraId="4725A9A5" w14:textId="77777777" w:rsidR="00CE3285" w:rsidRPr="009F4A97" w:rsidRDefault="009F4A97">
      <w:pPr>
        <w:pStyle w:val="12"/>
        <w:rPr>
          <w:b w:val="0"/>
          <w:bCs w:val="0"/>
          <w:u w:val="none"/>
          <w:rtl/>
        </w:rPr>
      </w:pPr>
      <w:r w:rsidRPr="009F4A97">
        <w:rPr>
          <w:rFonts w:hint="cs"/>
          <w:b w:val="0"/>
          <w:bCs w:val="0"/>
          <w:u w:val="none"/>
          <w:rtl/>
        </w:rPr>
        <w:t>הסניגור - עו"ד שרקאוי</w:t>
      </w:r>
    </w:p>
    <w:p w14:paraId="0AE9FCFB" w14:textId="77777777" w:rsidR="00CE3285" w:rsidRPr="009F4A97" w:rsidRDefault="00CE3285">
      <w:pPr>
        <w:pStyle w:val="12"/>
        <w:rPr>
          <w:b w:val="0"/>
          <w:bCs w:val="0"/>
          <w:u w:val="none"/>
          <w:rtl/>
        </w:rPr>
      </w:pPr>
    </w:p>
    <w:p w14:paraId="4D9ADB16" w14:textId="77777777" w:rsidR="00CE3285" w:rsidRPr="009F4A97" w:rsidRDefault="00CE3285">
      <w:pPr>
        <w:pStyle w:val="12"/>
        <w:rPr>
          <w:b w:val="0"/>
          <w:bCs w:val="0"/>
          <w:u w:val="none"/>
          <w:rtl/>
        </w:rPr>
      </w:pPr>
    </w:p>
    <w:p w14:paraId="48D3B3C8" w14:textId="77777777" w:rsidR="00CE3285" w:rsidRPr="009F4A97" w:rsidRDefault="009F4A97">
      <w:pPr>
        <w:overflowPunct w:val="0"/>
        <w:autoSpaceDE w:val="0"/>
        <w:autoSpaceDN w:val="0"/>
        <w:adjustRightInd w:val="0"/>
        <w:jc w:val="center"/>
        <w:rPr>
          <w:rFonts w:ascii="Arial" w:hAnsi="Arial"/>
          <w:b/>
          <w:bCs/>
          <w:sz w:val="28"/>
          <w:szCs w:val="28"/>
          <w:rtl/>
        </w:rPr>
      </w:pPr>
      <w:r w:rsidRPr="009F4A97">
        <w:rPr>
          <w:rFonts w:ascii="Arial" w:hAnsi="Arial"/>
          <w:b/>
          <w:color w:val="FF0000"/>
          <w:sz w:val="28"/>
          <w:rtl/>
        </w:rPr>
        <w:t>במסמך זה הושמטו פרוטוקולים</w:t>
      </w:r>
    </w:p>
    <w:p w14:paraId="7CA4E2DC" w14:textId="77777777" w:rsidR="009F4A97" w:rsidRPr="009F4A97" w:rsidRDefault="009F4A97">
      <w:pPr>
        <w:overflowPunct w:val="0"/>
        <w:autoSpaceDE w:val="0"/>
        <w:autoSpaceDN w:val="0"/>
        <w:adjustRightInd w:val="0"/>
        <w:jc w:val="center"/>
        <w:rPr>
          <w:rFonts w:ascii="Arial" w:hAnsi="Arial"/>
          <w:b/>
          <w:bCs/>
          <w:sz w:val="28"/>
          <w:szCs w:val="28"/>
          <w:rtl/>
        </w:rPr>
      </w:pPr>
    </w:p>
    <w:p w14:paraId="5C9FFEA4" w14:textId="77777777" w:rsidR="009F4A97" w:rsidRPr="009F4A97" w:rsidRDefault="009F4A97" w:rsidP="009F4A97">
      <w:pPr>
        <w:overflowPunct w:val="0"/>
        <w:autoSpaceDE w:val="0"/>
        <w:autoSpaceDN w:val="0"/>
        <w:adjustRightInd w:val="0"/>
        <w:jc w:val="center"/>
        <w:rPr>
          <w:rFonts w:ascii="Arial" w:hAnsi="Arial"/>
          <w:b/>
          <w:bCs/>
          <w:sz w:val="28"/>
          <w:szCs w:val="28"/>
          <w:u w:val="single"/>
          <w:rtl/>
        </w:rPr>
      </w:pPr>
      <w:bookmarkStart w:id="3" w:name="PsakDin"/>
      <w:r w:rsidRPr="009F4A97">
        <w:rPr>
          <w:rFonts w:ascii="Arial" w:hAnsi="Arial"/>
          <w:b/>
          <w:bCs/>
          <w:sz w:val="28"/>
          <w:szCs w:val="28"/>
          <w:u w:val="single"/>
          <w:rtl/>
        </w:rPr>
        <w:t>גזר דין</w:t>
      </w:r>
    </w:p>
    <w:bookmarkEnd w:id="3"/>
    <w:p w14:paraId="00F8C900" w14:textId="77777777" w:rsidR="00CE3285" w:rsidRDefault="00CE3285">
      <w:pPr>
        <w:overflowPunct w:val="0"/>
        <w:autoSpaceDE w:val="0"/>
        <w:autoSpaceDN w:val="0"/>
        <w:adjustRightInd w:val="0"/>
        <w:jc w:val="center"/>
        <w:rPr>
          <w:rtl/>
        </w:rPr>
      </w:pPr>
    </w:p>
    <w:p w14:paraId="6343BC4C" w14:textId="77777777" w:rsidR="00CE3285" w:rsidRDefault="009F4A97">
      <w:pPr>
        <w:overflowPunct w:val="0"/>
        <w:autoSpaceDE w:val="0"/>
        <w:autoSpaceDN w:val="0"/>
        <w:adjustRightInd w:val="0"/>
        <w:jc w:val="both"/>
        <w:rPr>
          <w:rtl/>
        </w:rPr>
      </w:pPr>
      <w:r>
        <w:rPr>
          <w:rtl/>
        </w:rPr>
        <w:t xml:space="preserve"> </w:t>
      </w:r>
    </w:p>
    <w:p w14:paraId="389B8B66" w14:textId="77777777" w:rsidR="00CE3285" w:rsidRDefault="009F4A97">
      <w:pPr>
        <w:overflowPunct w:val="0"/>
        <w:autoSpaceDE w:val="0"/>
        <w:autoSpaceDN w:val="0"/>
        <w:adjustRightInd w:val="0"/>
        <w:spacing w:line="360" w:lineRule="auto"/>
        <w:rPr>
          <w:rtl/>
        </w:rPr>
      </w:pPr>
      <w:bookmarkStart w:id="4" w:name="ABSTRACT_START"/>
      <w:bookmarkEnd w:id="4"/>
      <w:r>
        <w:rPr>
          <w:rFonts w:hint="cs"/>
          <w:rtl/>
        </w:rPr>
        <w:t>בתיק זה הורשע הנאשם בביצוע עבירה לפי סעיף 7(א)+(ג) רישא ל</w:t>
      </w:r>
      <w:hyperlink r:id="rId6" w:history="1">
        <w:r w:rsidRPr="009F4A97">
          <w:rPr>
            <w:color w:val="0000FF"/>
            <w:u w:val="single"/>
            <w:rtl/>
          </w:rPr>
          <w:t>פקודת הסמים המסוכנים</w:t>
        </w:r>
      </w:hyperlink>
      <w:r>
        <w:rPr>
          <w:rFonts w:hint="cs"/>
          <w:rtl/>
        </w:rPr>
        <w:t xml:space="preserve">, תשל"ג-1973 (להלן:"פקודת הסמים"), לאחר שהודה כי החזיק 1.098 גרם של סם מסוכן מסוג הירואין. </w:t>
      </w:r>
    </w:p>
    <w:p w14:paraId="423F9A8D" w14:textId="77777777" w:rsidR="00CE3285" w:rsidRDefault="00CE3285">
      <w:pPr>
        <w:overflowPunct w:val="0"/>
        <w:autoSpaceDE w:val="0"/>
        <w:autoSpaceDN w:val="0"/>
        <w:adjustRightInd w:val="0"/>
        <w:spacing w:line="360" w:lineRule="auto"/>
        <w:rPr>
          <w:rtl/>
        </w:rPr>
      </w:pPr>
      <w:bookmarkStart w:id="5" w:name="ABSTRACT_END"/>
      <w:bookmarkEnd w:id="5"/>
    </w:p>
    <w:p w14:paraId="1D18EC8A" w14:textId="77777777" w:rsidR="00CE3285" w:rsidRDefault="009F4A97">
      <w:pPr>
        <w:overflowPunct w:val="0"/>
        <w:autoSpaceDE w:val="0"/>
        <w:autoSpaceDN w:val="0"/>
        <w:adjustRightInd w:val="0"/>
        <w:spacing w:line="360" w:lineRule="auto"/>
        <w:rPr>
          <w:rtl/>
        </w:rPr>
      </w:pPr>
      <w:r>
        <w:rPr>
          <w:rFonts w:hint="cs"/>
          <w:rtl/>
        </w:rPr>
        <w:t xml:space="preserve">לאחר שהנאשם הורשע, טענו הצדדים לעונש. הצדדים הציגו בפניי הסדר טיעון במסגרתו יוטל על הנאשם עונש שיכלול, בין היתר, מאסר לתקופה של 1 חודש לריצוי בעבודות שירות ולכן הפניתי את הנאשם לקבלת חוות דעת של הממונה על עבודות השירות (להלן:"הממונה"). </w:t>
      </w:r>
    </w:p>
    <w:p w14:paraId="60373163" w14:textId="77777777" w:rsidR="00CE3285" w:rsidRDefault="00CE3285">
      <w:pPr>
        <w:overflowPunct w:val="0"/>
        <w:autoSpaceDE w:val="0"/>
        <w:autoSpaceDN w:val="0"/>
        <w:adjustRightInd w:val="0"/>
        <w:spacing w:line="360" w:lineRule="auto"/>
        <w:rPr>
          <w:rtl/>
        </w:rPr>
      </w:pPr>
    </w:p>
    <w:p w14:paraId="406E9934" w14:textId="77777777" w:rsidR="00CE3285" w:rsidRDefault="009F4A97">
      <w:pPr>
        <w:overflowPunct w:val="0"/>
        <w:autoSpaceDE w:val="0"/>
        <w:autoSpaceDN w:val="0"/>
        <w:adjustRightInd w:val="0"/>
        <w:spacing w:line="360" w:lineRule="auto"/>
        <w:rPr>
          <w:rtl/>
        </w:rPr>
      </w:pPr>
      <w:r>
        <w:rPr>
          <w:rFonts w:hint="cs"/>
          <w:rtl/>
        </w:rPr>
        <w:t xml:space="preserve">התקבלה חו"ד של הממונה מיום 16.5.13, ממנה עולה כי הנאשם מתאים לרצות מאסר בעבודות שירות ואז נקבע מקום להשמתו. בחוות הדעת צוין התאריך 14.4.13 כמועד לתחילת עבודת השירות. אין ספק שהמדובר בטעות קולמוס, שכן אין זה סביר שהממונה קבע תאריך שכבר חלף כתאריך לתחילת העבודות. לבקשתי ניסתה המזכירות להשיג את משרדי הממונה כדי לברר מה התאריך המדוייק לתחילת העבודות, אולם הדבר לא צלח בידי המזכירות. </w:t>
      </w:r>
    </w:p>
    <w:p w14:paraId="6DF82B7E" w14:textId="77777777" w:rsidR="00CE3285" w:rsidRDefault="00CE3285">
      <w:pPr>
        <w:overflowPunct w:val="0"/>
        <w:autoSpaceDE w:val="0"/>
        <w:autoSpaceDN w:val="0"/>
        <w:adjustRightInd w:val="0"/>
        <w:spacing w:line="360" w:lineRule="auto"/>
        <w:rPr>
          <w:rtl/>
        </w:rPr>
      </w:pPr>
    </w:p>
    <w:p w14:paraId="64A9652D" w14:textId="77777777" w:rsidR="00CE3285" w:rsidRDefault="009F4A97">
      <w:pPr>
        <w:overflowPunct w:val="0"/>
        <w:autoSpaceDE w:val="0"/>
        <w:autoSpaceDN w:val="0"/>
        <w:adjustRightInd w:val="0"/>
        <w:spacing w:line="360" w:lineRule="auto"/>
        <w:rPr>
          <w:rtl/>
        </w:rPr>
      </w:pPr>
      <w:r>
        <w:rPr>
          <w:rFonts w:hint="cs"/>
          <w:rtl/>
        </w:rPr>
        <w:t>סיכומו של דבר, לאור מהות העבירה בה הורשע הנאשם, הודאתו, עברו, הסדר הטיעון אותו אני מאשר והאמור בחוות דעתו של הממונה על עבודות השירות, מוטל על הנאשם עונש כדלקמן:</w:t>
      </w:r>
    </w:p>
    <w:p w14:paraId="519B5879" w14:textId="77777777" w:rsidR="00CE3285" w:rsidRDefault="00CE3285">
      <w:pPr>
        <w:overflowPunct w:val="0"/>
        <w:autoSpaceDE w:val="0"/>
        <w:autoSpaceDN w:val="0"/>
        <w:adjustRightInd w:val="0"/>
        <w:spacing w:line="360" w:lineRule="auto"/>
        <w:rPr>
          <w:rtl/>
        </w:rPr>
      </w:pPr>
    </w:p>
    <w:p w14:paraId="4F9DEDBA" w14:textId="77777777" w:rsidR="00CE3285" w:rsidRDefault="009F4A97">
      <w:pPr>
        <w:overflowPunct w:val="0"/>
        <w:autoSpaceDE w:val="0"/>
        <w:autoSpaceDN w:val="0"/>
        <w:adjustRightInd w:val="0"/>
        <w:spacing w:line="360" w:lineRule="auto"/>
        <w:ind w:left="720" w:hanging="720"/>
        <w:rPr>
          <w:szCs w:val="28"/>
          <w:rtl/>
        </w:rPr>
      </w:pPr>
      <w:r>
        <w:rPr>
          <w:rtl/>
        </w:rPr>
        <w:lastRenderedPageBreak/>
        <w:t>*</w:t>
      </w:r>
      <w:r>
        <w:rPr>
          <w:rtl/>
        </w:rPr>
        <w:tab/>
      </w:r>
      <w:r>
        <w:rPr>
          <w:rFonts w:hint="eastAsia"/>
          <w:rtl/>
        </w:rPr>
        <w:t>קנס</w:t>
      </w:r>
      <w:r>
        <w:rPr>
          <w:rtl/>
        </w:rPr>
        <w:t xml:space="preserve"> </w:t>
      </w:r>
      <w:r>
        <w:rPr>
          <w:rFonts w:hint="eastAsia"/>
          <w:rtl/>
        </w:rPr>
        <w:t>בסך</w:t>
      </w:r>
      <w:r>
        <w:rPr>
          <w:rtl/>
        </w:rPr>
        <w:t xml:space="preserve">    </w:t>
      </w:r>
      <w:r>
        <w:rPr>
          <w:rFonts w:hint="cs"/>
          <w:rtl/>
        </w:rPr>
        <w:t>1,500</w:t>
      </w:r>
      <w:r>
        <w:rPr>
          <w:rtl/>
        </w:rPr>
        <w:t xml:space="preserve">  </w:t>
      </w:r>
      <w:r>
        <w:rPr>
          <w:rFonts w:hint="eastAsia"/>
          <w:rtl/>
        </w:rPr>
        <w:t>ש</w:t>
      </w:r>
      <w:r>
        <w:rPr>
          <w:rtl/>
        </w:rPr>
        <w:t>"</w:t>
      </w:r>
      <w:r>
        <w:rPr>
          <w:rFonts w:hint="eastAsia"/>
          <w:rtl/>
        </w:rPr>
        <w:t>ח</w:t>
      </w:r>
      <w:r>
        <w:rPr>
          <w:rtl/>
        </w:rPr>
        <w:t xml:space="preserve">, או   </w:t>
      </w:r>
      <w:r>
        <w:rPr>
          <w:rFonts w:hint="cs"/>
          <w:rtl/>
        </w:rPr>
        <w:t>6</w:t>
      </w:r>
      <w:r>
        <w:rPr>
          <w:rtl/>
        </w:rPr>
        <w:t xml:space="preserve">  </w:t>
      </w:r>
      <w:r>
        <w:rPr>
          <w:rFonts w:hint="eastAsia"/>
          <w:rtl/>
        </w:rPr>
        <w:t>ימי</w:t>
      </w:r>
      <w:r>
        <w:rPr>
          <w:rtl/>
        </w:rPr>
        <w:t xml:space="preserve"> מאסר תמורתו. </w:t>
      </w:r>
      <w:r>
        <w:rPr>
          <w:rtl/>
        </w:rPr>
        <w:br/>
      </w:r>
      <w:r>
        <w:rPr>
          <w:rFonts w:hint="eastAsia"/>
          <w:rtl/>
        </w:rPr>
        <w:t>הקנס</w:t>
      </w:r>
      <w:r>
        <w:rPr>
          <w:rtl/>
        </w:rPr>
        <w:t xml:space="preserve"> </w:t>
      </w:r>
      <w:r>
        <w:rPr>
          <w:rFonts w:hint="cs"/>
          <w:rtl/>
        </w:rPr>
        <w:t xml:space="preserve">ב-5 תשלומים של 300 ₪ כל אחד, בכל 15 לחודש, החל מיום 15.6.13. אי עמידה במועד של תשלום אחד, יעמיד את כל היתרה לתשלום מיידי. </w:t>
      </w:r>
      <w:r>
        <w:rPr>
          <w:rtl/>
        </w:rPr>
        <w:t xml:space="preserve"> </w:t>
      </w:r>
    </w:p>
    <w:p w14:paraId="78B5D541" w14:textId="77777777" w:rsidR="00CE3285" w:rsidRDefault="00CE3285">
      <w:pPr>
        <w:overflowPunct w:val="0"/>
        <w:autoSpaceDE w:val="0"/>
        <w:autoSpaceDN w:val="0"/>
        <w:adjustRightInd w:val="0"/>
        <w:spacing w:line="360" w:lineRule="auto"/>
        <w:rPr>
          <w:rtl/>
        </w:rPr>
      </w:pPr>
    </w:p>
    <w:p w14:paraId="72C312E6" w14:textId="77777777" w:rsidR="00CE3285" w:rsidRDefault="009F4A97">
      <w:pPr>
        <w:overflowPunct w:val="0"/>
        <w:autoSpaceDE w:val="0"/>
        <w:autoSpaceDN w:val="0"/>
        <w:adjustRightInd w:val="0"/>
        <w:spacing w:line="360" w:lineRule="auto"/>
        <w:ind w:left="720" w:hanging="720"/>
        <w:rPr>
          <w:rtl/>
        </w:rPr>
      </w:pPr>
      <w:r>
        <w:rPr>
          <w:rtl/>
        </w:rPr>
        <w:t>*</w:t>
      </w:r>
      <w:r>
        <w:rPr>
          <w:rtl/>
        </w:rPr>
        <w:tab/>
      </w:r>
      <w:r>
        <w:rPr>
          <w:rFonts w:hint="eastAsia"/>
          <w:rtl/>
        </w:rPr>
        <w:t>מאסר</w:t>
      </w:r>
      <w:r>
        <w:rPr>
          <w:rtl/>
        </w:rPr>
        <w:t xml:space="preserve"> </w:t>
      </w:r>
      <w:r>
        <w:rPr>
          <w:rFonts w:hint="eastAsia"/>
          <w:rtl/>
        </w:rPr>
        <w:t>לתקופה</w:t>
      </w:r>
      <w:r>
        <w:rPr>
          <w:rtl/>
        </w:rPr>
        <w:t xml:space="preserve"> של</w:t>
      </w:r>
      <w:r>
        <w:rPr>
          <w:rFonts w:hint="cs"/>
          <w:rtl/>
        </w:rPr>
        <w:t xml:space="preserve"> 1 חודש. אני מורה כי הנאשם ירצה את המאסר בעבודת שירות שתבוצע במועצה הדתית בעכו, החל מיום 16.6.13, בתקווה שמועד זה מקובל גם על הממונה, שכאמור המליץ על ה-14.4.13, שכבר חלף. </w:t>
      </w:r>
    </w:p>
    <w:p w14:paraId="40B8FE29" w14:textId="77777777" w:rsidR="00CE3285" w:rsidRDefault="009F4A97">
      <w:pPr>
        <w:overflowPunct w:val="0"/>
        <w:autoSpaceDE w:val="0"/>
        <w:autoSpaceDN w:val="0"/>
        <w:adjustRightInd w:val="0"/>
        <w:spacing w:line="360" w:lineRule="auto"/>
        <w:ind w:left="720" w:hanging="720"/>
        <w:rPr>
          <w:rtl/>
        </w:rPr>
      </w:pPr>
      <w:r>
        <w:rPr>
          <w:rFonts w:hint="cs"/>
          <w:rtl/>
        </w:rPr>
        <w:tab/>
        <w:t xml:space="preserve">אני מורה לנאשם להתייצב ביום 16.6.13, שעה 08.00, במשרדי הממונה שבמתחם כלא חרמון, לצורך קליטה והצבה. </w:t>
      </w:r>
    </w:p>
    <w:p w14:paraId="13FB476F" w14:textId="77777777" w:rsidR="00CE3285" w:rsidRDefault="009F4A97">
      <w:pPr>
        <w:overflowPunct w:val="0"/>
        <w:autoSpaceDE w:val="0"/>
        <w:autoSpaceDN w:val="0"/>
        <w:adjustRightInd w:val="0"/>
        <w:spacing w:line="360" w:lineRule="auto"/>
        <w:ind w:left="720" w:hanging="720"/>
        <w:rPr>
          <w:rtl/>
        </w:rPr>
      </w:pPr>
      <w:r>
        <w:rPr>
          <w:rFonts w:hint="cs"/>
          <w:rtl/>
        </w:rPr>
        <w:tab/>
        <w:t xml:space="preserve">הנאשם מוזהר כי במהלך ריצוי עבודת השירות, יהיה נתון למעקב של בדיקות שתן. סירוב לבצע בדיקת שתן ו/או ממצאים חיוביים של בדיקת שתן שתבוצע, יהוו עילה להפסקה מנהלית של עבודת השירות. גם חריגה מהכללים, תהווה עילה להפסקה מנהלית של עבודות השירות. במקרה כזה יהיה על הנאשם לרצות את יתרת עונש המאסר מאחורי סורג ובריח. </w:t>
      </w:r>
    </w:p>
    <w:p w14:paraId="29F02D51" w14:textId="77777777" w:rsidR="00CE3285" w:rsidRDefault="00CE3285">
      <w:pPr>
        <w:overflowPunct w:val="0"/>
        <w:autoSpaceDE w:val="0"/>
        <w:autoSpaceDN w:val="0"/>
        <w:adjustRightInd w:val="0"/>
        <w:spacing w:line="360" w:lineRule="auto"/>
        <w:ind w:left="720" w:hanging="720"/>
        <w:rPr>
          <w:rtl/>
        </w:rPr>
      </w:pPr>
    </w:p>
    <w:p w14:paraId="7E07348B" w14:textId="77777777" w:rsidR="00CE3285" w:rsidRDefault="009F4A97">
      <w:pPr>
        <w:overflowPunct w:val="0"/>
        <w:autoSpaceDE w:val="0"/>
        <w:autoSpaceDN w:val="0"/>
        <w:adjustRightInd w:val="0"/>
        <w:spacing w:line="360" w:lineRule="auto"/>
        <w:ind w:left="720" w:hanging="720"/>
        <w:rPr>
          <w:rtl/>
        </w:rPr>
      </w:pPr>
      <w:r>
        <w:rPr>
          <w:rtl/>
        </w:rPr>
        <w:t>*</w:t>
      </w:r>
      <w:r>
        <w:rPr>
          <w:rtl/>
        </w:rPr>
        <w:tab/>
      </w:r>
      <w:r>
        <w:rPr>
          <w:rFonts w:hint="eastAsia"/>
          <w:rtl/>
        </w:rPr>
        <w:t>מאסר</w:t>
      </w:r>
      <w:r>
        <w:rPr>
          <w:rtl/>
        </w:rPr>
        <w:t xml:space="preserve"> </w:t>
      </w:r>
      <w:r>
        <w:rPr>
          <w:rFonts w:hint="eastAsia"/>
          <w:rtl/>
        </w:rPr>
        <w:t>על</w:t>
      </w:r>
      <w:r>
        <w:rPr>
          <w:rtl/>
        </w:rPr>
        <w:t xml:space="preserve"> תנאי לתקופה של  </w:t>
      </w:r>
      <w:r>
        <w:rPr>
          <w:rFonts w:hint="cs"/>
          <w:rtl/>
        </w:rPr>
        <w:t>8</w:t>
      </w:r>
      <w:r>
        <w:rPr>
          <w:rtl/>
        </w:rPr>
        <w:t xml:space="preserve"> </w:t>
      </w:r>
      <w:r>
        <w:rPr>
          <w:rFonts w:hint="eastAsia"/>
          <w:rtl/>
        </w:rPr>
        <w:t>חודשים</w:t>
      </w:r>
      <w:r>
        <w:rPr>
          <w:rtl/>
        </w:rPr>
        <w:t xml:space="preserve"> למשך 3 שנים </w:t>
      </w:r>
      <w:r>
        <w:rPr>
          <w:rFonts w:hint="eastAsia"/>
          <w:rtl/>
        </w:rPr>
        <w:t>מהיום</w:t>
      </w:r>
      <w:r>
        <w:rPr>
          <w:rtl/>
        </w:rPr>
        <w:t xml:space="preserve">, והתנאי הוא כי הנאשם לא יעבור בתקופה זו </w:t>
      </w:r>
      <w:r>
        <w:rPr>
          <w:rFonts w:hint="cs"/>
          <w:rtl/>
        </w:rPr>
        <w:t xml:space="preserve">כל </w:t>
      </w:r>
      <w:r>
        <w:rPr>
          <w:rtl/>
        </w:rPr>
        <w:t xml:space="preserve">עבירה </w:t>
      </w:r>
      <w:r>
        <w:rPr>
          <w:rFonts w:hint="cs"/>
          <w:rtl/>
        </w:rPr>
        <w:t xml:space="preserve">מסוג פשע לפי פקודת הסמים, </w:t>
      </w:r>
      <w:r>
        <w:rPr>
          <w:rtl/>
        </w:rPr>
        <w:t xml:space="preserve">ויורשע עליה. </w:t>
      </w:r>
    </w:p>
    <w:p w14:paraId="7577BA92" w14:textId="77777777" w:rsidR="00CE3285" w:rsidRDefault="00CE3285">
      <w:pPr>
        <w:overflowPunct w:val="0"/>
        <w:autoSpaceDE w:val="0"/>
        <w:autoSpaceDN w:val="0"/>
        <w:adjustRightInd w:val="0"/>
        <w:spacing w:line="360" w:lineRule="auto"/>
        <w:rPr>
          <w:rtl/>
        </w:rPr>
      </w:pPr>
    </w:p>
    <w:p w14:paraId="0D3D5978" w14:textId="77777777" w:rsidR="00CE3285" w:rsidRDefault="009F4A97">
      <w:pPr>
        <w:overflowPunct w:val="0"/>
        <w:autoSpaceDE w:val="0"/>
        <w:autoSpaceDN w:val="0"/>
        <w:adjustRightInd w:val="0"/>
        <w:spacing w:line="360" w:lineRule="auto"/>
        <w:rPr>
          <w:rtl/>
        </w:rPr>
      </w:pPr>
      <w:r>
        <w:rPr>
          <w:rFonts w:hint="cs"/>
          <w:rtl/>
        </w:rPr>
        <w:t>*</w:t>
      </w:r>
      <w:r>
        <w:rPr>
          <w:rFonts w:hint="cs"/>
          <w:rtl/>
        </w:rPr>
        <w:tab/>
        <w:t>אני מורה על השמדת המוצג.</w:t>
      </w:r>
    </w:p>
    <w:p w14:paraId="059E0FC3" w14:textId="77777777" w:rsidR="00CE3285" w:rsidRDefault="009F4A97">
      <w:pPr>
        <w:overflowPunct w:val="0"/>
        <w:autoSpaceDE w:val="0"/>
        <w:autoSpaceDN w:val="0"/>
        <w:adjustRightInd w:val="0"/>
        <w:spacing w:line="360" w:lineRule="auto"/>
        <w:rPr>
          <w:rtl/>
        </w:rPr>
      </w:pPr>
      <w:r>
        <w:rPr>
          <w:rFonts w:hint="cs"/>
          <w:rtl/>
        </w:rPr>
        <w:tab/>
      </w:r>
    </w:p>
    <w:p w14:paraId="1BCF640A" w14:textId="77777777" w:rsidR="00CE3285" w:rsidRDefault="009F4A97">
      <w:pPr>
        <w:overflowPunct w:val="0"/>
        <w:autoSpaceDE w:val="0"/>
        <w:autoSpaceDN w:val="0"/>
        <w:adjustRightInd w:val="0"/>
        <w:spacing w:line="360" w:lineRule="auto"/>
        <w:ind w:left="720" w:hanging="720"/>
        <w:rPr>
          <w:rtl/>
        </w:rPr>
      </w:pPr>
      <w:r>
        <w:rPr>
          <w:rFonts w:hint="cs"/>
          <w:rtl/>
        </w:rPr>
        <w:t>*</w:t>
      </w:r>
      <w:r>
        <w:rPr>
          <w:rFonts w:hint="cs"/>
          <w:rtl/>
        </w:rPr>
        <w:tab/>
        <w:t xml:space="preserve">הודע </w:t>
      </w:r>
      <w:r>
        <w:rPr>
          <w:rtl/>
        </w:rPr>
        <w:t xml:space="preserve">לצדדים </w:t>
      </w:r>
      <w:r>
        <w:rPr>
          <w:rFonts w:hint="cs"/>
          <w:rtl/>
        </w:rPr>
        <w:t xml:space="preserve">כי יש להם </w:t>
      </w:r>
      <w:r>
        <w:rPr>
          <w:rtl/>
        </w:rPr>
        <w:t xml:space="preserve">זכות ערעור תוך 45 יום מהיום. </w:t>
      </w:r>
    </w:p>
    <w:p w14:paraId="7E3D8FF2" w14:textId="77777777" w:rsidR="00CE3285" w:rsidRDefault="009F4A97">
      <w:pPr>
        <w:overflowPunct w:val="0"/>
        <w:autoSpaceDE w:val="0"/>
        <w:autoSpaceDN w:val="0"/>
        <w:adjustRightInd w:val="0"/>
        <w:spacing w:line="360" w:lineRule="auto"/>
        <w:ind w:left="720" w:hanging="720"/>
        <w:rPr>
          <w:sz w:val="6"/>
          <w:szCs w:val="6"/>
          <w:rtl/>
        </w:rPr>
      </w:pPr>
      <w:r>
        <w:rPr>
          <w:sz w:val="6"/>
          <w:szCs w:val="6"/>
          <w:rtl/>
        </w:rPr>
        <w:t>&lt;#3#&gt;</w:t>
      </w:r>
    </w:p>
    <w:p w14:paraId="1AC83F96" w14:textId="77777777" w:rsidR="00CE3285" w:rsidRDefault="00CE3285">
      <w:pPr>
        <w:jc w:val="right"/>
        <w:rPr>
          <w:rtl/>
        </w:rPr>
      </w:pPr>
    </w:p>
    <w:p w14:paraId="0F3C1CF6" w14:textId="77777777" w:rsidR="00CE3285" w:rsidRDefault="00CE3285">
      <w:pPr>
        <w:spacing w:line="360" w:lineRule="auto"/>
        <w:rPr>
          <w:b/>
          <w:bCs/>
          <w:rtl/>
        </w:rPr>
      </w:pPr>
    </w:p>
    <w:p w14:paraId="102FB714" w14:textId="77777777" w:rsidR="00CE3285" w:rsidRDefault="00CE3285">
      <w:pPr>
        <w:spacing w:line="360" w:lineRule="auto"/>
        <w:rPr>
          <w:b/>
          <w:bCs/>
          <w:rtl/>
        </w:rPr>
      </w:pPr>
    </w:p>
    <w:p w14:paraId="118F261A" w14:textId="77777777" w:rsidR="00CE3285" w:rsidRDefault="00CE3285">
      <w:pPr>
        <w:spacing w:line="360" w:lineRule="auto"/>
        <w:rPr>
          <w:b/>
          <w:bCs/>
          <w:rtl/>
        </w:rPr>
      </w:pPr>
    </w:p>
    <w:p w14:paraId="3BB570E3" w14:textId="77777777" w:rsidR="00CE3285" w:rsidRDefault="00CE3285">
      <w:pPr>
        <w:spacing w:line="360" w:lineRule="auto"/>
        <w:rPr>
          <w:b/>
          <w:bCs/>
          <w:rtl/>
        </w:rPr>
      </w:pPr>
    </w:p>
    <w:p w14:paraId="3AB88C35" w14:textId="77777777" w:rsidR="00CE3285" w:rsidRDefault="00CE3285">
      <w:pPr>
        <w:spacing w:line="360" w:lineRule="auto"/>
        <w:rPr>
          <w:b/>
          <w:bCs/>
          <w:rtl/>
        </w:rPr>
      </w:pPr>
    </w:p>
    <w:p w14:paraId="54E79BA1" w14:textId="77777777" w:rsidR="00CE3285" w:rsidRDefault="009F4A97">
      <w:pPr>
        <w:jc w:val="right"/>
        <w:rPr>
          <w:rtl/>
        </w:rPr>
      </w:pPr>
      <w:r>
        <w:rPr>
          <w:b/>
          <w:bCs/>
          <w:rtl/>
        </w:rPr>
        <w:t xml:space="preserve">ניתן והודע היום י' סיון תשע"ג, 19/05/2013 במעמד הנוכחים. </w:t>
      </w:r>
    </w:p>
    <w:p w14:paraId="544A492D" w14:textId="77777777" w:rsidR="009F4A97" w:rsidRPr="009F4A97" w:rsidRDefault="009F4A97" w:rsidP="009F4A97">
      <w:pPr>
        <w:keepNext/>
        <w:rPr>
          <w:color w:val="000000"/>
          <w:sz w:val="22"/>
          <w:szCs w:val="22"/>
          <w:rtl/>
        </w:rPr>
      </w:pPr>
    </w:p>
    <w:p w14:paraId="40E62D72" w14:textId="77777777" w:rsidR="009F4A97" w:rsidRPr="009F4A97" w:rsidRDefault="009F4A97" w:rsidP="009F4A97">
      <w:pPr>
        <w:keepNext/>
        <w:rPr>
          <w:color w:val="000000"/>
          <w:sz w:val="22"/>
          <w:szCs w:val="22"/>
          <w:rtl/>
        </w:rPr>
      </w:pPr>
      <w:r w:rsidRPr="009F4A97">
        <w:rPr>
          <w:color w:val="000000"/>
          <w:sz w:val="22"/>
          <w:szCs w:val="22"/>
          <w:rtl/>
        </w:rPr>
        <w:t>משה אלטר 54678313</w:t>
      </w:r>
    </w:p>
    <w:p w14:paraId="596A500B" w14:textId="77777777" w:rsidR="00CE3285" w:rsidRDefault="00CE3285">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E3285" w14:paraId="0E4701F6" w14:textId="77777777">
        <w:trPr>
          <w:trHeight w:val="364"/>
          <w:jc w:val="right"/>
        </w:trPr>
        <w:tc>
          <w:tcPr>
            <w:tcW w:w="3708" w:type="dxa"/>
          </w:tcPr>
          <w:p w14:paraId="5E8DA9D5" w14:textId="77777777" w:rsidR="00CE3285" w:rsidRDefault="00CE3285">
            <w:pPr>
              <w:jc w:val="center"/>
              <w:rPr>
                <w:rFonts w:ascii="Times New Roman" w:eastAsia="Times New Roman" w:hAnsi="Times New Roman" w:cs="Times New Roman"/>
              </w:rPr>
            </w:pPr>
          </w:p>
          <w:p w14:paraId="7BB94989" w14:textId="77777777" w:rsidR="00CE3285" w:rsidRDefault="00CE3285">
            <w:pPr>
              <w:jc w:val="center"/>
              <w:rPr>
                <w:rFonts w:ascii="Times New Roman" w:eastAsia="Times New Roman" w:hAnsi="Times New Roman" w:cs="Times New Roman"/>
                <w:rtl/>
              </w:rPr>
            </w:pPr>
          </w:p>
        </w:tc>
      </w:tr>
      <w:tr w:rsidR="00CE3285" w14:paraId="3889C373" w14:textId="77777777">
        <w:trPr>
          <w:trHeight w:val="415"/>
          <w:jc w:val="right"/>
        </w:trPr>
        <w:tc>
          <w:tcPr>
            <w:tcW w:w="3708" w:type="dxa"/>
          </w:tcPr>
          <w:p w14:paraId="5522F124" w14:textId="77777777" w:rsidR="00CE3285" w:rsidRDefault="009F4A97">
            <w:pPr>
              <w:jc w:val="center"/>
              <w:rPr>
                <w:rFonts w:ascii="Times New Roman" w:eastAsia="Times New Roman" w:hAnsi="Times New Roman"/>
                <w:b/>
                <w:bCs/>
                <w:rtl/>
              </w:rPr>
            </w:pPr>
            <w:r>
              <w:rPr>
                <w:rFonts w:ascii="Times New Roman" w:eastAsia="Times New Roman" w:hAnsi="Times New Roman" w:hint="cs"/>
                <w:rtl/>
              </w:rPr>
              <w:t>משה</w:t>
            </w:r>
            <w:r>
              <w:rPr>
                <w:rFonts w:ascii="Times New Roman" w:eastAsia="Times New Roman" w:hAnsi="Times New Roman" w:hint="cs"/>
                <w:b/>
                <w:bCs/>
                <w:rtl/>
              </w:rPr>
              <w:t xml:space="preserve"> </w:t>
            </w:r>
            <w:r>
              <w:rPr>
                <w:rFonts w:ascii="Times New Roman" w:eastAsia="Times New Roman" w:hAnsi="Times New Roman" w:hint="cs"/>
                <w:rtl/>
              </w:rPr>
              <w:t>אלטר</w:t>
            </w:r>
            <w:r>
              <w:rPr>
                <w:rFonts w:ascii="Times New Roman" w:eastAsia="Times New Roman" w:hAnsi="Times New Roman" w:hint="cs"/>
                <w:b/>
                <w:bCs/>
                <w:rtl/>
              </w:rPr>
              <w:t xml:space="preserve">, </w:t>
            </w:r>
            <w:r>
              <w:rPr>
                <w:rFonts w:ascii="Times New Roman" w:eastAsia="Times New Roman" w:hAnsi="Times New Roman" w:hint="cs"/>
                <w:rtl/>
              </w:rPr>
              <w:t>סגן נשיא</w:t>
            </w:r>
          </w:p>
        </w:tc>
      </w:tr>
    </w:tbl>
    <w:p w14:paraId="181BF6A9" w14:textId="77777777" w:rsidR="00CE3285" w:rsidRDefault="00CE3285">
      <w:pPr>
        <w:jc w:val="right"/>
        <w:rPr>
          <w:rtl/>
        </w:rPr>
      </w:pPr>
    </w:p>
    <w:p w14:paraId="03D269BF" w14:textId="77777777" w:rsidR="00CE3285" w:rsidRDefault="00CE3285">
      <w:pPr>
        <w:overflowPunct w:val="0"/>
        <w:autoSpaceDE w:val="0"/>
        <w:autoSpaceDN w:val="0"/>
        <w:adjustRightInd w:val="0"/>
        <w:spacing w:line="360" w:lineRule="auto"/>
        <w:ind w:left="720" w:hanging="720"/>
        <w:jc w:val="both"/>
        <w:rPr>
          <w:rtl/>
        </w:rPr>
      </w:pPr>
    </w:p>
    <w:p w14:paraId="3A2F6847" w14:textId="77777777" w:rsidR="00CE3285" w:rsidRDefault="00CE3285">
      <w:pPr>
        <w:overflowPunct w:val="0"/>
        <w:autoSpaceDE w:val="0"/>
        <w:autoSpaceDN w:val="0"/>
        <w:adjustRightInd w:val="0"/>
        <w:rPr>
          <w:b/>
          <w:bCs/>
          <w:rtl/>
        </w:rPr>
      </w:pPr>
    </w:p>
    <w:p w14:paraId="47C045DB" w14:textId="77777777" w:rsidR="00CE3285" w:rsidRDefault="009F4A97">
      <w:pPr>
        <w:overflowPunct w:val="0"/>
        <w:autoSpaceDE w:val="0"/>
        <w:autoSpaceDN w:val="0"/>
        <w:adjustRightInd w:val="0"/>
        <w:rPr>
          <w:b/>
          <w:bCs/>
          <w:rtl/>
        </w:rPr>
      </w:pPr>
      <w:r w:rsidRPr="009F4A97">
        <w:rPr>
          <w:b/>
          <w:bCs/>
          <w:color w:val="FFFFFF"/>
          <w:sz w:val="2"/>
          <w:szCs w:val="2"/>
          <w:rtl/>
        </w:rPr>
        <w:t>5129371</w:t>
      </w:r>
      <w:r>
        <w:rPr>
          <w:rFonts w:hint="cs"/>
          <w:b/>
          <w:bCs/>
          <w:rtl/>
        </w:rPr>
        <w:t xml:space="preserve">הערה: </w:t>
      </w:r>
    </w:p>
    <w:p w14:paraId="3644C923" w14:textId="77777777" w:rsidR="00CE3285" w:rsidRDefault="009F4A97">
      <w:pPr>
        <w:overflowPunct w:val="0"/>
        <w:autoSpaceDE w:val="0"/>
        <w:autoSpaceDN w:val="0"/>
        <w:adjustRightInd w:val="0"/>
        <w:rPr>
          <w:b/>
          <w:bCs/>
          <w:rtl/>
        </w:rPr>
      </w:pPr>
      <w:r w:rsidRPr="009F4A97">
        <w:rPr>
          <w:b/>
          <w:bCs/>
          <w:color w:val="FFFFFF"/>
          <w:sz w:val="2"/>
          <w:szCs w:val="2"/>
          <w:rtl/>
        </w:rPr>
        <w:t>54678313</w:t>
      </w:r>
      <w:r>
        <w:rPr>
          <w:rFonts w:hint="cs"/>
          <w:b/>
          <w:bCs/>
          <w:rtl/>
        </w:rPr>
        <w:t xml:space="preserve">הוסבר לנאשם כי מייד לאחר סיום הדיון, עליו לגשת למזכירות הפלילית כדי לקבל שוברים לתשלום הקנס. </w:t>
      </w:r>
    </w:p>
    <w:p w14:paraId="07E510BF" w14:textId="77777777" w:rsidR="00CE3285" w:rsidRDefault="00CE3285">
      <w:pPr>
        <w:spacing w:line="360" w:lineRule="auto"/>
        <w:jc w:val="both"/>
        <w:rPr>
          <w:rtl/>
        </w:rPr>
      </w:pPr>
    </w:p>
    <w:p w14:paraId="79C0185F" w14:textId="77777777" w:rsidR="00CE3285" w:rsidRDefault="009F4A97">
      <w:pPr>
        <w:spacing w:line="360" w:lineRule="auto"/>
        <w:jc w:val="both"/>
        <w:rPr>
          <w:b/>
          <w:bCs/>
          <w:rtl/>
        </w:rPr>
      </w:pPr>
      <w:r>
        <w:rPr>
          <w:rFonts w:hint="cs"/>
          <w:b/>
          <w:bCs/>
          <w:rtl/>
        </w:rPr>
        <w:t xml:space="preserve">למזכירות: </w:t>
      </w:r>
    </w:p>
    <w:p w14:paraId="5973DC10" w14:textId="77777777" w:rsidR="00CE3285" w:rsidRDefault="009F4A97">
      <w:pPr>
        <w:spacing w:line="360" w:lineRule="auto"/>
        <w:jc w:val="both"/>
        <w:rPr>
          <w:b/>
          <w:bCs/>
        </w:rPr>
      </w:pPr>
      <w:bookmarkStart w:id="6" w:name="_GoBack"/>
      <w:bookmarkEnd w:id="6"/>
      <w:r>
        <w:rPr>
          <w:rFonts w:hint="cs"/>
          <w:b/>
          <w:bCs/>
          <w:rtl/>
        </w:rPr>
        <w:lastRenderedPageBreak/>
        <w:t xml:space="preserve">נא לשלוח את העתק גזר הדין לממונה על עבודות השירות. </w:t>
      </w:r>
    </w:p>
    <w:p w14:paraId="4CCE2CDA" w14:textId="77777777" w:rsidR="009F4A97" w:rsidRDefault="009F4A97" w:rsidP="009F4A97">
      <w:r w:rsidRPr="009F4A97">
        <w:rPr>
          <w:color w:val="000000"/>
          <w:rtl/>
        </w:rPr>
        <w:t>נוסח מסמך זה כפוף לשינויי ניסוח ועריכה</w:t>
      </w:r>
    </w:p>
    <w:p w14:paraId="1C9B7546" w14:textId="77777777" w:rsidR="009F4A97" w:rsidRDefault="009F4A97" w:rsidP="009F4A97">
      <w:pPr>
        <w:rPr>
          <w:rtl/>
        </w:rPr>
      </w:pPr>
    </w:p>
    <w:p w14:paraId="12EEBC40" w14:textId="77777777" w:rsidR="009F4A97" w:rsidRDefault="009F4A97" w:rsidP="009F4A97">
      <w:pPr>
        <w:jc w:val="center"/>
        <w:rPr>
          <w:color w:val="0000FF"/>
          <w:u w:val="single"/>
        </w:rPr>
      </w:pPr>
      <w:hyperlink r:id="rId7" w:history="1">
        <w:r>
          <w:rPr>
            <w:color w:val="0000FF"/>
            <w:u w:val="single"/>
            <w:rtl/>
          </w:rPr>
          <w:t>בעניין עריכה ושינויים במסמכי פסיקה, חקיקה ועוד באתר נבו – הקש כאן</w:t>
        </w:r>
      </w:hyperlink>
    </w:p>
    <w:p w14:paraId="6BB8911B" w14:textId="77777777" w:rsidR="00CE3285" w:rsidRPr="009F4A97" w:rsidRDefault="00CE3285" w:rsidP="009F4A97">
      <w:pPr>
        <w:jc w:val="center"/>
        <w:rPr>
          <w:color w:val="0000FF"/>
          <w:u w:val="single"/>
        </w:rPr>
      </w:pPr>
    </w:p>
    <w:sectPr w:rsidR="00CE3285" w:rsidRPr="009F4A97" w:rsidSect="009F4A97">
      <w:headerReference w:type="even" r:id="rId8"/>
      <w:headerReference w:type="default" r:id="rId9"/>
      <w:footerReference w:type="even" r:id="rId10"/>
      <w:footerReference w:type="default" r:id="rId1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C4021" w14:textId="77777777" w:rsidR="006F437E" w:rsidRPr="004A692E" w:rsidRDefault="006F437E">
      <w:pPr>
        <w:rPr>
          <w:rFonts w:cs="Arial"/>
          <w:szCs w:val="20"/>
        </w:rPr>
      </w:pPr>
      <w:r>
        <w:separator/>
      </w:r>
    </w:p>
  </w:endnote>
  <w:endnote w:type="continuationSeparator" w:id="0">
    <w:p w14:paraId="1AA46F3D" w14:textId="77777777" w:rsidR="006F437E" w:rsidRPr="004A692E" w:rsidRDefault="006F437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FB04" w14:textId="77777777" w:rsidR="009F4A97" w:rsidRDefault="009F4A97" w:rsidP="009F4A9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216AA0CC" w14:textId="77777777" w:rsidR="00CE3285" w:rsidRPr="009F4A97" w:rsidRDefault="009F4A97" w:rsidP="009F4A97">
    <w:pPr>
      <w:pStyle w:val="a4"/>
      <w:pBdr>
        <w:top w:val="single" w:sz="4" w:space="1" w:color="auto"/>
        <w:between w:val="single" w:sz="4" w:space="0" w:color="auto"/>
      </w:pBdr>
      <w:spacing w:after="60"/>
      <w:jc w:val="center"/>
      <w:rPr>
        <w:rFonts w:ascii="FrankRuehl" w:hAnsi="FrankRuehl" w:cs="FrankRuehl"/>
        <w:color w:val="000000"/>
      </w:rPr>
    </w:pPr>
    <w:r w:rsidRPr="009F4A9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412F3" w14:textId="77777777" w:rsidR="009F4A97" w:rsidRDefault="009F4A97" w:rsidP="009F4A9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56E00">
      <w:rPr>
        <w:rFonts w:ascii="FrankRuehl" w:hAnsi="FrankRuehl" w:cs="FrankRuehl"/>
        <w:noProof/>
        <w:rtl/>
      </w:rPr>
      <w:t>1</w:t>
    </w:r>
    <w:r>
      <w:rPr>
        <w:rFonts w:ascii="FrankRuehl" w:hAnsi="FrankRuehl" w:cs="FrankRuehl"/>
        <w:rtl/>
      </w:rPr>
      <w:fldChar w:fldCharType="end"/>
    </w:r>
  </w:p>
  <w:p w14:paraId="51E7BB02" w14:textId="77777777" w:rsidR="00CE3285" w:rsidRPr="009F4A97" w:rsidRDefault="009F4A97" w:rsidP="009F4A97">
    <w:pPr>
      <w:pStyle w:val="a4"/>
      <w:pBdr>
        <w:top w:val="single" w:sz="4" w:space="1" w:color="auto"/>
        <w:between w:val="single" w:sz="4" w:space="0" w:color="auto"/>
      </w:pBdr>
      <w:spacing w:after="60"/>
      <w:jc w:val="center"/>
      <w:rPr>
        <w:rFonts w:ascii="FrankRuehl" w:hAnsi="FrankRuehl" w:cs="FrankRuehl"/>
        <w:color w:val="000000"/>
      </w:rPr>
    </w:pPr>
    <w:r w:rsidRPr="009F4A97">
      <w:rPr>
        <w:rFonts w:ascii="FrankRuehl" w:hAnsi="FrankRuehl" w:cs="FrankRuehl"/>
        <w:color w:val="000000"/>
      </w:rPr>
      <w:pict w14:anchorId="0A71C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F312F" w14:textId="77777777" w:rsidR="006F437E" w:rsidRPr="004A692E" w:rsidRDefault="006F437E">
      <w:pPr>
        <w:rPr>
          <w:rFonts w:cs="Arial"/>
          <w:szCs w:val="20"/>
        </w:rPr>
      </w:pPr>
      <w:r>
        <w:separator/>
      </w:r>
    </w:p>
  </w:footnote>
  <w:footnote w:type="continuationSeparator" w:id="0">
    <w:p w14:paraId="781383EA" w14:textId="77777777" w:rsidR="006F437E" w:rsidRPr="004A692E" w:rsidRDefault="006F437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8AC82" w14:textId="77777777" w:rsidR="009F4A97" w:rsidRPr="009F4A97" w:rsidRDefault="009F4A97" w:rsidP="009F4A9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1793-08-12</w:t>
    </w:r>
    <w:r>
      <w:rPr>
        <w:color w:val="000000"/>
        <w:sz w:val="22"/>
        <w:szCs w:val="22"/>
        <w:rtl/>
      </w:rPr>
      <w:tab/>
      <w:t xml:space="preserve"> מדינת ישראל נ' מוחמד סעדי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D4AE7" w14:textId="77777777" w:rsidR="009F4A97" w:rsidRPr="009F4A97" w:rsidRDefault="009F4A97" w:rsidP="009F4A9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1793-08-12</w:t>
    </w:r>
    <w:r>
      <w:rPr>
        <w:color w:val="000000"/>
        <w:sz w:val="22"/>
        <w:szCs w:val="22"/>
        <w:rtl/>
      </w:rPr>
      <w:tab/>
      <w:t xml:space="preserve"> מדינת ישראל נ' מוחמד סעדי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E3285"/>
    <w:rsid w:val="006F437E"/>
    <w:rsid w:val="00756E00"/>
    <w:rsid w:val="009F4A97"/>
    <w:rsid w:val="00A65A36"/>
    <w:rsid w:val="00BD48BE"/>
    <w:rsid w:val="00CE3285"/>
    <w:rsid w:val="00F071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DB29A4"/>
  <w15:chartTrackingRefBased/>
  <w15:docId w15:val="{2EF0C6EE-C07C-40C3-8EE9-37C21902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328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E3285"/>
    <w:pPr>
      <w:tabs>
        <w:tab w:val="center" w:pos="4153"/>
        <w:tab w:val="right" w:pos="8306"/>
      </w:tabs>
    </w:pPr>
  </w:style>
  <w:style w:type="paragraph" w:styleId="a4">
    <w:name w:val="footer"/>
    <w:basedOn w:val="a"/>
    <w:rsid w:val="00CE3285"/>
    <w:pPr>
      <w:tabs>
        <w:tab w:val="center" w:pos="4153"/>
        <w:tab w:val="right" w:pos="8306"/>
      </w:tabs>
    </w:pPr>
  </w:style>
  <w:style w:type="character" w:styleId="a5">
    <w:name w:val="page number"/>
    <w:basedOn w:val="a0"/>
    <w:rsid w:val="00CE3285"/>
  </w:style>
  <w:style w:type="paragraph" w:customStyle="1" w:styleId="12">
    <w:name w:val="רגיל + ‏12 נק'"/>
    <w:aliases w:val="מיושר לשני הצדדים,מרווח בין שורות:  שורה וחצי"/>
    <w:basedOn w:val="a"/>
    <w:rsid w:val="00CE3285"/>
    <w:rPr>
      <w:rFonts w:ascii="Times New Roman" w:eastAsia="Times New Roman" w:hAnsi="Times New Roman"/>
      <w:b/>
      <w:bCs/>
      <w:u w:val="single"/>
    </w:rPr>
  </w:style>
  <w:style w:type="character" w:styleId="a6">
    <w:name w:val="line number"/>
    <w:basedOn w:val="a0"/>
    <w:rsid w:val="00CE3285"/>
  </w:style>
  <w:style w:type="character" w:styleId="Hyperlink">
    <w:name w:val="Hyperlink"/>
    <w:basedOn w:val="a0"/>
    <w:rsid w:val="009F4A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P170_001.htm"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464</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2779</CharactersWithSpaces>
  <SharedDoc>false</SharedDoc>
  <HLinks>
    <vt:vector size="12" baseType="variant">
      <vt:variant>
        <vt:i4>393283</vt:i4>
      </vt:variant>
      <vt:variant>
        <vt:i4>3</vt:i4>
      </vt:variant>
      <vt:variant>
        <vt:i4>0</vt:i4>
      </vt:variant>
      <vt:variant>
        <vt:i4>5</vt:i4>
      </vt:variant>
      <vt:variant>
        <vt:lpwstr>http://www.nevo.co.il/advertisements/nevo-100.doc</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2025-04-22T21:47:00Z</dcterms:created>
  <dcterms:modified xsi:type="dcterms:W3CDTF">2025-04-22T21:47:00Z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1793</vt:lpwstr>
  </property>
  <property fmtid="{D5CDD505-2E9C-101B-9397-08002B2CF9AE}" pid="6" name="NEWPARTB">
    <vt:lpwstr>08</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מוחמד סעדי</vt:lpwstr>
  </property>
  <property fmtid="{D5CDD505-2E9C-101B-9397-08002B2CF9AE}" pid="10" name="LAWYER">
    <vt:lpwstr>גל ירדן</vt:lpwstr>
  </property>
  <property fmtid="{D5CDD505-2E9C-101B-9397-08002B2CF9AE}" pid="11" name="JUDGE">
    <vt:lpwstr>משה אלטר</vt:lpwstr>
  </property>
  <property fmtid="{D5CDD505-2E9C-101B-9397-08002B2CF9AE}" pid="12" name="CITY">
    <vt:lpwstr>עכו</vt:lpwstr>
  </property>
  <property fmtid="{D5CDD505-2E9C-101B-9397-08002B2CF9AE}" pid="13" name="DATE">
    <vt:lpwstr>20130519</vt:lpwstr>
  </property>
  <property fmtid="{D5CDD505-2E9C-101B-9397-08002B2CF9AE}" pid="14" name="TYPE_N_DATE">
    <vt:lpwstr>38020130519</vt:lpwstr>
  </property>
  <property fmtid="{D5CDD505-2E9C-101B-9397-08002B2CF9AE}" pid="15" name="WORDNUMPAGES">
    <vt:lpwstr>3</vt:lpwstr>
  </property>
  <property fmtid="{D5CDD505-2E9C-101B-9397-08002B2CF9AE}" pid="16" name="TYPE_ABS_DATE">
    <vt:lpwstr>380020130519</vt:lpwstr>
  </property>
  <property fmtid="{D5CDD505-2E9C-101B-9397-08002B2CF9AE}" pid="17" name="ISABSTRACT">
    <vt:lpwstr>Y</vt:lpwstr>
  </property>
</Properties>
</file>