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560C7" w:rsidRPr="00F870B4" w14:paraId="6ACFD371" w14:textId="77777777">
        <w:trPr>
          <w:trHeight w:hRule="exact" w:val="418"/>
          <w:jc w:val="center"/>
        </w:trPr>
        <w:tc>
          <w:tcPr>
            <w:tcW w:w="8721" w:type="dxa"/>
            <w:gridSpan w:val="2"/>
          </w:tcPr>
          <w:p w14:paraId="0FA29236" w14:textId="77777777" w:rsidR="00B560C7" w:rsidRPr="00F870B4" w:rsidRDefault="00F870B4">
            <w:pPr>
              <w:pStyle w:val="a3"/>
              <w:jc w:val="center"/>
              <w:rPr>
                <w:rFonts w:ascii="Tahoma" w:hAnsi="Tahoma" w:cs="Tahoma"/>
                <w:color w:val="000080"/>
                <w:rtl/>
              </w:rPr>
            </w:pPr>
            <w:r w:rsidRPr="00F870B4">
              <w:rPr>
                <w:rFonts w:ascii="Tahoma" w:hAnsi="Tahoma" w:cs="Tahoma"/>
                <w:b/>
                <w:bCs/>
                <w:color w:val="000080"/>
                <w:rtl/>
              </w:rPr>
              <w:t>בית משפט השלום ברחובות</w:t>
            </w:r>
          </w:p>
        </w:tc>
      </w:tr>
      <w:tr w:rsidR="00B560C7" w:rsidRPr="00F870B4" w14:paraId="4FEB6D2C" w14:textId="77777777">
        <w:trPr>
          <w:trHeight w:val="337"/>
          <w:jc w:val="center"/>
        </w:trPr>
        <w:tc>
          <w:tcPr>
            <w:tcW w:w="5054" w:type="dxa"/>
          </w:tcPr>
          <w:p w14:paraId="41EF8E3C" w14:textId="77777777" w:rsidR="00B560C7" w:rsidRPr="00F870B4" w:rsidRDefault="00F870B4">
            <w:pPr>
              <w:rPr>
                <w:rFonts w:cs="FrankRuehl"/>
                <w:sz w:val="28"/>
                <w:szCs w:val="28"/>
                <w:rtl/>
              </w:rPr>
            </w:pPr>
            <w:r w:rsidRPr="00F870B4">
              <w:rPr>
                <w:rFonts w:cs="FrankRuehl"/>
                <w:sz w:val="28"/>
                <w:szCs w:val="28"/>
                <w:rtl/>
              </w:rPr>
              <w:t>ת"פ</w:t>
            </w:r>
            <w:r w:rsidRPr="00F870B4">
              <w:rPr>
                <w:rFonts w:cs="FrankRuehl" w:hint="cs"/>
                <w:sz w:val="28"/>
                <w:szCs w:val="28"/>
                <w:rtl/>
              </w:rPr>
              <w:t xml:space="preserve"> </w:t>
            </w:r>
            <w:r w:rsidRPr="00F870B4">
              <w:rPr>
                <w:rFonts w:cs="FrankRuehl"/>
                <w:sz w:val="28"/>
                <w:szCs w:val="28"/>
                <w:rtl/>
              </w:rPr>
              <w:t>2090-08-12</w:t>
            </w:r>
            <w:r w:rsidRPr="00F870B4">
              <w:rPr>
                <w:rFonts w:cs="FrankRuehl" w:hint="cs"/>
                <w:sz w:val="28"/>
                <w:szCs w:val="28"/>
                <w:rtl/>
              </w:rPr>
              <w:t xml:space="preserve"> </w:t>
            </w:r>
            <w:r w:rsidRPr="00F870B4">
              <w:rPr>
                <w:rFonts w:cs="FrankRuehl"/>
                <w:sz w:val="28"/>
                <w:szCs w:val="28"/>
                <w:rtl/>
              </w:rPr>
              <w:t>מדינת ישראל נ' כהן</w:t>
            </w:r>
          </w:p>
          <w:p w14:paraId="1E307B20" w14:textId="77777777" w:rsidR="00B560C7" w:rsidRPr="00F870B4" w:rsidRDefault="00B560C7">
            <w:pPr>
              <w:pStyle w:val="a3"/>
              <w:rPr>
                <w:rFonts w:cs="FrankRuehl"/>
                <w:sz w:val="28"/>
                <w:szCs w:val="28"/>
                <w:rtl/>
              </w:rPr>
            </w:pPr>
          </w:p>
        </w:tc>
        <w:tc>
          <w:tcPr>
            <w:tcW w:w="3667" w:type="dxa"/>
          </w:tcPr>
          <w:p w14:paraId="44F0409C" w14:textId="77777777" w:rsidR="00B560C7" w:rsidRPr="00F870B4" w:rsidRDefault="00B560C7">
            <w:pPr>
              <w:pStyle w:val="a3"/>
              <w:jc w:val="right"/>
              <w:rPr>
                <w:rFonts w:cs="FrankRuehl"/>
                <w:sz w:val="28"/>
                <w:szCs w:val="28"/>
                <w:rtl/>
              </w:rPr>
            </w:pPr>
          </w:p>
        </w:tc>
      </w:tr>
    </w:tbl>
    <w:p w14:paraId="15C81C49" w14:textId="77777777" w:rsidR="00B560C7" w:rsidRPr="00F870B4" w:rsidRDefault="00F870B4">
      <w:pPr>
        <w:pStyle w:val="a3"/>
        <w:rPr>
          <w:rtl/>
        </w:rPr>
      </w:pPr>
      <w:r w:rsidRPr="00F870B4">
        <w:rPr>
          <w:rFonts w:hint="cs"/>
          <w:rtl/>
        </w:rPr>
        <w:t xml:space="preserve"> </w:t>
      </w:r>
    </w:p>
    <w:p w14:paraId="38F1D431" w14:textId="77777777" w:rsidR="00B560C7" w:rsidRPr="00F870B4" w:rsidRDefault="00B560C7">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560C7" w:rsidRPr="00F870B4" w14:paraId="1EA96AEB" w14:textId="77777777">
        <w:trPr>
          <w:trHeight w:val="295"/>
          <w:jc w:val="center"/>
        </w:trPr>
        <w:tc>
          <w:tcPr>
            <w:tcW w:w="923" w:type="dxa"/>
            <w:tcBorders>
              <w:top w:val="nil"/>
              <w:left w:val="nil"/>
              <w:bottom w:val="nil"/>
              <w:right w:val="nil"/>
            </w:tcBorders>
            <w:shd w:val="clear" w:color="auto" w:fill="auto"/>
          </w:tcPr>
          <w:p w14:paraId="30663411" w14:textId="77777777" w:rsidR="00B560C7" w:rsidRPr="00F870B4" w:rsidRDefault="00F870B4">
            <w:pPr>
              <w:spacing w:line="360" w:lineRule="auto"/>
              <w:jc w:val="both"/>
              <w:rPr>
                <w:rFonts w:ascii="Arial" w:hAnsi="Arial" w:cs="FrankRuehl"/>
                <w:b/>
                <w:bCs/>
                <w:sz w:val="28"/>
                <w:szCs w:val="28"/>
              </w:rPr>
            </w:pPr>
            <w:r w:rsidRPr="00F870B4">
              <w:rPr>
                <w:rFonts w:ascii="Arial" w:hAnsi="Arial" w:cs="FrankRuehl" w:hint="cs"/>
                <w:b/>
                <w:bCs/>
                <w:sz w:val="28"/>
                <w:szCs w:val="28"/>
                <w:rtl/>
              </w:rPr>
              <w:t>ב</w:t>
            </w:r>
            <w:r w:rsidRPr="00F870B4">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5BE848F7" w14:textId="77777777" w:rsidR="00B560C7" w:rsidRPr="00F870B4" w:rsidRDefault="00F870B4">
            <w:pPr>
              <w:spacing w:line="360" w:lineRule="auto"/>
              <w:jc w:val="both"/>
              <w:rPr>
                <w:rFonts w:ascii="Arial" w:hAnsi="Arial"/>
                <w:b/>
                <w:bCs/>
                <w:rtl/>
              </w:rPr>
            </w:pPr>
            <w:r w:rsidRPr="00F870B4">
              <w:rPr>
                <w:rFonts w:ascii="Arial" w:hAnsi="Arial" w:hint="cs"/>
                <w:b/>
                <w:bCs/>
                <w:rtl/>
              </w:rPr>
              <w:t>כבוד ה</w:t>
            </w:r>
            <w:r w:rsidRPr="00F870B4">
              <w:rPr>
                <w:rFonts w:hint="cs"/>
                <w:b/>
                <w:bCs/>
                <w:rtl/>
              </w:rPr>
              <w:t>שופטת - נשיאה</w:t>
            </w:r>
            <w:r w:rsidRPr="00F870B4">
              <w:rPr>
                <w:rFonts w:ascii="Arial" w:hAnsi="Arial" w:hint="cs"/>
                <w:b/>
                <w:bCs/>
                <w:rtl/>
              </w:rPr>
              <w:t xml:space="preserve">  </w:t>
            </w:r>
            <w:r w:rsidRPr="00F870B4">
              <w:rPr>
                <w:rFonts w:hint="cs"/>
                <w:b/>
                <w:bCs/>
                <w:rtl/>
              </w:rPr>
              <w:t>עינת רון</w:t>
            </w:r>
          </w:p>
          <w:p w14:paraId="79440EEF" w14:textId="77777777" w:rsidR="00B560C7" w:rsidRPr="00F870B4" w:rsidRDefault="00B560C7">
            <w:pPr>
              <w:spacing w:line="360" w:lineRule="auto"/>
              <w:jc w:val="both"/>
              <w:rPr>
                <w:b/>
                <w:bCs/>
                <w:rtl/>
              </w:rPr>
            </w:pPr>
          </w:p>
          <w:p w14:paraId="42FDD38C" w14:textId="77777777" w:rsidR="00B560C7" w:rsidRPr="00F870B4" w:rsidRDefault="00B560C7">
            <w:pPr>
              <w:spacing w:line="360" w:lineRule="auto"/>
              <w:jc w:val="both"/>
              <w:rPr>
                <w:rFonts w:ascii="Arial" w:hAnsi="Arial" w:cs="FrankRuehl"/>
                <w:b/>
                <w:bCs/>
                <w:sz w:val="28"/>
                <w:szCs w:val="28"/>
              </w:rPr>
            </w:pPr>
          </w:p>
        </w:tc>
      </w:tr>
      <w:tr w:rsidR="00B560C7" w:rsidRPr="00F870B4" w14:paraId="249ADE2E" w14:textId="77777777">
        <w:trPr>
          <w:trHeight w:val="355"/>
          <w:jc w:val="center"/>
        </w:trPr>
        <w:tc>
          <w:tcPr>
            <w:tcW w:w="923" w:type="dxa"/>
            <w:tcBorders>
              <w:top w:val="nil"/>
              <w:left w:val="nil"/>
              <w:bottom w:val="nil"/>
              <w:right w:val="nil"/>
            </w:tcBorders>
            <w:shd w:val="clear" w:color="auto" w:fill="auto"/>
          </w:tcPr>
          <w:p w14:paraId="647770AB" w14:textId="77777777" w:rsidR="00B560C7" w:rsidRPr="00F870B4" w:rsidRDefault="00F870B4">
            <w:pPr>
              <w:spacing w:line="360" w:lineRule="auto"/>
              <w:jc w:val="both"/>
              <w:rPr>
                <w:rFonts w:ascii="Arial" w:hAnsi="Arial" w:cs="FrankRuehl"/>
                <w:b/>
                <w:bCs/>
                <w:sz w:val="28"/>
                <w:szCs w:val="28"/>
              </w:rPr>
            </w:pPr>
            <w:bookmarkStart w:id="0" w:name="FirstAppellant"/>
            <w:bookmarkStart w:id="1" w:name="LastJudge"/>
            <w:bookmarkEnd w:id="1"/>
            <w:r w:rsidRPr="00F870B4">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552A2BE8" w14:textId="77777777" w:rsidR="00B560C7" w:rsidRPr="00F870B4" w:rsidRDefault="00F870B4">
            <w:pPr>
              <w:spacing w:line="360" w:lineRule="auto"/>
              <w:jc w:val="both"/>
              <w:rPr>
                <w:b/>
                <w:bCs/>
              </w:rPr>
            </w:pPr>
            <w:r w:rsidRPr="00F870B4">
              <w:rPr>
                <w:rFonts w:hint="cs"/>
                <w:b/>
                <w:bCs/>
                <w:rtl/>
              </w:rPr>
              <w:t>מדינת ישראל</w:t>
            </w:r>
          </w:p>
        </w:tc>
        <w:tc>
          <w:tcPr>
            <w:tcW w:w="3771" w:type="dxa"/>
            <w:tcBorders>
              <w:top w:val="nil"/>
              <w:left w:val="nil"/>
              <w:bottom w:val="nil"/>
              <w:right w:val="nil"/>
            </w:tcBorders>
            <w:shd w:val="clear" w:color="auto" w:fill="auto"/>
          </w:tcPr>
          <w:p w14:paraId="4DE350AD" w14:textId="77777777" w:rsidR="00B560C7" w:rsidRPr="00F870B4" w:rsidRDefault="00B560C7">
            <w:pPr>
              <w:spacing w:line="360" w:lineRule="auto"/>
              <w:jc w:val="both"/>
              <w:rPr>
                <w:rFonts w:ascii="Arial" w:hAnsi="Arial" w:cs="FrankRuehl"/>
                <w:b/>
                <w:bCs/>
                <w:sz w:val="28"/>
                <w:szCs w:val="28"/>
              </w:rPr>
            </w:pPr>
          </w:p>
        </w:tc>
      </w:tr>
      <w:bookmarkEnd w:id="0"/>
      <w:tr w:rsidR="00B560C7" w:rsidRPr="00F870B4" w14:paraId="13F2854A" w14:textId="77777777">
        <w:trPr>
          <w:trHeight w:val="355"/>
          <w:jc w:val="center"/>
        </w:trPr>
        <w:tc>
          <w:tcPr>
            <w:tcW w:w="923" w:type="dxa"/>
            <w:tcBorders>
              <w:top w:val="nil"/>
              <w:left w:val="nil"/>
              <w:bottom w:val="nil"/>
              <w:right w:val="nil"/>
            </w:tcBorders>
            <w:shd w:val="clear" w:color="auto" w:fill="auto"/>
          </w:tcPr>
          <w:p w14:paraId="644A62AD" w14:textId="77777777" w:rsidR="00B560C7" w:rsidRPr="00F870B4" w:rsidRDefault="00B560C7">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14B86A21" w14:textId="77777777" w:rsidR="00B560C7" w:rsidRPr="00F870B4" w:rsidRDefault="00B560C7">
            <w:pPr>
              <w:spacing w:line="360" w:lineRule="auto"/>
              <w:jc w:val="both"/>
              <w:rPr>
                <w:b/>
                <w:bCs/>
                <w:rtl/>
              </w:rPr>
            </w:pPr>
          </w:p>
        </w:tc>
        <w:tc>
          <w:tcPr>
            <w:tcW w:w="3771" w:type="dxa"/>
            <w:tcBorders>
              <w:top w:val="nil"/>
              <w:left w:val="nil"/>
              <w:bottom w:val="nil"/>
              <w:right w:val="nil"/>
            </w:tcBorders>
            <w:shd w:val="clear" w:color="auto" w:fill="auto"/>
          </w:tcPr>
          <w:p w14:paraId="01CC4152" w14:textId="77777777" w:rsidR="00B560C7" w:rsidRPr="00F870B4" w:rsidRDefault="00F870B4">
            <w:pPr>
              <w:spacing w:line="360" w:lineRule="auto"/>
              <w:jc w:val="both"/>
              <w:rPr>
                <w:rFonts w:ascii="Arial" w:hAnsi="Arial" w:cs="FrankRuehl"/>
                <w:b/>
                <w:bCs/>
                <w:sz w:val="28"/>
                <w:szCs w:val="28"/>
                <w:rtl/>
              </w:rPr>
            </w:pPr>
            <w:r w:rsidRPr="00F870B4">
              <w:rPr>
                <w:rFonts w:ascii="Arial" w:hAnsi="Arial" w:cs="FrankRuehl" w:hint="cs"/>
                <w:b/>
                <w:bCs/>
                <w:sz w:val="28"/>
                <w:szCs w:val="28"/>
                <w:rtl/>
              </w:rPr>
              <w:t>ה</w:t>
            </w:r>
            <w:r w:rsidRPr="00F870B4">
              <w:rPr>
                <w:rFonts w:hint="cs"/>
                <w:b/>
                <w:bCs/>
                <w:rtl/>
              </w:rPr>
              <w:t>מאשימה</w:t>
            </w:r>
          </w:p>
        </w:tc>
      </w:tr>
      <w:tr w:rsidR="00B560C7" w:rsidRPr="00F870B4" w14:paraId="61249646" w14:textId="77777777">
        <w:trPr>
          <w:trHeight w:val="355"/>
          <w:jc w:val="center"/>
        </w:trPr>
        <w:tc>
          <w:tcPr>
            <w:tcW w:w="923" w:type="dxa"/>
            <w:tcBorders>
              <w:top w:val="nil"/>
              <w:left w:val="nil"/>
              <w:bottom w:val="nil"/>
              <w:right w:val="nil"/>
            </w:tcBorders>
            <w:shd w:val="clear" w:color="auto" w:fill="auto"/>
          </w:tcPr>
          <w:p w14:paraId="59F01896" w14:textId="77777777" w:rsidR="00B560C7" w:rsidRPr="00F870B4" w:rsidRDefault="00B560C7">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6AEC25E1" w14:textId="77777777" w:rsidR="00B560C7" w:rsidRPr="00F870B4" w:rsidRDefault="00B560C7">
            <w:pPr>
              <w:spacing w:line="360" w:lineRule="auto"/>
              <w:jc w:val="both"/>
              <w:rPr>
                <w:rFonts w:ascii="Arial" w:hAnsi="Arial" w:cs="FrankRuehl"/>
                <w:b/>
                <w:bCs/>
                <w:sz w:val="28"/>
                <w:szCs w:val="28"/>
                <w:rtl/>
              </w:rPr>
            </w:pPr>
          </w:p>
          <w:p w14:paraId="00761E74" w14:textId="77777777" w:rsidR="00B560C7" w:rsidRPr="00F870B4" w:rsidRDefault="00F870B4">
            <w:pPr>
              <w:spacing w:line="360" w:lineRule="auto"/>
              <w:jc w:val="both"/>
              <w:rPr>
                <w:rFonts w:ascii="Arial" w:hAnsi="Arial" w:cs="FrankRuehl"/>
                <w:b/>
                <w:bCs/>
                <w:sz w:val="28"/>
                <w:szCs w:val="28"/>
                <w:rtl/>
              </w:rPr>
            </w:pPr>
            <w:r w:rsidRPr="00F870B4">
              <w:rPr>
                <w:rFonts w:ascii="Arial" w:hAnsi="Arial" w:cs="FrankRuehl"/>
                <w:b/>
                <w:bCs/>
                <w:sz w:val="28"/>
                <w:szCs w:val="28"/>
                <w:rtl/>
              </w:rPr>
              <w:t>נגד</w:t>
            </w:r>
          </w:p>
          <w:p w14:paraId="4E7B0967" w14:textId="77777777" w:rsidR="00B560C7" w:rsidRPr="00F870B4" w:rsidRDefault="00B560C7">
            <w:pPr>
              <w:spacing w:line="360" w:lineRule="auto"/>
              <w:jc w:val="both"/>
              <w:rPr>
                <w:rFonts w:ascii="Arial" w:hAnsi="Arial" w:cs="FrankRuehl"/>
                <w:b/>
                <w:bCs/>
                <w:sz w:val="28"/>
                <w:szCs w:val="28"/>
              </w:rPr>
            </w:pPr>
          </w:p>
        </w:tc>
      </w:tr>
      <w:tr w:rsidR="00B560C7" w:rsidRPr="00F870B4" w14:paraId="7B7EF415" w14:textId="77777777">
        <w:trPr>
          <w:trHeight w:val="355"/>
          <w:jc w:val="center"/>
        </w:trPr>
        <w:tc>
          <w:tcPr>
            <w:tcW w:w="923" w:type="dxa"/>
            <w:tcBorders>
              <w:top w:val="nil"/>
              <w:left w:val="nil"/>
              <w:bottom w:val="nil"/>
              <w:right w:val="nil"/>
            </w:tcBorders>
            <w:shd w:val="clear" w:color="auto" w:fill="auto"/>
          </w:tcPr>
          <w:p w14:paraId="53A5E946" w14:textId="77777777" w:rsidR="00B560C7" w:rsidRPr="00F870B4" w:rsidRDefault="00B560C7">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1EF30736" w14:textId="77777777" w:rsidR="00B560C7" w:rsidRPr="00F870B4" w:rsidRDefault="00F870B4">
            <w:pPr>
              <w:spacing w:line="360" w:lineRule="auto"/>
              <w:jc w:val="both"/>
              <w:rPr>
                <w:b/>
                <w:bCs/>
                <w:rtl/>
              </w:rPr>
            </w:pPr>
            <w:r w:rsidRPr="00F870B4">
              <w:rPr>
                <w:rFonts w:hint="cs"/>
                <w:b/>
                <w:bCs/>
                <w:rtl/>
              </w:rPr>
              <w:t>טל כהן</w:t>
            </w:r>
          </w:p>
        </w:tc>
        <w:tc>
          <w:tcPr>
            <w:tcW w:w="3771" w:type="dxa"/>
            <w:tcBorders>
              <w:top w:val="nil"/>
              <w:left w:val="nil"/>
              <w:bottom w:val="nil"/>
              <w:right w:val="nil"/>
            </w:tcBorders>
            <w:shd w:val="clear" w:color="auto" w:fill="auto"/>
          </w:tcPr>
          <w:p w14:paraId="6C6861DB" w14:textId="77777777" w:rsidR="00B560C7" w:rsidRPr="00F870B4" w:rsidRDefault="00B560C7">
            <w:pPr>
              <w:spacing w:line="360" w:lineRule="auto"/>
              <w:jc w:val="both"/>
              <w:rPr>
                <w:rFonts w:ascii="Arial" w:hAnsi="Arial" w:cs="FrankRuehl"/>
                <w:b/>
                <w:bCs/>
                <w:sz w:val="28"/>
                <w:szCs w:val="28"/>
              </w:rPr>
            </w:pPr>
          </w:p>
        </w:tc>
      </w:tr>
      <w:tr w:rsidR="00B560C7" w:rsidRPr="00F870B4" w14:paraId="4DC70BA1" w14:textId="77777777">
        <w:trPr>
          <w:trHeight w:val="355"/>
          <w:jc w:val="center"/>
        </w:trPr>
        <w:tc>
          <w:tcPr>
            <w:tcW w:w="923" w:type="dxa"/>
            <w:tcBorders>
              <w:top w:val="nil"/>
              <w:left w:val="nil"/>
              <w:bottom w:val="nil"/>
              <w:right w:val="nil"/>
            </w:tcBorders>
            <w:shd w:val="clear" w:color="auto" w:fill="auto"/>
          </w:tcPr>
          <w:p w14:paraId="5066CEA0" w14:textId="77777777" w:rsidR="00B560C7" w:rsidRPr="00F870B4" w:rsidRDefault="00B560C7">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1311B9DA" w14:textId="77777777" w:rsidR="00B560C7" w:rsidRPr="00F870B4" w:rsidRDefault="00B560C7">
            <w:pPr>
              <w:spacing w:line="360" w:lineRule="auto"/>
              <w:jc w:val="both"/>
              <w:rPr>
                <w:b/>
                <w:bCs/>
                <w:rtl/>
              </w:rPr>
            </w:pPr>
          </w:p>
        </w:tc>
        <w:tc>
          <w:tcPr>
            <w:tcW w:w="3771" w:type="dxa"/>
            <w:tcBorders>
              <w:top w:val="nil"/>
              <w:left w:val="nil"/>
              <w:bottom w:val="nil"/>
              <w:right w:val="nil"/>
            </w:tcBorders>
            <w:shd w:val="clear" w:color="auto" w:fill="auto"/>
          </w:tcPr>
          <w:p w14:paraId="2A139EFD" w14:textId="77777777" w:rsidR="00B560C7" w:rsidRPr="00F870B4" w:rsidRDefault="00F870B4">
            <w:pPr>
              <w:spacing w:line="360" w:lineRule="auto"/>
              <w:jc w:val="both"/>
              <w:rPr>
                <w:rFonts w:ascii="Arial" w:hAnsi="Arial" w:cs="FrankRuehl"/>
                <w:b/>
                <w:bCs/>
                <w:sz w:val="28"/>
                <w:szCs w:val="28"/>
              </w:rPr>
            </w:pPr>
            <w:r w:rsidRPr="00F870B4">
              <w:rPr>
                <w:rFonts w:ascii="Arial" w:hAnsi="Arial" w:cs="FrankRuehl" w:hint="cs"/>
                <w:b/>
                <w:bCs/>
                <w:sz w:val="28"/>
                <w:szCs w:val="28"/>
                <w:rtl/>
              </w:rPr>
              <w:t>ה</w:t>
            </w:r>
            <w:r w:rsidRPr="00F870B4">
              <w:rPr>
                <w:rFonts w:hint="cs"/>
                <w:b/>
                <w:bCs/>
                <w:rtl/>
              </w:rPr>
              <w:t>נאשם</w:t>
            </w:r>
          </w:p>
        </w:tc>
      </w:tr>
    </w:tbl>
    <w:p w14:paraId="6815F069" w14:textId="77777777" w:rsidR="00B560C7" w:rsidRPr="00F870B4" w:rsidRDefault="00B560C7">
      <w:pPr>
        <w:spacing w:line="360" w:lineRule="auto"/>
        <w:jc w:val="both"/>
        <w:rPr>
          <w:b/>
          <w:bCs/>
          <w:rtl/>
        </w:rPr>
      </w:pPr>
    </w:p>
    <w:p w14:paraId="2CB4CC94" w14:textId="77777777" w:rsidR="00B560C7" w:rsidRPr="00F870B4" w:rsidRDefault="00F870B4">
      <w:pPr>
        <w:spacing w:line="360" w:lineRule="auto"/>
        <w:jc w:val="both"/>
        <w:rPr>
          <w:b/>
          <w:bCs/>
          <w:rtl/>
        </w:rPr>
      </w:pPr>
      <w:r w:rsidRPr="00F870B4">
        <w:rPr>
          <w:rFonts w:hint="cs"/>
          <w:b/>
          <w:bCs/>
          <w:rtl/>
        </w:rPr>
        <w:t>נוכחים:</w:t>
      </w:r>
    </w:p>
    <w:p w14:paraId="2F191AD7" w14:textId="77777777" w:rsidR="00B560C7" w:rsidRPr="00F870B4" w:rsidRDefault="00F870B4">
      <w:pPr>
        <w:spacing w:line="360" w:lineRule="auto"/>
        <w:jc w:val="both"/>
        <w:rPr>
          <w:b/>
          <w:bCs/>
          <w:rtl/>
        </w:rPr>
      </w:pPr>
      <w:bookmarkStart w:id="2" w:name="FirstLawyer"/>
      <w:r w:rsidRPr="00F870B4">
        <w:rPr>
          <w:rFonts w:hint="cs"/>
          <w:b/>
          <w:bCs/>
          <w:rtl/>
        </w:rPr>
        <w:t>ב"כ</w:t>
      </w:r>
      <w:bookmarkEnd w:id="2"/>
      <w:r w:rsidRPr="00F870B4">
        <w:rPr>
          <w:rFonts w:hint="cs"/>
          <w:b/>
          <w:bCs/>
          <w:rtl/>
        </w:rPr>
        <w:t xml:space="preserve"> המאשימה עו"ד אביטל פורטנוי</w:t>
      </w:r>
    </w:p>
    <w:p w14:paraId="7127721C" w14:textId="77777777" w:rsidR="00B560C7" w:rsidRPr="00F870B4" w:rsidRDefault="00F870B4">
      <w:pPr>
        <w:spacing w:line="360" w:lineRule="auto"/>
        <w:jc w:val="both"/>
        <w:rPr>
          <w:b/>
          <w:bCs/>
          <w:rtl/>
        </w:rPr>
      </w:pPr>
      <w:r w:rsidRPr="00F870B4">
        <w:rPr>
          <w:rFonts w:hint="cs"/>
          <w:b/>
          <w:bCs/>
          <w:rtl/>
        </w:rPr>
        <w:t>ב"כ הנאשם עו"ד ירון פורר</w:t>
      </w:r>
    </w:p>
    <w:p w14:paraId="11518B5E" w14:textId="77777777" w:rsidR="001A4BAD" w:rsidRDefault="00F870B4">
      <w:pPr>
        <w:spacing w:line="360" w:lineRule="auto"/>
        <w:jc w:val="both"/>
        <w:rPr>
          <w:rtl/>
        </w:rPr>
      </w:pPr>
      <w:r w:rsidRPr="00F870B4">
        <w:rPr>
          <w:rFonts w:hint="cs"/>
          <w:b/>
          <w:bCs/>
          <w:rtl/>
        </w:rPr>
        <w:t>הנאשם בעצמו</w:t>
      </w:r>
      <w:bookmarkStart w:id="3" w:name="LawTable"/>
      <w:bookmarkEnd w:id="3"/>
    </w:p>
    <w:p w14:paraId="005C5DE8" w14:textId="77777777" w:rsidR="001A4BAD" w:rsidRPr="001A4BAD" w:rsidRDefault="001A4BAD" w:rsidP="001A4BAD">
      <w:pPr>
        <w:spacing w:after="120" w:line="240" w:lineRule="exact"/>
        <w:ind w:left="283" w:hanging="283"/>
        <w:jc w:val="both"/>
        <w:rPr>
          <w:rFonts w:ascii="FrankRuehl" w:hAnsi="FrankRuehl" w:cs="FrankRuehl"/>
          <w:rtl/>
        </w:rPr>
      </w:pPr>
    </w:p>
    <w:p w14:paraId="728B4F11" w14:textId="77777777" w:rsidR="001A4BAD" w:rsidRPr="001A4BAD" w:rsidRDefault="001A4BAD" w:rsidP="001A4BAD">
      <w:pPr>
        <w:spacing w:after="120" w:line="240" w:lineRule="exact"/>
        <w:ind w:left="283" w:hanging="283"/>
        <w:jc w:val="both"/>
        <w:rPr>
          <w:rFonts w:ascii="FrankRuehl" w:hAnsi="FrankRuehl" w:cs="FrankRuehl"/>
          <w:rtl/>
        </w:rPr>
      </w:pPr>
      <w:r w:rsidRPr="001A4BAD">
        <w:rPr>
          <w:rFonts w:ascii="FrankRuehl" w:hAnsi="FrankRuehl" w:cs="FrankRuehl"/>
          <w:rtl/>
        </w:rPr>
        <w:t xml:space="preserve">חקיקה שאוזכרה: </w:t>
      </w:r>
    </w:p>
    <w:p w14:paraId="65652B72" w14:textId="77777777" w:rsidR="001A4BAD" w:rsidRPr="001A4BAD" w:rsidRDefault="001A4BAD" w:rsidP="001A4BAD">
      <w:pPr>
        <w:spacing w:after="120" w:line="240" w:lineRule="exact"/>
        <w:ind w:left="283" w:hanging="283"/>
        <w:jc w:val="both"/>
        <w:rPr>
          <w:rFonts w:ascii="FrankRuehl" w:hAnsi="FrankRuehl" w:cs="FrankRuehl"/>
          <w:rtl/>
        </w:rPr>
      </w:pPr>
      <w:hyperlink r:id="rId6" w:history="1">
        <w:r w:rsidRPr="001A4BAD">
          <w:rPr>
            <w:rFonts w:ascii="FrankRuehl" w:hAnsi="FrankRuehl" w:cs="FrankRuehl"/>
            <w:color w:val="0000FF"/>
            <w:u w:val="single"/>
            <w:rtl/>
          </w:rPr>
          <w:t>פקודת הסמים המסוכנים [נוסח חדש], תשל"ג-1973</w:t>
        </w:r>
      </w:hyperlink>
      <w:r w:rsidRPr="001A4BAD">
        <w:rPr>
          <w:rFonts w:ascii="FrankRuehl" w:hAnsi="FrankRuehl" w:cs="FrankRuehl"/>
          <w:rtl/>
        </w:rPr>
        <w:t xml:space="preserve">: סע'  </w:t>
      </w:r>
      <w:hyperlink r:id="rId7" w:history="1">
        <w:r w:rsidRPr="001A4BAD">
          <w:rPr>
            <w:rFonts w:ascii="FrankRuehl" w:hAnsi="FrankRuehl" w:cs="FrankRuehl"/>
            <w:color w:val="0000FF"/>
            <w:u w:val="single"/>
            <w:rtl/>
          </w:rPr>
          <w:t>7.א.</w:t>
        </w:r>
      </w:hyperlink>
      <w:r w:rsidRPr="001A4BAD">
        <w:rPr>
          <w:rFonts w:ascii="FrankRuehl" w:hAnsi="FrankRuehl" w:cs="FrankRuehl"/>
          <w:rtl/>
        </w:rPr>
        <w:t xml:space="preserve">, </w:t>
      </w:r>
      <w:hyperlink r:id="rId8" w:history="1">
        <w:r w:rsidRPr="001A4BAD">
          <w:rPr>
            <w:rFonts w:ascii="FrankRuehl" w:hAnsi="FrankRuehl" w:cs="FrankRuehl"/>
            <w:color w:val="0000FF"/>
            <w:u w:val="single"/>
            <w:rtl/>
          </w:rPr>
          <w:t>7.ג</w:t>
        </w:r>
      </w:hyperlink>
    </w:p>
    <w:p w14:paraId="7540AEC5" w14:textId="77777777" w:rsidR="001A4BAD" w:rsidRPr="001A4BAD" w:rsidRDefault="001A4BAD" w:rsidP="001A4BAD">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560C7" w14:paraId="6968BF74" w14:textId="77777777">
        <w:trPr>
          <w:trHeight w:val="355"/>
          <w:jc w:val="center"/>
        </w:trPr>
        <w:tc>
          <w:tcPr>
            <w:tcW w:w="8820" w:type="dxa"/>
            <w:tcBorders>
              <w:top w:val="nil"/>
              <w:left w:val="nil"/>
              <w:bottom w:val="nil"/>
              <w:right w:val="nil"/>
            </w:tcBorders>
            <w:shd w:val="clear" w:color="auto" w:fill="auto"/>
          </w:tcPr>
          <w:p w14:paraId="4D7DAD28" w14:textId="77777777" w:rsidR="00B560C7" w:rsidRPr="00F870B4" w:rsidRDefault="00F870B4" w:rsidP="00F870B4">
            <w:pPr>
              <w:spacing w:line="360" w:lineRule="auto"/>
              <w:jc w:val="center"/>
              <w:rPr>
                <w:rFonts w:ascii="Arial" w:hAnsi="Arial" w:cs="FrankRuehl"/>
                <w:b/>
                <w:bCs/>
                <w:sz w:val="32"/>
                <w:szCs w:val="32"/>
                <w:u w:val="single"/>
                <w:rtl/>
              </w:rPr>
            </w:pPr>
            <w:bookmarkStart w:id="4" w:name="LawTable_End"/>
            <w:bookmarkStart w:id="5" w:name="PsakDin" w:colFirst="0" w:colLast="0"/>
            <w:bookmarkEnd w:id="4"/>
            <w:r w:rsidRPr="00F870B4">
              <w:rPr>
                <w:rFonts w:ascii="Arial" w:hAnsi="Arial" w:cs="FrankRuehl"/>
                <w:b/>
                <w:bCs/>
                <w:sz w:val="32"/>
                <w:szCs w:val="32"/>
                <w:u w:val="single"/>
                <w:rtl/>
              </w:rPr>
              <w:t>גזר דין</w:t>
            </w:r>
          </w:p>
        </w:tc>
      </w:tr>
      <w:bookmarkEnd w:id="5"/>
    </w:tbl>
    <w:p w14:paraId="7285C2DE" w14:textId="77777777" w:rsidR="00B560C7" w:rsidRDefault="00B560C7">
      <w:pPr>
        <w:spacing w:line="360" w:lineRule="auto"/>
        <w:jc w:val="both"/>
        <w:rPr>
          <w:b/>
          <w:bCs/>
          <w:rtl/>
        </w:rPr>
      </w:pPr>
    </w:p>
    <w:p w14:paraId="1091B6E9" w14:textId="77777777" w:rsidR="00B560C7" w:rsidRDefault="00F870B4">
      <w:pPr>
        <w:spacing w:line="360" w:lineRule="auto"/>
        <w:jc w:val="both"/>
        <w:rPr>
          <w:b/>
          <w:bCs/>
          <w:rtl/>
        </w:rPr>
      </w:pPr>
      <w:bookmarkStart w:id="6" w:name="ABSTRACT_START"/>
      <w:bookmarkEnd w:id="6"/>
      <w:r>
        <w:rPr>
          <w:rFonts w:hint="cs"/>
          <w:b/>
          <w:bCs/>
          <w:rtl/>
        </w:rPr>
        <w:t>על פי הודאתו הורשע הנאשם בעבירה של החזקת סמים לצריכה עצמית, בכך שבתאריך 14/4/11 החזיק בסם מסוכן מסוג חשיש במשקל של 1.7722 גרם.</w:t>
      </w:r>
    </w:p>
    <w:p w14:paraId="4122D0A7" w14:textId="77777777" w:rsidR="00B560C7" w:rsidRDefault="00B560C7">
      <w:pPr>
        <w:spacing w:line="360" w:lineRule="auto"/>
        <w:jc w:val="both"/>
        <w:rPr>
          <w:b/>
          <w:bCs/>
          <w:rtl/>
        </w:rPr>
      </w:pPr>
      <w:bookmarkStart w:id="7" w:name="ABSTRACT_END"/>
      <w:bookmarkEnd w:id="7"/>
    </w:p>
    <w:p w14:paraId="6FAB5F7F" w14:textId="77777777" w:rsidR="00B560C7" w:rsidRDefault="00B560C7">
      <w:pPr>
        <w:spacing w:line="360" w:lineRule="auto"/>
        <w:jc w:val="both"/>
        <w:rPr>
          <w:b/>
          <w:bCs/>
          <w:rtl/>
        </w:rPr>
      </w:pPr>
    </w:p>
    <w:p w14:paraId="1C7B7A42" w14:textId="77777777" w:rsidR="00B560C7" w:rsidRDefault="00F870B4">
      <w:pPr>
        <w:spacing w:line="360" w:lineRule="auto"/>
        <w:jc w:val="both"/>
        <w:rPr>
          <w:b/>
          <w:bCs/>
          <w:rtl/>
        </w:rPr>
      </w:pPr>
      <w:r>
        <w:rPr>
          <w:rFonts w:hint="cs"/>
          <w:b/>
          <w:bCs/>
          <w:rtl/>
        </w:rPr>
        <w:t xml:space="preserve">המאשימה ציינה כי הגם שמדובר בחלוף זמן רב מאוד מאז בוצעה העבירה ואף חלוף זמן רב מאוד מאז הורשע הנאשם, הרי שהוגשו בעניינו מספר רב של תסקירי שירות מבחן ועולה מהם כי הנאשם ממשיך בדפוסי התנהגותו, לרבות שימוש בסמים. מאחר שהנאשם קיבל לא מעט </w:t>
      </w:r>
      <w:r>
        <w:rPr>
          <w:rFonts w:hint="cs"/>
          <w:b/>
          <w:bCs/>
          <w:rtl/>
        </w:rPr>
        <w:lastRenderedPageBreak/>
        <w:t>הזדמנויות ולא השכיל לעשות בהן שימוש, עתרה  התביעה להטיל עליו עונש של מאסר בפועל. לטעמה של התביעה ממילא לא יימצא הנאשם מתאים  לביצוע המאסר בדרך של עבודות שירות, לאור השימוש החוזר ונשנה שהוא עושה בסמים.</w:t>
      </w:r>
    </w:p>
    <w:p w14:paraId="480DF7D7" w14:textId="77777777" w:rsidR="00B560C7" w:rsidRDefault="00F870B4">
      <w:pPr>
        <w:spacing w:line="360" w:lineRule="auto"/>
        <w:jc w:val="both"/>
        <w:rPr>
          <w:b/>
          <w:bCs/>
          <w:rtl/>
        </w:rPr>
      </w:pPr>
      <w:r>
        <w:rPr>
          <w:rFonts w:hint="cs"/>
          <w:b/>
          <w:bCs/>
          <w:rtl/>
        </w:rPr>
        <w:t xml:space="preserve">סוף דבר הגיעו הצדדים להסדר טיעון ועתרו במשותף להשתת שלושה חודשים יום של מאסר בפועל לצד מאסר מותנה, קנס, פסילת רישיון נהיגה בפועל ועל תנאי. </w:t>
      </w:r>
    </w:p>
    <w:p w14:paraId="5AE9BFFB" w14:textId="77777777" w:rsidR="00B560C7" w:rsidRDefault="00B560C7">
      <w:pPr>
        <w:spacing w:line="360" w:lineRule="auto"/>
        <w:jc w:val="both"/>
        <w:rPr>
          <w:b/>
          <w:bCs/>
          <w:rtl/>
        </w:rPr>
      </w:pPr>
    </w:p>
    <w:p w14:paraId="5476E7F5" w14:textId="77777777" w:rsidR="00B560C7" w:rsidRDefault="00F870B4">
      <w:pPr>
        <w:spacing w:line="360" w:lineRule="auto"/>
        <w:jc w:val="both"/>
        <w:rPr>
          <w:b/>
          <w:bCs/>
          <w:rtl/>
        </w:rPr>
      </w:pPr>
      <w:r>
        <w:rPr>
          <w:rFonts w:hint="cs"/>
          <w:b/>
          <w:bCs/>
          <w:rtl/>
        </w:rPr>
        <w:t xml:space="preserve">ב"כ הנאשם עתר לכבד את ההסדר בהדגישו כי מדובר בכמות קטנה של סמים ובהדגישו את חלוף הזמן הרב מאז ביצוע העבירה. </w:t>
      </w:r>
    </w:p>
    <w:p w14:paraId="70AD91CB" w14:textId="77777777" w:rsidR="00B560C7" w:rsidRDefault="00B560C7">
      <w:pPr>
        <w:spacing w:line="360" w:lineRule="auto"/>
        <w:jc w:val="both"/>
        <w:rPr>
          <w:b/>
          <w:bCs/>
          <w:rtl/>
        </w:rPr>
      </w:pPr>
    </w:p>
    <w:p w14:paraId="4DBF193F" w14:textId="77777777" w:rsidR="00B560C7" w:rsidRDefault="00F870B4">
      <w:pPr>
        <w:spacing w:line="360" w:lineRule="auto"/>
        <w:jc w:val="both"/>
        <w:rPr>
          <w:b/>
          <w:bCs/>
          <w:rtl/>
        </w:rPr>
      </w:pPr>
      <w:r>
        <w:rPr>
          <w:rFonts w:hint="cs"/>
          <w:b/>
          <w:bCs/>
          <w:rtl/>
        </w:rPr>
        <w:t>במכלול השיקולים שנמנו לעיל ואף בשל עברו הפלילי של הנאשם שייסקר להלן, העתירה המשותפת של הצדדים ראויה ויש לכבדה.</w:t>
      </w:r>
    </w:p>
    <w:p w14:paraId="37387382" w14:textId="77777777" w:rsidR="00B560C7" w:rsidRDefault="00B560C7">
      <w:pPr>
        <w:spacing w:line="360" w:lineRule="auto"/>
        <w:jc w:val="both"/>
        <w:rPr>
          <w:b/>
          <w:bCs/>
          <w:rtl/>
        </w:rPr>
      </w:pPr>
    </w:p>
    <w:p w14:paraId="0BB4121B" w14:textId="77777777" w:rsidR="00B560C7" w:rsidRDefault="00F870B4">
      <w:pPr>
        <w:spacing w:line="360" w:lineRule="auto"/>
        <w:jc w:val="both"/>
        <w:rPr>
          <w:b/>
          <w:bCs/>
          <w:rtl/>
        </w:rPr>
      </w:pPr>
      <w:r>
        <w:rPr>
          <w:rFonts w:hint="cs"/>
          <w:b/>
          <w:bCs/>
          <w:rtl/>
        </w:rPr>
        <w:t xml:space="preserve">עלתה השאלה באשר לעונש מותנה קודם שהוטל על הנאשם. </w:t>
      </w:r>
    </w:p>
    <w:p w14:paraId="16273B0D" w14:textId="77777777" w:rsidR="00B560C7" w:rsidRDefault="00B560C7">
      <w:pPr>
        <w:spacing w:line="360" w:lineRule="auto"/>
        <w:jc w:val="both"/>
        <w:rPr>
          <w:b/>
          <w:bCs/>
          <w:rtl/>
        </w:rPr>
      </w:pPr>
    </w:p>
    <w:p w14:paraId="7A111FC3" w14:textId="77777777" w:rsidR="00B560C7" w:rsidRDefault="00F870B4">
      <w:pPr>
        <w:spacing w:line="360" w:lineRule="auto"/>
        <w:jc w:val="both"/>
        <w:rPr>
          <w:b/>
          <w:bCs/>
          <w:rtl/>
        </w:rPr>
      </w:pPr>
      <w:r>
        <w:rPr>
          <w:rFonts w:hint="cs"/>
          <w:b/>
          <w:bCs/>
          <w:rtl/>
        </w:rPr>
        <w:t>מגיליון המרשם הפלילי של הנאשם עולה כי ביום 18/5/11 נגזר דינו בבימ"ש השלום רחובות בתיק 1852/08 בעבירות רבות לאחר שצרף תיקים לא מעטים בעניינו ולרבות בעבירה, כך על פי המרשם הפלילי, של החזקת סמים לצריכה עצמית.</w:t>
      </w:r>
    </w:p>
    <w:p w14:paraId="7DFC64F6" w14:textId="77777777" w:rsidR="00B560C7" w:rsidRDefault="00F870B4">
      <w:pPr>
        <w:spacing w:line="360" w:lineRule="auto"/>
        <w:jc w:val="both"/>
        <w:rPr>
          <w:b/>
          <w:bCs/>
          <w:rtl/>
        </w:rPr>
      </w:pPr>
      <w:r>
        <w:rPr>
          <w:rFonts w:hint="cs"/>
          <w:b/>
          <w:bCs/>
          <w:rtl/>
        </w:rPr>
        <w:t>עיון בפרוטוקול הדיון באשר לתיק זה מעלה כי אכן אותו יום צורפו מספר תיקים בעניינו של הנאשם, לרבות תיק 31381/04/11 בו יוחסה לו עבירה של החזקת סם שלא לצריכה עצמית.</w:t>
      </w:r>
    </w:p>
    <w:p w14:paraId="56BA2B93" w14:textId="77777777" w:rsidR="00B560C7" w:rsidRDefault="00F870B4">
      <w:pPr>
        <w:spacing w:line="360" w:lineRule="auto"/>
        <w:jc w:val="both"/>
        <w:rPr>
          <w:b/>
          <w:bCs/>
          <w:rtl/>
        </w:rPr>
      </w:pPr>
      <w:r>
        <w:rPr>
          <w:rFonts w:hint="cs"/>
          <w:b/>
          <w:bCs/>
          <w:rtl/>
        </w:rPr>
        <w:t>מפרוטוקול הדיון עולה כי במסגרת הסדר טיעון תוקן כתב אישום זה.</w:t>
      </w:r>
    </w:p>
    <w:p w14:paraId="3F268A22" w14:textId="77777777" w:rsidR="00B560C7" w:rsidRDefault="00F870B4">
      <w:pPr>
        <w:spacing w:line="360" w:lineRule="auto"/>
        <w:jc w:val="both"/>
        <w:rPr>
          <w:b/>
          <w:bCs/>
          <w:rtl/>
        </w:rPr>
      </w:pPr>
      <w:r>
        <w:rPr>
          <w:rFonts w:hint="cs"/>
          <w:b/>
          <w:bCs/>
          <w:rtl/>
        </w:rPr>
        <w:t xml:space="preserve">בהכרעת הדין צויין כי הנאשם יורשע לאחר התיקון בעבירה של החזקת סמים שלא לצריכה עצמית ועם זאת הוראת החיקוק שנזכרה בהכרעת הדין היא </w:t>
      </w:r>
      <w:hyperlink r:id="rId9" w:history="1">
        <w:r w:rsidR="001A4BAD" w:rsidRPr="001A4BAD">
          <w:rPr>
            <w:b/>
            <w:bCs/>
            <w:color w:val="0000FF"/>
            <w:u w:val="single"/>
            <w:rtl/>
          </w:rPr>
          <w:t>סעיף 7(א)+(ג)</w:t>
        </w:r>
      </w:hyperlink>
      <w:r>
        <w:rPr>
          <w:rFonts w:hint="cs"/>
          <w:b/>
          <w:bCs/>
          <w:rtl/>
        </w:rPr>
        <w:t xml:space="preserve"> סיפא, דהיינו החזקת סמים לצריכה עצמית. </w:t>
      </w:r>
    </w:p>
    <w:p w14:paraId="448E0B20" w14:textId="77777777" w:rsidR="00B560C7" w:rsidRDefault="00F870B4">
      <w:pPr>
        <w:spacing w:line="360" w:lineRule="auto"/>
        <w:jc w:val="both"/>
        <w:rPr>
          <w:b/>
          <w:bCs/>
          <w:rtl/>
        </w:rPr>
      </w:pPr>
      <w:r>
        <w:rPr>
          <w:rFonts w:hint="cs"/>
          <w:b/>
          <w:bCs/>
          <w:rtl/>
        </w:rPr>
        <w:t xml:space="preserve">הוראת חיקוק זו היא גם זאת שנזכרה, כאמור בגיליון המרשם הפלילי של הנאשם. </w:t>
      </w:r>
    </w:p>
    <w:p w14:paraId="184D9D20" w14:textId="77777777" w:rsidR="00B560C7" w:rsidRDefault="00B560C7">
      <w:pPr>
        <w:spacing w:line="360" w:lineRule="auto"/>
        <w:jc w:val="both"/>
        <w:rPr>
          <w:b/>
          <w:bCs/>
          <w:rtl/>
        </w:rPr>
      </w:pPr>
    </w:p>
    <w:p w14:paraId="74918793" w14:textId="77777777" w:rsidR="00B560C7" w:rsidRDefault="00F870B4">
      <w:pPr>
        <w:spacing w:line="360" w:lineRule="auto"/>
        <w:jc w:val="both"/>
        <w:rPr>
          <w:b/>
          <w:bCs/>
          <w:rtl/>
        </w:rPr>
      </w:pPr>
      <w:r>
        <w:rPr>
          <w:rFonts w:hint="cs"/>
          <w:b/>
          <w:bCs/>
          <w:rtl/>
        </w:rPr>
        <w:t xml:space="preserve">יתר על כן, בגזר דינו ציין ביהמ"ש במלל המתאר את מעשי הנאשם כי מדובר בהחזקת סם לצריכה עצמית. </w:t>
      </w:r>
    </w:p>
    <w:p w14:paraId="0E0B0007" w14:textId="77777777" w:rsidR="00B560C7" w:rsidRDefault="00B560C7">
      <w:pPr>
        <w:spacing w:line="360" w:lineRule="auto"/>
        <w:jc w:val="both"/>
        <w:rPr>
          <w:b/>
          <w:bCs/>
          <w:rtl/>
        </w:rPr>
      </w:pPr>
    </w:p>
    <w:p w14:paraId="570CB621" w14:textId="77777777" w:rsidR="00B560C7" w:rsidRDefault="00F870B4">
      <w:pPr>
        <w:spacing w:line="360" w:lineRule="auto"/>
        <w:jc w:val="both"/>
        <w:rPr>
          <w:b/>
          <w:bCs/>
          <w:rtl/>
        </w:rPr>
      </w:pPr>
      <w:r>
        <w:rPr>
          <w:rFonts w:hint="cs"/>
          <w:b/>
          <w:bCs/>
          <w:rtl/>
        </w:rPr>
        <w:t xml:space="preserve">בגזר הדין הוטל על הנאשם עונש מותנה לבל יעבור אחת מן העבירות בהן הורשע ומכאן שאם ייקבע כי הנאשם הורשע בעבירה של החזקת סם לצריכה עצמית כי אזי העונש המותנה שנגזר עליו הוא בר הפעלה. </w:t>
      </w:r>
    </w:p>
    <w:p w14:paraId="1DB3E290" w14:textId="77777777" w:rsidR="00B560C7" w:rsidRDefault="00B560C7">
      <w:pPr>
        <w:spacing w:line="360" w:lineRule="auto"/>
        <w:jc w:val="both"/>
        <w:rPr>
          <w:b/>
          <w:bCs/>
          <w:rtl/>
        </w:rPr>
      </w:pPr>
    </w:p>
    <w:p w14:paraId="1907683C" w14:textId="77777777" w:rsidR="00B560C7" w:rsidRDefault="00F870B4">
      <w:pPr>
        <w:spacing w:line="360" w:lineRule="auto"/>
        <w:jc w:val="both"/>
        <w:rPr>
          <w:b/>
          <w:bCs/>
          <w:rtl/>
        </w:rPr>
      </w:pPr>
      <w:r>
        <w:rPr>
          <w:rFonts w:hint="cs"/>
          <w:b/>
          <w:bCs/>
          <w:rtl/>
        </w:rPr>
        <w:t>הצדדים סברו כי אין מקום להורות כן וכך עתרו בפני.</w:t>
      </w:r>
    </w:p>
    <w:p w14:paraId="4C3688EF" w14:textId="77777777" w:rsidR="00B560C7" w:rsidRDefault="00B560C7">
      <w:pPr>
        <w:spacing w:line="360" w:lineRule="auto"/>
        <w:jc w:val="both"/>
        <w:rPr>
          <w:b/>
          <w:bCs/>
          <w:rtl/>
        </w:rPr>
      </w:pPr>
    </w:p>
    <w:p w14:paraId="63300912" w14:textId="77777777" w:rsidR="00B560C7" w:rsidRDefault="00F870B4">
      <w:pPr>
        <w:spacing w:line="360" w:lineRule="auto"/>
        <w:jc w:val="both"/>
        <w:rPr>
          <w:b/>
          <w:bCs/>
          <w:rtl/>
        </w:rPr>
      </w:pPr>
      <w:r>
        <w:rPr>
          <w:rFonts w:hint="cs"/>
          <w:b/>
          <w:bCs/>
          <w:rtl/>
        </w:rPr>
        <w:lastRenderedPageBreak/>
        <w:t>על פני הדברים נראה כי ביהמ"ש שדן את הנאשם בפעם הקודמת וגזר את עונשו אכן דן אותו במעשה של החזקת סם לצריכה עצמית, שכן כך עולים דברים אף מלשון גזר הדין  ומסעיף החיקוק הנזכר בהכרעת הדין וככל הנראה שגגה נפלה בכך שהמלל לצד הוראת החיקוק כלל אף את המילה "לא" .</w:t>
      </w:r>
    </w:p>
    <w:p w14:paraId="44D8E5FC" w14:textId="77777777" w:rsidR="00B560C7" w:rsidRDefault="00F870B4">
      <w:pPr>
        <w:spacing w:line="360" w:lineRule="auto"/>
        <w:jc w:val="both"/>
        <w:rPr>
          <w:b/>
          <w:bCs/>
          <w:rtl/>
        </w:rPr>
      </w:pPr>
      <w:r>
        <w:rPr>
          <w:rFonts w:hint="cs"/>
          <w:b/>
          <w:bCs/>
          <w:rtl/>
        </w:rPr>
        <w:t xml:space="preserve">ויחד עם זאת לאחר ששקלתי את הדברים היטב ובחנתי אותם, מצאתי כי אכן לאור לשונה של הכרעת הדין הכוללת מלל שונה לצד הוראת החיקוק השונה, הרי שקיים ספק מסויים ומאחר שעסקינן במשפט הפלילי, הרי שספק זה פועל לטובתו של הנאשם ומכאן שאין מקום להורות על הפעלתו של העונש המותנה. </w:t>
      </w:r>
    </w:p>
    <w:p w14:paraId="4FFBC458" w14:textId="77777777" w:rsidR="00B560C7" w:rsidRDefault="00B560C7">
      <w:pPr>
        <w:spacing w:line="360" w:lineRule="auto"/>
        <w:jc w:val="both"/>
        <w:rPr>
          <w:b/>
          <w:bCs/>
          <w:rtl/>
        </w:rPr>
      </w:pPr>
    </w:p>
    <w:p w14:paraId="08A84EF8" w14:textId="77777777" w:rsidR="00B560C7" w:rsidRDefault="00B560C7">
      <w:pPr>
        <w:spacing w:line="360" w:lineRule="auto"/>
        <w:jc w:val="both"/>
        <w:rPr>
          <w:b/>
          <w:bCs/>
          <w:rtl/>
        </w:rPr>
      </w:pPr>
    </w:p>
    <w:p w14:paraId="3BEA4242" w14:textId="77777777" w:rsidR="00B560C7" w:rsidRDefault="00F870B4">
      <w:pPr>
        <w:spacing w:line="360" w:lineRule="auto"/>
        <w:jc w:val="both"/>
        <w:rPr>
          <w:b/>
          <w:bCs/>
          <w:rtl/>
        </w:rPr>
      </w:pPr>
      <w:r>
        <w:rPr>
          <w:rFonts w:hint="cs"/>
          <w:b/>
          <w:bCs/>
          <w:rtl/>
        </w:rPr>
        <w:t xml:space="preserve">במסגרת הסדר הטיעון שגובש בין הצדדים אני גוזרת על הנאשם </w:t>
      </w:r>
      <w:r>
        <w:rPr>
          <w:b/>
          <w:bCs/>
          <w:rtl/>
        </w:rPr>
        <w:t>–</w:t>
      </w:r>
      <w:r>
        <w:rPr>
          <w:rFonts w:hint="cs"/>
          <w:b/>
          <w:bCs/>
          <w:rtl/>
        </w:rPr>
        <w:t xml:space="preserve"> </w:t>
      </w:r>
    </w:p>
    <w:p w14:paraId="24FCA05D" w14:textId="77777777" w:rsidR="00B560C7" w:rsidRDefault="00B560C7">
      <w:pPr>
        <w:spacing w:line="360" w:lineRule="auto"/>
        <w:jc w:val="both"/>
        <w:rPr>
          <w:b/>
          <w:bCs/>
          <w:rtl/>
        </w:rPr>
      </w:pPr>
    </w:p>
    <w:p w14:paraId="0AA0E715" w14:textId="77777777" w:rsidR="00B560C7" w:rsidRDefault="00F870B4">
      <w:pPr>
        <w:spacing w:line="360" w:lineRule="auto"/>
        <w:jc w:val="both"/>
        <w:rPr>
          <w:b/>
          <w:bCs/>
          <w:rtl/>
        </w:rPr>
      </w:pPr>
      <w:r>
        <w:rPr>
          <w:rFonts w:hint="cs"/>
          <w:b/>
          <w:bCs/>
          <w:rtl/>
        </w:rPr>
        <w:t xml:space="preserve">מאסר בפועל בן שלושה חודשים ויום. </w:t>
      </w:r>
    </w:p>
    <w:p w14:paraId="59CDB531" w14:textId="77777777" w:rsidR="00B560C7" w:rsidRDefault="00B560C7">
      <w:pPr>
        <w:spacing w:line="360" w:lineRule="auto"/>
        <w:jc w:val="both"/>
        <w:rPr>
          <w:b/>
          <w:bCs/>
          <w:rtl/>
        </w:rPr>
      </w:pPr>
    </w:p>
    <w:p w14:paraId="43AD0B37" w14:textId="77777777" w:rsidR="00B560C7" w:rsidRDefault="00F870B4">
      <w:pPr>
        <w:spacing w:line="360" w:lineRule="auto"/>
        <w:jc w:val="both"/>
        <w:rPr>
          <w:b/>
          <w:bCs/>
          <w:rtl/>
        </w:rPr>
      </w:pPr>
      <w:r>
        <w:rPr>
          <w:rFonts w:hint="cs"/>
          <w:b/>
          <w:bCs/>
          <w:rtl/>
        </w:rPr>
        <w:t xml:space="preserve">חמישה חודשי מאסר על תנאי למשך שלוש שנים לבל יעבור הנאשם עבירה כלשהי על </w:t>
      </w:r>
      <w:hyperlink r:id="rId10" w:history="1">
        <w:r w:rsidRPr="00F870B4">
          <w:rPr>
            <w:b/>
            <w:bCs/>
            <w:color w:val="0000FF"/>
            <w:u w:val="single"/>
            <w:rtl/>
          </w:rPr>
          <w:t>פקודת הסמים המסוכנים</w:t>
        </w:r>
      </w:hyperlink>
      <w:r>
        <w:rPr>
          <w:rFonts w:hint="cs"/>
          <w:b/>
          <w:bCs/>
          <w:rtl/>
        </w:rPr>
        <w:t xml:space="preserve">. </w:t>
      </w:r>
    </w:p>
    <w:p w14:paraId="609424D4" w14:textId="77777777" w:rsidR="00B560C7" w:rsidRDefault="00B560C7">
      <w:pPr>
        <w:spacing w:line="360" w:lineRule="auto"/>
        <w:jc w:val="both"/>
        <w:rPr>
          <w:b/>
          <w:bCs/>
          <w:rtl/>
        </w:rPr>
      </w:pPr>
    </w:p>
    <w:p w14:paraId="2E55CFC7" w14:textId="77777777" w:rsidR="00B560C7" w:rsidRDefault="00F870B4">
      <w:pPr>
        <w:spacing w:line="360" w:lineRule="auto"/>
        <w:jc w:val="both"/>
        <w:rPr>
          <w:b/>
          <w:bCs/>
          <w:rtl/>
        </w:rPr>
      </w:pPr>
      <w:r>
        <w:rPr>
          <w:rFonts w:hint="cs"/>
          <w:b/>
          <w:bCs/>
          <w:rtl/>
        </w:rPr>
        <w:t xml:space="preserve">קנס בסכום של 750 ₪ או 5 ימי מאסר תמורתו. הקנס ישולם בשלושה תשלומים חודשיים שווים ורצופים שהראשון בהם ביום 1/12/15 והבאים אחריו בכל 1 לחודש שלאחר מכן. לא ישולם תשלום במועדו יעמוד כל הסכום לפרעון מיידי. </w:t>
      </w:r>
    </w:p>
    <w:p w14:paraId="2D10DB50" w14:textId="77777777" w:rsidR="00B560C7" w:rsidRDefault="00B560C7">
      <w:pPr>
        <w:spacing w:line="360" w:lineRule="auto"/>
        <w:jc w:val="both"/>
        <w:rPr>
          <w:b/>
          <w:bCs/>
          <w:rtl/>
        </w:rPr>
      </w:pPr>
    </w:p>
    <w:p w14:paraId="7ABA539E" w14:textId="77777777" w:rsidR="00B560C7" w:rsidRDefault="00F870B4">
      <w:pPr>
        <w:spacing w:line="360" w:lineRule="auto"/>
        <w:jc w:val="both"/>
        <w:rPr>
          <w:b/>
          <w:bCs/>
          <w:rtl/>
        </w:rPr>
      </w:pPr>
      <w:r>
        <w:rPr>
          <w:rFonts w:hint="cs"/>
          <w:b/>
          <w:bCs/>
          <w:rtl/>
        </w:rPr>
        <w:t xml:space="preserve">אני מורה כי הנאשם ייפסל מלקבל ומלהחזיק רישיון נהיגה לתקופה של ארבעה חודשים בפועל וכן ארבעה חודשים על תנאי למשך שלוש שנים, לבל יעבור עבירה כלשהי לפי </w:t>
      </w:r>
      <w:hyperlink r:id="rId11" w:history="1">
        <w:r w:rsidRPr="00F870B4">
          <w:rPr>
            <w:b/>
            <w:bCs/>
            <w:color w:val="0000FF"/>
            <w:u w:val="single"/>
            <w:rtl/>
          </w:rPr>
          <w:t>פקודת הסמים המסוכנים</w:t>
        </w:r>
      </w:hyperlink>
      <w:r>
        <w:rPr>
          <w:rFonts w:hint="cs"/>
          <w:b/>
          <w:bCs/>
          <w:rtl/>
        </w:rPr>
        <w:t xml:space="preserve">. </w:t>
      </w:r>
    </w:p>
    <w:p w14:paraId="5926C025" w14:textId="77777777" w:rsidR="00B560C7" w:rsidRDefault="00F870B4">
      <w:pPr>
        <w:spacing w:line="360" w:lineRule="auto"/>
        <w:jc w:val="both"/>
        <w:rPr>
          <w:b/>
          <w:bCs/>
          <w:rtl/>
        </w:rPr>
      </w:pPr>
      <w:r>
        <w:rPr>
          <w:rFonts w:hint="cs"/>
          <w:b/>
          <w:bCs/>
          <w:rtl/>
        </w:rPr>
        <w:t xml:space="preserve">מניינה של הפסילה מיום שחרורו של הנאשם ממאסר ולמען הסר ספק יודגש כי מניינה מיום הפקדת הרישיון בפועל. </w:t>
      </w:r>
    </w:p>
    <w:p w14:paraId="3EA62D13" w14:textId="77777777" w:rsidR="00B560C7" w:rsidRDefault="00B560C7">
      <w:pPr>
        <w:spacing w:line="360" w:lineRule="auto"/>
        <w:jc w:val="both"/>
        <w:rPr>
          <w:b/>
          <w:bCs/>
          <w:rtl/>
        </w:rPr>
      </w:pPr>
    </w:p>
    <w:p w14:paraId="081BFF62" w14:textId="77777777" w:rsidR="00B560C7" w:rsidRDefault="00F870B4">
      <w:pPr>
        <w:spacing w:line="360" w:lineRule="auto"/>
        <w:jc w:val="both"/>
        <w:rPr>
          <w:b/>
          <w:bCs/>
          <w:rtl/>
        </w:rPr>
      </w:pPr>
      <w:r>
        <w:rPr>
          <w:rFonts w:hint="cs"/>
          <w:b/>
          <w:bCs/>
          <w:rtl/>
        </w:rPr>
        <w:t xml:space="preserve">הנאשם יתייצב לתחילת ריצוי עונש המאסר בפועל ביום 3/1/16  בשעה 8.00 בבית המעצר "ניצן". </w:t>
      </w:r>
    </w:p>
    <w:p w14:paraId="3520FF09" w14:textId="77777777" w:rsidR="00B560C7" w:rsidRDefault="00B560C7">
      <w:pPr>
        <w:spacing w:line="360" w:lineRule="auto"/>
        <w:jc w:val="both"/>
        <w:rPr>
          <w:b/>
          <w:bCs/>
          <w:rtl/>
        </w:rPr>
      </w:pPr>
    </w:p>
    <w:p w14:paraId="4DE4CB18" w14:textId="77777777" w:rsidR="00B560C7" w:rsidRDefault="00B560C7">
      <w:pPr>
        <w:spacing w:line="360" w:lineRule="auto"/>
        <w:jc w:val="both"/>
        <w:rPr>
          <w:b/>
          <w:bCs/>
          <w:rtl/>
        </w:rPr>
      </w:pPr>
    </w:p>
    <w:p w14:paraId="5D5034DA" w14:textId="77777777" w:rsidR="00B560C7" w:rsidRDefault="00B560C7">
      <w:pPr>
        <w:spacing w:line="360" w:lineRule="auto"/>
        <w:jc w:val="both"/>
        <w:rPr>
          <w:b/>
          <w:bCs/>
          <w:rtl/>
        </w:rPr>
      </w:pPr>
    </w:p>
    <w:p w14:paraId="690886EE" w14:textId="77777777" w:rsidR="00B560C7" w:rsidRDefault="00B560C7">
      <w:pPr>
        <w:spacing w:line="360" w:lineRule="auto"/>
        <w:jc w:val="both"/>
        <w:rPr>
          <w:b/>
          <w:bCs/>
          <w:rtl/>
        </w:rPr>
      </w:pPr>
    </w:p>
    <w:p w14:paraId="072D3C58" w14:textId="77777777" w:rsidR="00B560C7" w:rsidRDefault="00B560C7">
      <w:pPr>
        <w:spacing w:line="360" w:lineRule="auto"/>
        <w:jc w:val="both"/>
        <w:rPr>
          <w:b/>
          <w:bCs/>
          <w:rtl/>
        </w:rPr>
      </w:pPr>
    </w:p>
    <w:p w14:paraId="6D70B450" w14:textId="77777777" w:rsidR="00B560C7" w:rsidRDefault="00B560C7">
      <w:pPr>
        <w:spacing w:line="360" w:lineRule="auto"/>
        <w:jc w:val="both"/>
        <w:rPr>
          <w:b/>
          <w:bCs/>
          <w:rtl/>
        </w:rPr>
      </w:pPr>
    </w:p>
    <w:p w14:paraId="17C251AF" w14:textId="77777777" w:rsidR="00B560C7" w:rsidRDefault="00B560C7">
      <w:pPr>
        <w:spacing w:line="360" w:lineRule="auto"/>
        <w:jc w:val="both"/>
        <w:rPr>
          <w:b/>
          <w:bCs/>
          <w:rtl/>
        </w:rPr>
      </w:pPr>
    </w:p>
    <w:p w14:paraId="14C45A5A" w14:textId="77777777" w:rsidR="00B560C7" w:rsidRDefault="00B560C7">
      <w:pPr>
        <w:spacing w:line="360" w:lineRule="auto"/>
        <w:jc w:val="both"/>
        <w:rPr>
          <w:b/>
          <w:bCs/>
          <w:rtl/>
        </w:rPr>
      </w:pPr>
    </w:p>
    <w:p w14:paraId="4BCAF5E0" w14:textId="77777777" w:rsidR="00B560C7" w:rsidRDefault="00B560C7">
      <w:pPr>
        <w:spacing w:line="360" w:lineRule="auto"/>
        <w:jc w:val="both"/>
        <w:rPr>
          <w:b/>
          <w:bCs/>
          <w:rtl/>
        </w:rPr>
      </w:pPr>
    </w:p>
    <w:p w14:paraId="444781A5" w14:textId="77777777" w:rsidR="00B560C7" w:rsidRDefault="00B560C7">
      <w:pPr>
        <w:spacing w:line="360" w:lineRule="auto"/>
        <w:jc w:val="both"/>
        <w:rPr>
          <w:b/>
          <w:bCs/>
          <w:rtl/>
        </w:rPr>
      </w:pPr>
    </w:p>
    <w:p w14:paraId="064566AB" w14:textId="77777777" w:rsidR="00B560C7" w:rsidRDefault="00B560C7">
      <w:pPr>
        <w:spacing w:line="360" w:lineRule="auto"/>
        <w:jc w:val="both"/>
        <w:rPr>
          <w:b/>
          <w:bCs/>
          <w:rtl/>
        </w:rPr>
      </w:pPr>
    </w:p>
    <w:p w14:paraId="2F806BCA" w14:textId="77777777" w:rsidR="00B560C7" w:rsidRDefault="00F870B4">
      <w:pPr>
        <w:spacing w:line="360" w:lineRule="auto"/>
        <w:jc w:val="both"/>
        <w:rPr>
          <w:b/>
          <w:bCs/>
          <w:rtl/>
        </w:rPr>
      </w:pPr>
      <w:r>
        <w:rPr>
          <w:rFonts w:hint="cs"/>
          <w:b/>
          <w:bCs/>
          <w:rtl/>
        </w:rPr>
        <w:t xml:space="preserve">סמים שנתפסו במהלך החקירה </w:t>
      </w:r>
      <w:r>
        <w:rPr>
          <w:b/>
          <w:bCs/>
          <w:rtl/>
        </w:rPr>
        <w:t>–</w:t>
      </w:r>
      <w:r>
        <w:rPr>
          <w:rFonts w:hint="cs"/>
          <w:b/>
          <w:bCs/>
          <w:rtl/>
        </w:rPr>
        <w:t xml:space="preserve"> יושמדו. </w:t>
      </w:r>
    </w:p>
    <w:p w14:paraId="6CB3EAAA" w14:textId="77777777" w:rsidR="00B560C7" w:rsidRDefault="00B560C7">
      <w:pPr>
        <w:spacing w:line="360" w:lineRule="auto"/>
        <w:jc w:val="both"/>
        <w:rPr>
          <w:b/>
          <w:bCs/>
          <w:rtl/>
        </w:rPr>
      </w:pPr>
    </w:p>
    <w:p w14:paraId="4D3E6422" w14:textId="77777777" w:rsidR="00B560C7" w:rsidRDefault="00F870B4">
      <w:pPr>
        <w:spacing w:line="360" w:lineRule="auto"/>
        <w:jc w:val="both"/>
        <w:rPr>
          <w:b/>
          <w:bCs/>
          <w:rtl/>
        </w:rPr>
      </w:pPr>
      <w:r>
        <w:rPr>
          <w:rFonts w:hint="cs"/>
          <w:b/>
          <w:bCs/>
          <w:rtl/>
        </w:rPr>
        <w:t xml:space="preserve">זכות ערעור כחוק. </w:t>
      </w:r>
    </w:p>
    <w:p w14:paraId="6D94473D" w14:textId="77777777" w:rsidR="00B560C7" w:rsidRDefault="00B560C7">
      <w:pPr>
        <w:spacing w:line="360" w:lineRule="auto"/>
        <w:jc w:val="both"/>
        <w:rPr>
          <w:b/>
          <w:bCs/>
          <w:rtl/>
        </w:rPr>
      </w:pPr>
    </w:p>
    <w:p w14:paraId="6C7DD5A9" w14:textId="77777777" w:rsidR="00B560C7" w:rsidRDefault="00B560C7">
      <w:pPr>
        <w:spacing w:line="360" w:lineRule="auto"/>
        <w:jc w:val="both"/>
        <w:rPr>
          <w:b/>
          <w:bCs/>
          <w:rtl/>
        </w:rPr>
      </w:pPr>
    </w:p>
    <w:p w14:paraId="327AA0D1" w14:textId="77777777" w:rsidR="00B560C7" w:rsidRPr="00F870B4" w:rsidRDefault="00F870B4">
      <w:pPr>
        <w:spacing w:line="360" w:lineRule="auto"/>
        <w:jc w:val="both"/>
        <w:rPr>
          <w:b/>
          <w:bCs/>
          <w:color w:val="FFFFFF"/>
          <w:sz w:val="2"/>
          <w:szCs w:val="2"/>
          <w:rtl/>
        </w:rPr>
      </w:pPr>
      <w:r w:rsidRPr="00F870B4">
        <w:rPr>
          <w:b/>
          <w:bCs/>
          <w:color w:val="FFFFFF"/>
          <w:sz w:val="2"/>
          <w:szCs w:val="2"/>
          <w:rtl/>
        </w:rPr>
        <w:t>5129371</w:t>
      </w:r>
    </w:p>
    <w:p w14:paraId="25784579" w14:textId="77777777" w:rsidR="00B560C7" w:rsidRDefault="00F870B4">
      <w:pPr>
        <w:spacing w:line="360" w:lineRule="auto"/>
        <w:jc w:val="both"/>
        <w:rPr>
          <w:rFonts w:cs="FrankRuehl"/>
          <w:b/>
          <w:bCs/>
          <w:sz w:val="28"/>
          <w:szCs w:val="28"/>
          <w:rtl/>
        </w:rPr>
      </w:pPr>
      <w:r w:rsidRPr="00F870B4">
        <w:rPr>
          <w:rFonts w:ascii="Arial" w:hAnsi="Arial"/>
          <w:b/>
          <w:bCs/>
          <w:color w:val="FFFFFF"/>
          <w:sz w:val="2"/>
          <w:szCs w:val="2"/>
          <w:rtl/>
        </w:rPr>
        <w:t>54678313</w:t>
      </w:r>
      <w:r>
        <w:rPr>
          <w:rFonts w:ascii="Arial" w:hAnsi="Arial"/>
          <w:b/>
          <w:bCs/>
          <w:rtl/>
        </w:rPr>
        <w:t xml:space="preserve">ניתן היום,  כ"ב חשוון תשע"ו, 04 נובמבר 2015, במעמד הצדדים. </w:t>
      </w:r>
    </w:p>
    <w:p w14:paraId="120DFABE" w14:textId="77777777" w:rsidR="00B560C7" w:rsidRDefault="00F870B4">
      <w:pPr>
        <w:spacing w:line="360" w:lineRule="auto"/>
        <w:jc w:val="both"/>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3D58FEF3" w14:textId="77777777" w:rsidR="00B560C7" w:rsidRDefault="00B560C7">
      <w:pPr>
        <w:spacing w:line="360" w:lineRule="auto"/>
        <w:jc w:val="both"/>
        <w:rPr>
          <w:rFonts w:ascii="Arial" w:hAnsi="Arial" w:cs="FrankRuehl"/>
          <w:b/>
          <w:bCs/>
          <w:sz w:val="28"/>
          <w:szCs w:val="28"/>
          <w:rtl/>
        </w:rPr>
      </w:pPr>
    </w:p>
    <w:p w14:paraId="1A398566" w14:textId="77777777" w:rsidR="00B560C7" w:rsidRDefault="00B560C7">
      <w:pPr>
        <w:spacing w:line="360" w:lineRule="auto"/>
        <w:jc w:val="both"/>
        <w:rPr>
          <w:rFonts w:cs="FrankRuehl"/>
          <w:b/>
          <w:bCs/>
          <w:sz w:val="28"/>
          <w:szCs w:val="28"/>
          <w:rtl/>
        </w:rPr>
      </w:pPr>
    </w:p>
    <w:p w14:paraId="2BBF5AB8" w14:textId="77777777" w:rsidR="00B560C7" w:rsidRDefault="00B560C7">
      <w:pPr>
        <w:pStyle w:val="a3"/>
        <w:spacing w:line="360" w:lineRule="auto"/>
        <w:jc w:val="both"/>
        <w:rPr>
          <w:b/>
          <w:bCs/>
          <w:rtl/>
        </w:rPr>
      </w:pPr>
    </w:p>
    <w:p w14:paraId="67081551" w14:textId="77777777" w:rsidR="00F870B4" w:rsidRPr="00F870B4" w:rsidRDefault="00F870B4" w:rsidP="00F870B4">
      <w:pPr>
        <w:keepNext/>
        <w:rPr>
          <w:rFonts w:ascii="David" w:hAnsi="David"/>
          <w:color w:val="000000"/>
          <w:sz w:val="22"/>
          <w:szCs w:val="22"/>
          <w:rtl/>
        </w:rPr>
      </w:pPr>
    </w:p>
    <w:p w14:paraId="3C26A16A" w14:textId="77777777" w:rsidR="00F870B4" w:rsidRPr="00F870B4" w:rsidRDefault="00F870B4" w:rsidP="00F870B4">
      <w:pPr>
        <w:keepNext/>
        <w:rPr>
          <w:rFonts w:ascii="David" w:hAnsi="David"/>
          <w:color w:val="000000"/>
          <w:sz w:val="22"/>
          <w:szCs w:val="22"/>
          <w:rtl/>
        </w:rPr>
      </w:pPr>
      <w:r w:rsidRPr="00F870B4">
        <w:rPr>
          <w:rFonts w:ascii="David" w:hAnsi="David"/>
          <w:color w:val="000000"/>
          <w:sz w:val="22"/>
          <w:szCs w:val="22"/>
          <w:rtl/>
        </w:rPr>
        <w:t>ה עינת רון 54678313</w:t>
      </w:r>
    </w:p>
    <w:p w14:paraId="310B22F2" w14:textId="77777777" w:rsidR="00F870B4" w:rsidRDefault="00F870B4" w:rsidP="00F870B4">
      <w:r w:rsidRPr="00F870B4">
        <w:rPr>
          <w:color w:val="000000"/>
          <w:rtl/>
        </w:rPr>
        <w:t>נוסח מסמך זה כפוף לשינויי ניסוח ועריכה</w:t>
      </w:r>
    </w:p>
    <w:p w14:paraId="134863AD" w14:textId="77777777" w:rsidR="00F870B4" w:rsidRDefault="00F870B4" w:rsidP="00F870B4">
      <w:pPr>
        <w:rPr>
          <w:rtl/>
        </w:rPr>
      </w:pPr>
    </w:p>
    <w:p w14:paraId="5B249B71" w14:textId="77777777" w:rsidR="00F870B4" w:rsidRDefault="00F870B4" w:rsidP="00F870B4">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266C35B7" w14:textId="77777777" w:rsidR="00B560C7" w:rsidRPr="00F870B4" w:rsidRDefault="00B560C7" w:rsidP="00F870B4">
      <w:pPr>
        <w:jc w:val="center"/>
        <w:rPr>
          <w:color w:val="0000FF"/>
          <w:u w:val="single"/>
        </w:rPr>
      </w:pPr>
    </w:p>
    <w:sectPr w:rsidR="00B560C7" w:rsidRPr="00F870B4" w:rsidSect="00F870B4">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815AFC" w14:textId="77777777" w:rsidR="0038753D" w:rsidRDefault="0038753D">
      <w:r>
        <w:separator/>
      </w:r>
    </w:p>
  </w:endnote>
  <w:endnote w:type="continuationSeparator" w:id="0">
    <w:p w14:paraId="16DF79DB" w14:textId="77777777" w:rsidR="0038753D" w:rsidRDefault="00387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7D5E0" w14:textId="77777777" w:rsidR="0038753D" w:rsidRDefault="0038753D" w:rsidP="00F870B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1B4D847" w14:textId="77777777" w:rsidR="0038753D" w:rsidRPr="00F870B4" w:rsidRDefault="0038753D" w:rsidP="00F870B4">
    <w:pPr>
      <w:pStyle w:val="a4"/>
      <w:pBdr>
        <w:top w:val="single" w:sz="4" w:space="1" w:color="auto"/>
        <w:between w:val="single" w:sz="4" w:space="0" w:color="auto"/>
      </w:pBdr>
      <w:spacing w:after="60"/>
      <w:jc w:val="center"/>
      <w:rPr>
        <w:rFonts w:ascii="FrankRuehl" w:hAnsi="FrankRuehl" w:cs="FrankRuehl"/>
        <w:color w:val="000000"/>
      </w:rPr>
    </w:pPr>
    <w:r w:rsidRPr="00F870B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F1774" w14:textId="77777777" w:rsidR="0038753D" w:rsidRDefault="0038753D" w:rsidP="00F870B4">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860EB">
      <w:rPr>
        <w:rFonts w:ascii="FrankRuehl" w:hAnsi="FrankRuehl" w:cs="FrankRuehl"/>
        <w:noProof/>
        <w:rtl/>
      </w:rPr>
      <w:t>1</w:t>
    </w:r>
    <w:r>
      <w:rPr>
        <w:rFonts w:ascii="FrankRuehl" w:hAnsi="FrankRuehl" w:cs="FrankRuehl"/>
        <w:rtl/>
      </w:rPr>
      <w:fldChar w:fldCharType="end"/>
    </w:r>
  </w:p>
  <w:p w14:paraId="2693A152" w14:textId="77777777" w:rsidR="0038753D" w:rsidRPr="00F870B4" w:rsidRDefault="0038753D" w:rsidP="00F870B4">
    <w:pPr>
      <w:pStyle w:val="a4"/>
      <w:pBdr>
        <w:top w:val="single" w:sz="4" w:space="1" w:color="auto"/>
        <w:between w:val="single" w:sz="4" w:space="0" w:color="auto"/>
      </w:pBdr>
      <w:spacing w:after="60"/>
      <w:jc w:val="center"/>
      <w:rPr>
        <w:rFonts w:ascii="FrankRuehl" w:hAnsi="FrankRuehl" w:cs="FrankRuehl"/>
        <w:color w:val="000000"/>
      </w:rPr>
    </w:pPr>
    <w:r w:rsidRPr="00F870B4">
      <w:rPr>
        <w:rFonts w:ascii="FrankRuehl" w:hAnsi="FrankRuehl" w:cs="FrankRuehl"/>
        <w:color w:val="000000"/>
      </w:rPr>
      <w:pict w14:anchorId="610782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EB4361" w14:textId="77777777" w:rsidR="0038753D" w:rsidRDefault="0038753D">
      <w:r>
        <w:separator/>
      </w:r>
    </w:p>
  </w:footnote>
  <w:footnote w:type="continuationSeparator" w:id="0">
    <w:p w14:paraId="18BF60B4" w14:textId="77777777" w:rsidR="0038753D" w:rsidRDefault="003875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136203" w14:textId="77777777" w:rsidR="0038753D" w:rsidRPr="00F870B4" w:rsidRDefault="0038753D" w:rsidP="00F870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2090-08-12</w:t>
    </w:r>
    <w:r>
      <w:rPr>
        <w:rFonts w:ascii="David" w:hAnsi="David"/>
        <w:color w:val="000000"/>
        <w:sz w:val="22"/>
        <w:szCs w:val="22"/>
        <w:rtl/>
      </w:rPr>
      <w:tab/>
      <w:t xml:space="preserve"> מדינת ישראל נ' טל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C1EF3" w14:textId="77777777" w:rsidR="0038753D" w:rsidRPr="00F870B4" w:rsidRDefault="0038753D" w:rsidP="00F870B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2090-08-12</w:t>
    </w:r>
    <w:r>
      <w:rPr>
        <w:rFonts w:ascii="David" w:hAnsi="David"/>
        <w:color w:val="000000"/>
        <w:sz w:val="22"/>
        <w:szCs w:val="22"/>
        <w:rtl/>
      </w:rPr>
      <w:tab/>
      <w:t xml:space="preserve"> מדינת ישראל נ' טל כהן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560C7"/>
    <w:rsid w:val="00183313"/>
    <w:rsid w:val="001A4BAD"/>
    <w:rsid w:val="001F2A6A"/>
    <w:rsid w:val="0038753D"/>
    <w:rsid w:val="00745BB1"/>
    <w:rsid w:val="00B408A5"/>
    <w:rsid w:val="00B560C7"/>
    <w:rsid w:val="00D860EB"/>
    <w:rsid w:val="00F870B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992077"/>
  <w15:chartTrackingRefBased/>
  <w15:docId w15:val="{9F8B5AB9-1F33-460B-9AF9-76DD76C78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560C7"/>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560C7"/>
    <w:pPr>
      <w:tabs>
        <w:tab w:val="center" w:pos="4153"/>
        <w:tab w:val="right" w:pos="8306"/>
      </w:tabs>
    </w:pPr>
  </w:style>
  <w:style w:type="paragraph" w:styleId="a4">
    <w:name w:val="footer"/>
    <w:basedOn w:val="a"/>
    <w:rsid w:val="00B560C7"/>
    <w:pPr>
      <w:tabs>
        <w:tab w:val="center" w:pos="4153"/>
        <w:tab w:val="right" w:pos="8306"/>
      </w:tabs>
    </w:pPr>
  </w:style>
  <w:style w:type="character" w:styleId="a5">
    <w:name w:val="page number"/>
    <w:basedOn w:val="a0"/>
    <w:rsid w:val="00B560C7"/>
  </w:style>
  <w:style w:type="character" w:styleId="Hyperlink">
    <w:name w:val="Hyperlink"/>
    <w:basedOn w:val="a0"/>
    <w:rsid w:val="00F870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4216/7.a."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4216" TargetMode="External"/><Relationship Id="rId4" Type="http://schemas.openxmlformats.org/officeDocument/2006/relationships/footnotes" Target="footnotes.xml"/><Relationship Id="rId9" Type="http://schemas.openxmlformats.org/officeDocument/2006/relationships/hyperlink" Target="http://www.nevo.co.il/law/4216/7.a.;7.c"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705</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4227</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2025-04-22T21:48:00Z</dcterms:created>
  <dcterms:modified xsi:type="dcterms:W3CDTF">2025-04-22T21:48:00Z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2090</vt:lpwstr>
  </property>
  <property fmtid="{D5CDD505-2E9C-101B-9397-08002B2CF9AE}" pid="6" name="NEWPARTB">
    <vt:lpwstr>08</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טל כהן</vt:lpwstr>
  </property>
  <property fmtid="{D5CDD505-2E9C-101B-9397-08002B2CF9AE}" pid="10" name="LAWYER">
    <vt:lpwstr>אביטל פורטנוי;ירון פורר</vt:lpwstr>
  </property>
  <property fmtid="{D5CDD505-2E9C-101B-9397-08002B2CF9AE}" pid="11" name="JUDGE">
    <vt:lpwstr>עינת רון</vt:lpwstr>
  </property>
  <property fmtid="{D5CDD505-2E9C-101B-9397-08002B2CF9AE}" pid="12" name="CITY">
    <vt:lpwstr>רח'</vt:lpwstr>
  </property>
  <property fmtid="{D5CDD505-2E9C-101B-9397-08002B2CF9AE}" pid="13" name="DATE">
    <vt:lpwstr>20151104</vt:lpwstr>
  </property>
  <property fmtid="{D5CDD505-2E9C-101B-9397-08002B2CF9AE}" pid="14" name="TYPE_N_DATE">
    <vt:lpwstr>38020151104</vt:lpwstr>
  </property>
  <property fmtid="{D5CDD505-2E9C-101B-9397-08002B2CF9AE}" pid="15" name="WORDNUMPAGES">
    <vt:lpwstr>4</vt:lpwstr>
  </property>
  <property fmtid="{D5CDD505-2E9C-101B-9397-08002B2CF9AE}" pid="16" name="TYPE_ABS_DATE">
    <vt:lpwstr>380020151104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4216/007.a;007.c</vt:lpwstr>
  </property>
</Properties>
</file>