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85B5A" w:rsidRPr="00A80052" w14:paraId="6A2DF875" w14:textId="77777777" w:rsidTr="00A12570">
        <w:trPr>
          <w:trHeight w:hRule="exact" w:val="418"/>
          <w:jc w:val="center"/>
        </w:trPr>
        <w:tc>
          <w:tcPr>
            <w:tcW w:w="8720" w:type="dxa"/>
            <w:gridSpan w:val="3"/>
          </w:tcPr>
          <w:p w14:paraId="0C7E73D2" w14:textId="77777777" w:rsidR="00F85B5A" w:rsidRPr="00A80052" w:rsidRDefault="00F85B5A" w:rsidP="00A12570">
            <w:pPr>
              <w:pStyle w:val="a3"/>
              <w:tabs>
                <w:tab w:val="clear" w:pos="8306"/>
              </w:tabs>
              <w:jc w:val="center"/>
              <w:rPr>
                <w:rFonts w:ascii="Tahoma" w:hAnsi="Tahoma" w:cs="Tahoma"/>
                <w:b/>
                <w:bCs/>
                <w:color w:val="000080"/>
                <w:sz w:val="20"/>
                <w:szCs w:val="20"/>
                <w:rtl/>
              </w:rPr>
            </w:pPr>
            <w:bookmarkStart w:id="0" w:name="LastJudge"/>
            <w:r w:rsidRPr="00A80052">
              <w:rPr>
                <w:rFonts w:ascii="Tahoma" w:hAnsi="Tahoma" w:cs="Tahoma"/>
                <w:b/>
                <w:bCs/>
                <w:color w:val="000080"/>
                <w:sz w:val="20"/>
                <w:szCs w:val="20"/>
                <w:rtl/>
              </w:rPr>
              <w:t>בית משפט השלום בנתניה</w:t>
            </w:r>
          </w:p>
        </w:tc>
      </w:tr>
      <w:tr w:rsidR="00F85B5A" w:rsidRPr="00A80052" w14:paraId="2D794D90" w14:textId="77777777" w:rsidTr="00A12570">
        <w:trPr>
          <w:trHeight w:val="337"/>
          <w:jc w:val="center"/>
        </w:trPr>
        <w:tc>
          <w:tcPr>
            <w:tcW w:w="6396" w:type="dxa"/>
          </w:tcPr>
          <w:p w14:paraId="00A1910D" w14:textId="77777777" w:rsidR="00F85B5A" w:rsidRPr="00A80052" w:rsidRDefault="00F85B5A" w:rsidP="00A12570">
            <w:pPr>
              <w:rPr>
                <w:b/>
                <w:bCs/>
                <w:sz w:val="26"/>
                <w:szCs w:val="26"/>
                <w:rtl/>
              </w:rPr>
            </w:pPr>
            <w:r w:rsidRPr="00A80052">
              <w:rPr>
                <w:b/>
                <w:bCs/>
                <w:sz w:val="26"/>
                <w:szCs w:val="26"/>
                <w:rtl/>
              </w:rPr>
              <w:t>ת"פ</w:t>
            </w:r>
            <w:r w:rsidRPr="00A80052">
              <w:rPr>
                <w:rFonts w:hint="cs"/>
                <w:b/>
                <w:bCs/>
                <w:sz w:val="26"/>
                <w:szCs w:val="26"/>
                <w:rtl/>
              </w:rPr>
              <w:t xml:space="preserve"> </w:t>
            </w:r>
            <w:r w:rsidRPr="00A80052">
              <w:rPr>
                <w:b/>
                <w:bCs/>
                <w:sz w:val="26"/>
                <w:szCs w:val="26"/>
                <w:rtl/>
              </w:rPr>
              <w:t>8400-08-12</w:t>
            </w:r>
            <w:r w:rsidRPr="00A80052">
              <w:rPr>
                <w:rFonts w:hint="cs"/>
                <w:b/>
                <w:bCs/>
                <w:sz w:val="26"/>
                <w:szCs w:val="26"/>
                <w:rtl/>
              </w:rPr>
              <w:t xml:space="preserve"> </w:t>
            </w:r>
            <w:r w:rsidRPr="00A80052">
              <w:rPr>
                <w:b/>
                <w:bCs/>
                <w:sz w:val="26"/>
                <w:szCs w:val="26"/>
                <w:rtl/>
              </w:rPr>
              <w:t>מדינת ישראל נ' אברמוב</w:t>
            </w:r>
            <w:r w:rsidRPr="00A80052">
              <w:rPr>
                <w:b/>
                <w:bCs/>
                <w:sz w:val="26"/>
                <w:szCs w:val="26"/>
                <w:rtl/>
              </w:rPr>
              <w:br/>
            </w:r>
            <w:r w:rsidRPr="00A80052">
              <w:rPr>
                <w:rFonts w:hint="cs"/>
                <w:rtl/>
              </w:rPr>
              <w:t>ת"פ 19283-04-15</w:t>
            </w:r>
          </w:p>
          <w:p w14:paraId="51464C74" w14:textId="77777777" w:rsidR="00F85B5A" w:rsidRPr="00A80052" w:rsidRDefault="00F85B5A" w:rsidP="00A12570">
            <w:pPr>
              <w:rPr>
                <w:b/>
                <w:bCs/>
                <w:sz w:val="26"/>
                <w:szCs w:val="26"/>
                <w:rtl/>
              </w:rPr>
            </w:pPr>
          </w:p>
        </w:tc>
        <w:tc>
          <w:tcPr>
            <w:tcW w:w="236" w:type="dxa"/>
          </w:tcPr>
          <w:p w14:paraId="10EFE8D8" w14:textId="77777777" w:rsidR="00F85B5A" w:rsidRPr="00A80052" w:rsidRDefault="00F85B5A" w:rsidP="00A12570">
            <w:pPr>
              <w:pStyle w:val="a3"/>
              <w:jc w:val="right"/>
              <w:rPr>
                <w:b/>
                <w:bCs/>
                <w:sz w:val="26"/>
                <w:szCs w:val="26"/>
                <w:rtl/>
              </w:rPr>
            </w:pPr>
          </w:p>
        </w:tc>
        <w:tc>
          <w:tcPr>
            <w:tcW w:w="2088" w:type="dxa"/>
          </w:tcPr>
          <w:p w14:paraId="5EC45838" w14:textId="77777777" w:rsidR="00F85B5A" w:rsidRPr="00A80052" w:rsidRDefault="00F85B5A" w:rsidP="00A12570">
            <w:pPr>
              <w:pStyle w:val="a3"/>
              <w:tabs>
                <w:tab w:val="clear" w:pos="4153"/>
              </w:tabs>
              <w:jc w:val="right"/>
              <w:rPr>
                <w:b/>
                <w:bCs/>
                <w:sz w:val="26"/>
                <w:szCs w:val="26"/>
                <w:rtl/>
              </w:rPr>
            </w:pPr>
            <w:r w:rsidRPr="00A80052">
              <w:rPr>
                <w:b/>
                <w:bCs/>
                <w:sz w:val="26"/>
                <w:szCs w:val="26"/>
                <w:rtl/>
              </w:rPr>
              <w:t>20 יולי 2017</w:t>
            </w:r>
          </w:p>
        </w:tc>
      </w:tr>
    </w:tbl>
    <w:p w14:paraId="21A15266" w14:textId="77777777" w:rsidR="00F85B5A" w:rsidRPr="00A80052" w:rsidRDefault="00F85B5A" w:rsidP="00F85B5A">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F85B5A" w:rsidRPr="00A80052" w14:paraId="5E7CEF32" w14:textId="77777777" w:rsidTr="00A12570">
        <w:trPr>
          <w:trHeight w:val="337"/>
          <w:jc w:val="center"/>
        </w:trPr>
        <w:tc>
          <w:tcPr>
            <w:tcW w:w="1592" w:type="dxa"/>
          </w:tcPr>
          <w:p w14:paraId="44E2D8AA" w14:textId="77777777" w:rsidR="00F85B5A" w:rsidRPr="00A80052" w:rsidRDefault="00F85B5A" w:rsidP="001C2010">
            <w:pPr>
              <w:bidi w:val="0"/>
              <w:rPr>
                <w:rFonts w:ascii="Times New Roman" w:hAnsi="Times New Roman"/>
              </w:rPr>
            </w:pPr>
          </w:p>
        </w:tc>
        <w:tc>
          <w:tcPr>
            <w:tcW w:w="7128" w:type="dxa"/>
          </w:tcPr>
          <w:p w14:paraId="4D9EC1C8" w14:textId="77777777" w:rsidR="00F85B5A" w:rsidRPr="00A80052" w:rsidRDefault="00F85B5A" w:rsidP="00A12570">
            <w:pPr>
              <w:pStyle w:val="a3"/>
              <w:rPr>
                <w:b/>
                <w:bCs/>
                <w:sz w:val="4"/>
                <w:szCs w:val="4"/>
                <w:rtl/>
              </w:rPr>
            </w:pPr>
            <w:r w:rsidRPr="00A80052">
              <w:rPr>
                <w:rFonts w:hint="cs"/>
                <w:b/>
                <w:bCs/>
                <w:rtl/>
              </w:rPr>
              <w:t xml:space="preserve">                      </w:t>
            </w:r>
            <w:r w:rsidRPr="00A80052">
              <w:rPr>
                <w:b/>
                <w:bCs/>
                <w:rtl/>
              </w:rPr>
              <w:t xml:space="preserve"> פ"א - מעודכן 2009</w:t>
            </w:r>
            <w:r w:rsidRPr="00A80052">
              <w:rPr>
                <w:rFonts w:hint="cs"/>
                <w:b/>
                <w:bCs/>
                <w:rtl/>
              </w:rPr>
              <w:t xml:space="preserve"> </w:t>
            </w:r>
            <w:r w:rsidRPr="00A80052">
              <w:rPr>
                <w:rFonts w:hint="eastAsia"/>
                <w:b/>
                <w:bCs/>
                <w:rtl/>
              </w:rPr>
              <w:t>0-5110-20101-1015</w:t>
            </w:r>
          </w:p>
        </w:tc>
      </w:tr>
    </w:tbl>
    <w:p w14:paraId="79F12D53" w14:textId="77777777" w:rsidR="00F85B5A" w:rsidRPr="00A80052" w:rsidRDefault="00F85B5A" w:rsidP="00F85B5A">
      <w:pPr>
        <w:spacing w:line="360" w:lineRule="auto"/>
        <w:jc w:val="both"/>
        <w:rPr>
          <w:rFonts w:hint="cs"/>
          <w:rtl/>
        </w:rPr>
      </w:pPr>
    </w:p>
    <w:tbl>
      <w:tblPr>
        <w:bidiVisual/>
        <w:tblW w:w="8802" w:type="dxa"/>
        <w:tblInd w:w="-28" w:type="dxa"/>
        <w:tblLook w:val="01E0" w:firstRow="1" w:lastRow="1" w:firstColumn="1" w:lastColumn="1" w:noHBand="0" w:noVBand="0"/>
      </w:tblPr>
      <w:tblGrid>
        <w:gridCol w:w="2880"/>
        <w:gridCol w:w="5838"/>
        <w:gridCol w:w="84"/>
      </w:tblGrid>
      <w:tr w:rsidR="00A12570" w:rsidRPr="00A80052" w14:paraId="1634E059" w14:textId="77777777" w:rsidTr="00F85B5A">
        <w:trPr>
          <w:gridAfter w:val="1"/>
          <w:wAfter w:w="56" w:type="dxa"/>
        </w:trPr>
        <w:tc>
          <w:tcPr>
            <w:tcW w:w="8718" w:type="dxa"/>
            <w:gridSpan w:val="2"/>
            <w:shd w:val="clear" w:color="auto" w:fill="auto"/>
          </w:tcPr>
          <w:p w14:paraId="3464B307" w14:textId="77777777" w:rsidR="00F85B5A" w:rsidRPr="00A80052" w:rsidRDefault="00F85B5A" w:rsidP="00A12570">
            <w:pPr>
              <w:rPr>
                <w:b/>
                <w:bCs/>
                <w:sz w:val="26"/>
                <w:szCs w:val="26"/>
                <w:rtl/>
              </w:rPr>
            </w:pPr>
            <w:r w:rsidRPr="00A80052">
              <w:rPr>
                <w:rFonts w:hint="cs"/>
                <w:b/>
                <w:bCs/>
                <w:sz w:val="26"/>
                <w:szCs w:val="26"/>
                <w:rtl/>
              </w:rPr>
              <w:t>לפני כבוד ה</w:t>
            </w:r>
            <w:r w:rsidRPr="00A80052">
              <w:rPr>
                <w:b/>
                <w:bCs/>
                <w:sz w:val="26"/>
                <w:szCs w:val="26"/>
                <w:rtl/>
              </w:rPr>
              <w:t>שופט עמית פרייז</w:t>
            </w:r>
            <w:r w:rsidRPr="00A80052">
              <w:rPr>
                <w:rStyle w:val="TimesNewRomanTimesNewRoman"/>
                <w:rtl/>
              </w:rPr>
              <w:t xml:space="preserve"> </w:t>
            </w:r>
          </w:p>
        </w:tc>
      </w:tr>
      <w:tr w:rsidR="00A12570" w:rsidRPr="00A80052" w14:paraId="783A0FB8" w14:textId="77777777" w:rsidTr="00F85B5A">
        <w:trPr>
          <w:cantSplit/>
          <w:trHeight w:val="724"/>
        </w:trPr>
        <w:tc>
          <w:tcPr>
            <w:tcW w:w="2880" w:type="dxa"/>
            <w:shd w:val="clear" w:color="auto" w:fill="auto"/>
          </w:tcPr>
          <w:p w14:paraId="058F70C8" w14:textId="77777777" w:rsidR="00F85B5A" w:rsidRPr="00A80052" w:rsidRDefault="00F85B5A" w:rsidP="00F85B5A">
            <w:pPr>
              <w:ind w:left="26"/>
              <w:rPr>
                <w:b/>
                <w:bCs/>
                <w:sz w:val="26"/>
                <w:szCs w:val="26"/>
                <w:rtl/>
              </w:rPr>
            </w:pPr>
            <w:bookmarkStart w:id="1" w:name="FirstAppellant"/>
          </w:p>
          <w:p w14:paraId="6AE64FD7" w14:textId="77777777" w:rsidR="00F85B5A" w:rsidRPr="00A80052" w:rsidRDefault="00F85B5A" w:rsidP="00F85B5A">
            <w:pPr>
              <w:ind w:left="26"/>
              <w:rPr>
                <w:b/>
                <w:bCs/>
                <w:sz w:val="26"/>
                <w:szCs w:val="26"/>
                <w:rtl/>
              </w:rPr>
            </w:pPr>
            <w:r w:rsidRPr="00A80052">
              <w:rPr>
                <w:rFonts w:hint="cs"/>
                <w:b/>
                <w:bCs/>
                <w:sz w:val="26"/>
                <w:szCs w:val="26"/>
                <w:rtl/>
              </w:rPr>
              <w:t>ה</w:t>
            </w:r>
            <w:r w:rsidRPr="00A80052">
              <w:rPr>
                <w:b/>
                <w:bCs/>
                <w:sz w:val="26"/>
                <w:szCs w:val="26"/>
                <w:rtl/>
              </w:rPr>
              <w:t>מאשימה</w:t>
            </w:r>
          </w:p>
        </w:tc>
        <w:tc>
          <w:tcPr>
            <w:tcW w:w="5922" w:type="dxa"/>
            <w:gridSpan w:val="2"/>
            <w:shd w:val="clear" w:color="auto" w:fill="auto"/>
          </w:tcPr>
          <w:p w14:paraId="2091EB3C" w14:textId="77777777" w:rsidR="00F85B5A" w:rsidRPr="00A80052" w:rsidRDefault="00F85B5A" w:rsidP="00A12570">
            <w:pPr>
              <w:rPr>
                <w:rtl/>
              </w:rPr>
            </w:pPr>
          </w:p>
          <w:p w14:paraId="18FA27A7" w14:textId="77777777" w:rsidR="00F85B5A" w:rsidRPr="00A80052" w:rsidRDefault="00F85B5A" w:rsidP="00A12570">
            <w:pPr>
              <w:rPr>
                <w:b/>
                <w:bCs/>
                <w:sz w:val="26"/>
                <w:szCs w:val="26"/>
                <w:rtl/>
              </w:rPr>
            </w:pPr>
            <w:r w:rsidRPr="00A80052">
              <w:rPr>
                <w:rFonts w:hint="cs"/>
                <w:rtl/>
              </w:rPr>
              <w:t xml:space="preserve"> </w:t>
            </w:r>
            <w:r w:rsidRPr="00A80052">
              <w:rPr>
                <w:b/>
                <w:bCs/>
                <w:sz w:val="26"/>
                <w:szCs w:val="26"/>
                <w:rtl/>
              </w:rPr>
              <w:t>מדינת ישראל</w:t>
            </w:r>
          </w:p>
          <w:p w14:paraId="4FCFF6C0" w14:textId="77777777" w:rsidR="00F85B5A" w:rsidRPr="00A80052" w:rsidRDefault="00F85B5A" w:rsidP="00A12570">
            <w:pPr>
              <w:rPr>
                <w:b/>
                <w:bCs/>
                <w:sz w:val="26"/>
                <w:szCs w:val="26"/>
                <w:rtl/>
              </w:rPr>
            </w:pPr>
          </w:p>
        </w:tc>
      </w:tr>
      <w:bookmarkEnd w:id="1"/>
      <w:tr w:rsidR="00A12570" w:rsidRPr="00A80052" w14:paraId="071FAF6D" w14:textId="77777777" w:rsidTr="00F85B5A">
        <w:tc>
          <w:tcPr>
            <w:tcW w:w="8802" w:type="dxa"/>
            <w:gridSpan w:val="3"/>
            <w:shd w:val="clear" w:color="auto" w:fill="auto"/>
            <w:vAlign w:val="center"/>
          </w:tcPr>
          <w:p w14:paraId="6679FC3A" w14:textId="77777777" w:rsidR="00F85B5A" w:rsidRPr="00A80052" w:rsidRDefault="00F85B5A" w:rsidP="00F85B5A">
            <w:pPr>
              <w:jc w:val="center"/>
              <w:rPr>
                <w:rFonts w:ascii="Arial" w:hAnsi="Arial"/>
                <w:b/>
                <w:bCs/>
                <w:sz w:val="26"/>
                <w:szCs w:val="26"/>
                <w:rtl/>
              </w:rPr>
            </w:pPr>
          </w:p>
          <w:p w14:paraId="70CE3CF8" w14:textId="77777777" w:rsidR="00F85B5A" w:rsidRPr="00A80052" w:rsidRDefault="00F85B5A" w:rsidP="00F85B5A">
            <w:pPr>
              <w:jc w:val="center"/>
              <w:rPr>
                <w:rFonts w:ascii="Arial" w:hAnsi="Arial"/>
                <w:b/>
                <w:bCs/>
                <w:sz w:val="26"/>
                <w:szCs w:val="26"/>
                <w:rtl/>
              </w:rPr>
            </w:pPr>
            <w:r w:rsidRPr="00A80052">
              <w:rPr>
                <w:rFonts w:ascii="Arial" w:hAnsi="Arial"/>
                <w:b/>
                <w:bCs/>
                <w:sz w:val="26"/>
                <w:szCs w:val="26"/>
                <w:rtl/>
              </w:rPr>
              <w:t>נגד</w:t>
            </w:r>
          </w:p>
          <w:p w14:paraId="3305F89F" w14:textId="77777777" w:rsidR="00F85B5A" w:rsidRPr="00A80052" w:rsidRDefault="00F85B5A" w:rsidP="00A12570">
            <w:pPr>
              <w:rPr>
                <w:rFonts w:ascii="Arial" w:hAnsi="Arial"/>
                <w:b/>
                <w:bCs/>
                <w:sz w:val="26"/>
                <w:szCs w:val="26"/>
              </w:rPr>
            </w:pPr>
          </w:p>
        </w:tc>
      </w:tr>
      <w:tr w:rsidR="00A12570" w:rsidRPr="00A80052" w14:paraId="000C9235" w14:textId="77777777" w:rsidTr="00F85B5A">
        <w:tc>
          <w:tcPr>
            <w:tcW w:w="2880" w:type="dxa"/>
            <w:shd w:val="clear" w:color="auto" w:fill="auto"/>
          </w:tcPr>
          <w:p w14:paraId="65999CE5" w14:textId="77777777" w:rsidR="00F85B5A" w:rsidRPr="00A80052" w:rsidRDefault="00F85B5A" w:rsidP="00F85B5A">
            <w:pPr>
              <w:ind w:left="26"/>
              <w:rPr>
                <w:b/>
                <w:bCs/>
                <w:sz w:val="26"/>
                <w:szCs w:val="26"/>
                <w:rtl/>
              </w:rPr>
            </w:pPr>
            <w:r w:rsidRPr="00A80052">
              <w:rPr>
                <w:rFonts w:hint="cs"/>
                <w:b/>
                <w:bCs/>
                <w:sz w:val="26"/>
                <w:szCs w:val="26"/>
                <w:rtl/>
              </w:rPr>
              <w:t>ה</w:t>
            </w:r>
            <w:r w:rsidRPr="00A80052">
              <w:rPr>
                <w:b/>
                <w:bCs/>
                <w:sz w:val="26"/>
                <w:szCs w:val="26"/>
                <w:rtl/>
              </w:rPr>
              <w:t>נאשם</w:t>
            </w:r>
          </w:p>
        </w:tc>
        <w:tc>
          <w:tcPr>
            <w:tcW w:w="5922" w:type="dxa"/>
            <w:gridSpan w:val="2"/>
            <w:shd w:val="clear" w:color="auto" w:fill="auto"/>
          </w:tcPr>
          <w:p w14:paraId="5124F527" w14:textId="77777777" w:rsidR="00F85B5A" w:rsidRPr="00A80052" w:rsidRDefault="00F85B5A" w:rsidP="00A12570">
            <w:pPr>
              <w:rPr>
                <w:b/>
                <w:bCs/>
                <w:sz w:val="26"/>
                <w:szCs w:val="26"/>
                <w:rtl/>
              </w:rPr>
            </w:pPr>
            <w:r w:rsidRPr="00A80052">
              <w:rPr>
                <w:rFonts w:hint="cs"/>
                <w:rtl/>
              </w:rPr>
              <w:t xml:space="preserve"> </w:t>
            </w:r>
            <w:r w:rsidRPr="00A80052">
              <w:rPr>
                <w:b/>
                <w:bCs/>
                <w:sz w:val="26"/>
                <w:szCs w:val="26"/>
                <w:rtl/>
              </w:rPr>
              <w:t>מיכאל אברמוב</w:t>
            </w:r>
            <w:r w:rsidRPr="00A80052">
              <w:rPr>
                <w:rFonts w:hint="cs"/>
                <w:rtl/>
              </w:rPr>
              <w:t xml:space="preserve"> </w:t>
            </w:r>
            <w:r w:rsidRPr="00A80052">
              <w:rPr>
                <w:rFonts w:hint="eastAsia"/>
                <w:b/>
                <w:bCs/>
                <w:sz w:val="26"/>
                <w:szCs w:val="26"/>
                <w:rtl/>
              </w:rPr>
              <w:t>ת.ז.</w:t>
            </w:r>
            <w:r w:rsidRPr="00A80052">
              <w:rPr>
                <w:b/>
                <w:bCs/>
                <w:sz w:val="26"/>
                <w:szCs w:val="26"/>
                <w:rtl/>
              </w:rPr>
              <w:t xml:space="preserve"> </w:t>
            </w:r>
            <w:r w:rsidRPr="00A80052">
              <w:rPr>
                <w:rFonts w:hint="cs"/>
                <w:b/>
                <w:bCs/>
                <w:sz w:val="26"/>
                <w:szCs w:val="26"/>
                <w:rtl/>
              </w:rPr>
              <w:t xml:space="preserve"> </w:t>
            </w:r>
            <w:r w:rsidR="00A80052">
              <w:rPr>
                <w:b/>
                <w:bCs/>
                <w:sz w:val="26"/>
                <w:szCs w:val="26"/>
              </w:rPr>
              <w:t>xxxxxxxxxx</w:t>
            </w:r>
          </w:p>
          <w:p w14:paraId="11DDAB98" w14:textId="77777777" w:rsidR="00F85B5A" w:rsidRPr="00A80052" w:rsidRDefault="00F85B5A" w:rsidP="00A12570">
            <w:pPr>
              <w:rPr>
                <w:b/>
                <w:bCs/>
                <w:sz w:val="26"/>
                <w:szCs w:val="26"/>
                <w:rtl/>
              </w:rPr>
            </w:pPr>
          </w:p>
        </w:tc>
      </w:tr>
    </w:tbl>
    <w:p w14:paraId="7D51A044" w14:textId="77777777" w:rsidR="00F85B5A" w:rsidRPr="00A80052" w:rsidRDefault="00F85B5A" w:rsidP="00F85B5A">
      <w:pPr>
        <w:spacing w:line="360" w:lineRule="auto"/>
        <w:jc w:val="both"/>
        <w:rPr>
          <w:rtl/>
        </w:rPr>
      </w:pPr>
    </w:p>
    <w:p w14:paraId="3F7E4691" w14:textId="77777777" w:rsidR="00F85B5A" w:rsidRPr="00A80052" w:rsidRDefault="00F85B5A" w:rsidP="00F85B5A">
      <w:pPr>
        <w:spacing w:line="360" w:lineRule="auto"/>
        <w:jc w:val="both"/>
        <w:rPr>
          <w:sz w:val="6"/>
          <w:szCs w:val="6"/>
          <w:rtl/>
        </w:rPr>
      </w:pPr>
      <w:r w:rsidRPr="00A80052">
        <w:rPr>
          <w:sz w:val="6"/>
          <w:szCs w:val="6"/>
          <w:rtl/>
        </w:rPr>
        <w:t>&lt;#1#&gt;</w:t>
      </w:r>
    </w:p>
    <w:p w14:paraId="6A660582" w14:textId="77777777" w:rsidR="00F85B5A" w:rsidRPr="00A80052" w:rsidRDefault="00F85B5A" w:rsidP="00F85B5A">
      <w:pPr>
        <w:pStyle w:val="12"/>
        <w:rPr>
          <w:b w:val="0"/>
          <w:bCs w:val="0"/>
          <w:u w:val="none"/>
          <w:rtl/>
        </w:rPr>
      </w:pPr>
    </w:p>
    <w:p w14:paraId="66EE4E73" w14:textId="77777777" w:rsidR="00F85B5A" w:rsidRPr="00A80052" w:rsidRDefault="00F85B5A" w:rsidP="00F85B5A">
      <w:pPr>
        <w:pStyle w:val="12"/>
        <w:spacing w:line="360" w:lineRule="auto"/>
        <w:rPr>
          <w:b w:val="0"/>
          <w:bCs w:val="0"/>
          <w:u w:val="none"/>
          <w:rtl/>
        </w:rPr>
      </w:pPr>
      <w:r w:rsidRPr="00A80052">
        <w:rPr>
          <w:rFonts w:hint="cs"/>
          <w:u w:val="none"/>
          <w:rtl/>
        </w:rPr>
        <w:t>נוכחים</w:t>
      </w:r>
      <w:r w:rsidRPr="00A80052">
        <w:rPr>
          <w:rFonts w:hint="cs"/>
          <w:b w:val="0"/>
          <w:bCs w:val="0"/>
          <w:u w:val="none"/>
          <w:rtl/>
        </w:rPr>
        <w:t>:</w:t>
      </w:r>
    </w:p>
    <w:p w14:paraId="5F448624" w14:textId="77777777" w:rsidR="00F85B5A" w:rsidRPr="00A80052" w:rsidRDefault="00F85B5A" w:rsidP="00F85B5A">
      <w:pPr>
        <w:pStyle w:val="12"/>
        <w:spacing w:line="360" w:lineRule="auto"/>
        <w:rPr>
          <w:b w:val="0"/>
          <w:bCs w:val="0"/>
          <w:u w:val="none"/>
          <w:rtl/>
        </w:rPr>
      </w:pPr>
      <w:bookmarkStart w:id="2" w:name="FirstLawyer"/>
      <w:r w:rsidRPr="00A80052">
        <w:rPr>
          <w:rFonts w:hint="cs"/>
          <w:b w:val="0"/>
          <w:bCs w:val="0"/>
          <w:u w:val="none"/>
          <w:rtl/>
        </w:rPr>
        <w:t>ב"כ</w:t>
      </w:r>
      <w:bookmarkEnd w:id="2"/>
      <w:r w:rsidRPr="00A80052">
        <w:rPr>
          <w:rFonts w:hint="cs"/>
          <w:b w:val="0"/>
          <w:bCs w:val="0"/>
          <w:u w:val="none"/>
          <w:rtl/>
        </w:rPr>
        <w:t xml:space="preserve"> המאשימה </w:t>
      </w:r>
      <w:r w:rsidRPr="00A80052">
        <w:rPr>
          <w:b w:val="0"/>
          <w:bCs w:val="0"/>
          <w:u w:val="none"/>
          <w:rtl/>
        </w:rPr>
        <w:t>–</w:t>
      </w:r>
      <w:r w:rsidRPr="00A80052">
        <w:rPr>
          <w:rFonts w:hint="cs"/>
          <w:b w:val="0"/>
          <w:bCs w:val="0"/>
          <w:u w:val="none"/>
          <w:rtl/>
        </w:rPr>
        <w:t xml:space="preserve"> עו"ד רוני אלסטר</w:t>
      </w:r>
    </w:p>
    <w:p w14:paraId="62DAF04A" w14:textId="77777777" w:rsidR="00F85B5A" w:rsidRPr="00A80052" w:rsidRDefault="00F85B5A" w:rsidP="00F85B5A">
      <w:pPr>
        <w:pStyle w:val="12"/>
        <w:spacing w:line="360" w:lineRule="auto"/>
        <w:rPr>
          <w:b w:val="0"/>
          <w:bCs w:val="0"/>
          <w:u w:val="none"/>
          <w:rtl/>
        </w:rPr>
      </w:pPr>
      <w:r w:rsidRPr="00A80052">
        <w:rPr>
          <w:rFonts w:hint="cs"/>
          <w:b w:val="0"/>
          <w:bCs w:val="0"/>
          <w:u w:val="none"/>
          <w:rtl/>
        </w:rPr>
        <w:t xml:space="preserve">ב"כ הנאשם </w:t>
      </w:r>
      <w:r w:rsidRPr="00A80052">
        <w:rPr>
          <w:b w:val="0"/>
          <w:bCs w:val="0"/>
          <w:u w:val="none"/>
          <w:rtl/>
        </w:rPr>
        <w:t>–</w:t>
      </w:r>
      <w:r w:rsidRPr="00A80052">
        <w:rPr>
          <w:rFonts w:hint="cs"/>
          <w:b w:val="0"/>
          <w:bCs w:val="0"/>
          <w:u w:val="none"/>
          <w:rtl/>
        </w:rPr>
        <w:t xml:space="preserve"> עו"ד שפקמן </w:t>
      </w:r>
      <w:r w:rsidRPr="00A80052">
        <w:rPr>
          <w:b w:val="0"/>
          <w:bCs w:val="0"/>
          <w:u w:val="none"/>
          <w:rtl/>
        </w:rPr>
        <w:t>–</w:t>
      </w:r>
      <w:r w:rsidRPr="00A80052">
        <w:rPr>
          <w:rFonts w:hint="cs"/>
          <w:b w:val="0"/>
          <w:bCs w:val="0"/>
          <w:u w:val="none"/>
          <w:rtl/>
        </w:rPr>
        <w:t xml:space="preserve"> מטעם סנגוריה ציבורית</w:t>
      </w:r>
    </w:p>
    <w:p w14:paraId="04411F3A" w14:textId="77777777" w:rsidR="00F85B5A" w:rsidRPr="00A80052" w:rsidRDefault="00F85B5A" w:rsidP="00F85B5A">
      <w:pPr>
        <w:pStyle w:val="12"/>
        <w:spacing w:line="360" w:lineRule="auto"/>
        <w:rPr>
          <w:b w:val="0"/>
          <w:bCs w:val="0"/>
          <w:u w:val="none"/>
          <w:rtl/>
        </w:rPr>
      </w:pPr>
      <w:r w:rsidRPr="00A80052">
        <w:rPr>
          <w:rFonts w:hint="cs"/>
          <w:b w:val="0"/>
          <w:bCs w:val="0"/>
          <w:u w:val="none"/>
          <w:rtl/>
        </w:rPr>
        <w:t>הנאשם</w:t>
      </w:r>
    </w:p>
    <w:p w14:paraId="5157AD77" w14:textId="77777777" w:rsidR="00F85B5A" w:rsidRPr="00A80052" w:rsidRDefault="00F85B5A" w:rsidP="00F85B5A">
      <w:pPr>
        <w:pStyle w:val="12"/>
        <w:rPr>
          <w:b w:val="0"/>
          <w:bCs w:val="0"/>
          <w:u w:val="none"/>
          <w:rtl/>
        </w:rPr>
      </w:pPr>
    </w:p>
    <w:p w14:paraId="2BA68D51" w14:textId="77777777" w:rsidR="001C2010" w:rsidRDefault="00F85B5A" w:rsidP="00F85B5A">
      <w:pPr>
        <w:spacing w:line="360" w:lineRule="auto"/>
        <w:jc w:val="center"/>
        <w:rPr>
          <w:rFonts w:ascii="Arial" w:hAnsi="Arial"/>
          <w:sz w:val="28"/>
          <w:szCs w:val="28"/>
          <w:rtl/>
        </w:rPr>
      </w:pPr>
      <w:r w:rsidRPr="00A80052">
        <w:rPr>
          <w:rFonts w:ascii="Arial" w:hAnsi="Arial"/>
          <w:b/>
          <w:color w:val="FF0000"/>
          <w:sz w:val="28"/>
          <w:rtl/>
        </w:rPr>
        <w:t>במסמך זה הושמטו פרוטוקולים</w:t>
      </w:r>
      <w:bookmarkStart w:id="3" w:name="LawTable"/>
      <w:bookmarkEnd w:id="3"/>
    </w:p>
    <w:p w14:paraId="2F882329" w14:textId="77777777" w:rsidR="001C2010" w:rsidRPr="001C2010" w:rsidRDefault="001C2010" w:rsidP="001C2010">
      <w:pPr>
        <w:spacing w:after="120" w:line="240" w:lineRule="exact"/>
        <w:ind w:left="283" w:hanging="283"/>
        <w:jc w:val="both"/>
        <w:rPr>
          <w:rFonts w:ascii="FrankRuehl" w:hAnsi="FrankRuehl" w:cs="FrankRuehl"/>
          <w:rtl/>
        </w:rPr>
      </w:pPr>
    </w:p>
    <w:p w14:paraId="14B9A15B" w14:textId="77777777" w:rsidR="001C2010" w:rsidRPr="001C2010" w:rsidRDefault="001C2010" w:rsidP="001C2010">
      <w:pPr>
        <w:spacing w:after="120" w:line="240" w:lineRule="exact"/>
        <w:ind w:left="283" w:hanging="283"/>
        <w:jc w:val="both"/>
        <w:rPr>
          <w:rFonts w:ascii="FrankRuehl" w:hAnsi="FrankRuehl" w:cs="FrankRuehl"/>
          <w:rtl/>
        </w:rPr>
      </w:pPr>
      <w:r w:rsidRPr="001C2010">
        <w:rPr>
          <w:rFonts w:ascii="FrankRuehl" w:hAnsi="FrankRuehl" w:cs="FrankRuehl"/>
          <w:rtl/>
        </w:rPr>
        <w:t xml:space="preserve">חקיקה שאוזכרה: </w:t>
      </w:r>
    </w:p>
    <w:p w14:paraId="306FE226" w14:textId="77777777" w:rsidR="001C2010" w:rsidRPr="001C2010" w:rsidRDefault="001C2010" w:rsidP="001C2010">
      <w:pPr>
        <w:spacing w:after="120" w:line="240" w:lineRule="exact"/>
        <w:ind w:left="283" w:hanging="283"/>
        <w:jc w:val="both"/>
        <w:rPr>
          <w:rFonts w:ascii="FrankRuehl" w:hAnsi="FrankRuehl" w:cs="FrankRuehl"/>
          <w:rtl/>
        </w:rPr>
      </w:pPr>
      <w:hyperlink r:id="rId7" w:history="1">
        <w:r w:rsidRPr="001C2010">
          <w:rPr>
            <w:rFonts w:ascii="FrankRuehl" w:hAnsi="FrankRuehl" w:cs="FrankRuehl"/>
            <w:color w:val="0000FF"/>
            <w:u w:val="single"/>
            <w:rtl/>
          </w:rPr>
          <w:t>פקודת הסמים המסוכנים [נוסח חדש], תשל"ג-1973</w:t>
        </w:r>
      </w:hyperlink>
    </w:p>
    <w:p w14:paraId="4F438739" w14:textId="77777777" w:rsidR="001C2010" w:rsidRPr="001C2010" w:rsidRDefault="001C2010" w:rsidP="001C2010">
      <w:pPr>
        <w:spacing w:after="120" w:line="240" w:lineRule="exact"/>
        <w:ind w:left="283" w:hanging="283"/>
        <w:jc w:val="both"/>
        <w:rPr>
          <w:rFonts w:ascii="FrankRuehl" w:hAnsi="FrankRuehl" w:cs="FrankRuehl"/>
          <w:rtl/>
        </w:rPr>
      </w:pPr>
    </w:p>
    <w:p w14:paraId="6CA7711E" w14:textId="77777777" w:rsidR="00A80052" w:rsidRPr="00A80052" w:rsidRDefault="00A80052" w:rsidP="00A80052">
      <w:pPr>
        <w:spacing w:line="360" w:lineRule="auto"/>
        <w:jc w:val="center"/>
        <w:rPr>
          <w:rFonts w:ascii="Arial" w:hAnsi="Arial"/>
          <w:b/>
          <w:bCs/>
          <w:sz w:val="28"/>
          <w:szCs w:val="28"/>
          <w:u w:val="single"/>
          <w:rtl/>
        </w:rPr>
      </w:pPr>
      <w:bookmarkStart w:id="4" w:name="LawTable_End"/>
      <w:bookmarkStart w:id="5" w:name="PsakDin"/>
      <w:bookmarkEnd w:id="0"/>
      <w:bookmarkEnd w:id="4"/>
      <w:r w:rsidRPr="00A80052">
        <w:rPr>
          <w:rFonts w:ascii="Arial" w:hAnsi="Arial"/>
          <w:b/>
          <w:bCs/>
          <w:sz w:val="28"/>
          <w:szCs w:val="28"/>
          <w:u w:val="single"/>
          <w:rtl/>
        </w:rPr>
        <w:t>גזר דין</w:t>
      </w:r>
    </w:p>
    <w:bookmarkEnd w:id="5"/>
    <w:p w14:paraId="6EAB7CD0" w14:textId="77777777" w:rsidR="00F85B5A" w:rsidRDefault="00F85B5A" w:rsidP="00F85B5A">
      <w:pPr>
        <w:spacing w:line="360" w:lineRule="auto"/>
        <w:jc w:val="both"/>
        <w:rPr>
          <w:rFonts w:ascii="Arial" w:hAnsi="Arial"/>
        </w:rPr>
      </w:pPr>
    </w:p>
    <w:p w14:paraId="43E02D93" w14:textId="77777777" w:rsidR="00F85B5A" w:rsidRDefault="00F85B5A" w:rsidP="00F85B5A">
      <w:pPr>
        <w:tabs>
          <w:tab w:val="left" w:pos="566"/>
        </w:tabs>
        <w:spacing w:line="360" w:lineRule="auto"/>
        <w:jc w:val="both"/>
        <w:rPr>
          <w:rtl/>
        </w:rPr>
      </w:pPr>
      <w:bookmarkStart w:id="6" w:name="ABSTRACT_START"/>
      <w:bookmarkEnd w:id="6"/>
      <w:r w:rsidRPr="00300654">
        <w:rPr>
          <w:rFonts w:hint="cs"/>
          <w:rtl/>
        </w:rPr>
        <w:t>הנאשם הורשע על פי הודאתו, בביצוע עבירות של</w:t>
      </w:r>
      <w:r>
        <w:rPr>
          <w:rFonts w:hint="cs"/>
          <w:rtl/>
        </w:rPr>
        <w:t xml:space="preserve"> איומים והחזקת סמים לצריכה עצמית וזאת בגין שני ארועים שיפורטו להלן. </w:t>
      </w:r>
    </w:p>
    <w:p w14:paraId="0A413D8B" w14:textId="77777777" w:rsidR="00F85B5A" w:rsidRDefault="00F85B5A" w:rsidP="00F85B5A">
      <w:pPr>
        <w:tabs>
          <w:tab w:val="left" w:pos="566"/>
        </w:tabs>
        <w:spacing w:line="360" w:lineRule="auto"/>
        <w:jc w:val="both"/>
        <w:rPr>
          <w:rtl/>
        </w:rPr>
      </w:pPr>
      <w:bookmarkStart w:id="7" w:name="ABSTRACT_END"/>
      <w:bookmarkEnd w:id="7"/>
    </w:p>
    <w:p w14:paraId="03E2A882" w14:textId="77777777" w:rsidR="00F85B5A" w:rsidRDefault="00F85B5A" w:rsidP="00F85B5A">
      <w:pPr>
        <w:tabs>
          <w:tab w:val="left" w:pos="566"/>
        </w:tabs>
        <w:spacing w:line="360" w:lineRule="auto"/>
        <w:jc w:val="both"/>
        <w:rPr>
          <w:rtl/>
        </w:rPr>
      </w:pPr>
      <w:r>
        <w:rPr>
          <w:rFonts w:hint="cs"/>
          <w:rtl/>
        </w:rPr>
        <w:t>הארוע הראשון התרחש בחודש יולי 2010 כאשר הנאשם החזיק בביתו בקבוק עם סם מסוכן מסוג מטדון בנפח של כ-5 מיליליטר.</w:t>
      </w:r>
    </w:p>
    <w:p w14:paraId="296740BF" w14:textId="77777777" w:rsidR="00F85B5A" w:rsidRDefault="00F85B5A" w:rsidP="00F85B5A">
      <w:pPr>
        <w:tabs>
          <w:tab w:val="left" w:pos="566"/>
        </w:tabs>
        <w:spacing w:line="360" w:lineRule="auto"/>
        <w:jc w:val="both"/>
        <w:rPr>
          <w:rtl/>
        </w:rPr>
      </w:pPr>
    </w:p>
    <w:p w14:paraId="792B97BB" w14:textId="77777777" w:rsidR="00F85B5A" w:rsidRDefault="00F85B5A" w:rsidP="00F85B5A">
      <w:pPr>
        <w:tabs>
          <w:tab w:val="left" w:pos="566"/>
        </w:tabs>
        <w:spacing w:line="360" w:lineRule="auto"/>
        <w:jc w:val="both"/>
        <w:rPr>
          <w:rtl/>
        </w:rPr>
      </w:pPr>
      <w:r>
        <w:rPr>
          <w:rFonts w:hint="cs"/>
          <w:rtl/>
        </w:rPr>
        <w:t>הארוע השני התרחש בחודש ינואר 2015 בהיותו של הנאשם כלוא ועל רקע רצונו להעלות מינון של טיפול בתחליף סם שקיבל ונוכח סירוב הרופא לבקשתו הנאשם איים לפגוע ברופא ושיוכל להשיג אותו בכל מקום ואף בעט ושבר כיסא פלסטיק שהיה במקום.</w:t>
      </w:r>
    </w:p>
    <w:p w14:paraId="1868D18E" w14:textId="77777777" w:rsidR="00F85B5A" w:rsidRDefault="00F85B5A" w:rsidP="00F85B5A">
      <w:pPr>
        <w:tabs>
          <w:tab w:val="left" w:pos="566"/>
        </w:tabs>
        <w:spacing w:line="360" w:lineRule="auto"/>
        <w:jc w:val="both"/>
        <w:rPr>
          <w:rtl/>
        </w:rPr>
      </w:pPr>
    </w:p>
    <w:p w14:paraId="083BE85D" w14:textId="77777777" w:rsidR="00F85B5A" w:rsidRDefault="00F85B5A" w:rsidP="00F85B5A">
      <w:pPr>
        <w:tabs>
          <w:tab w:val="left" w:pos="566"/>
        </w:tabs>
        <w:spacing w:line="360" w:lineRule="auto"/>
        <w:jc w:val="both"/>
        <w:rPr>
          <w:rtl/>
        </w:rPr>
      </w:pPr>
      <w:r>
        <w:rPr>
          <w:rFonts w:hint="cs"/>
          <w:rtl/>
        </w:rPr>
        <w:t xml:space="preserve">מדובר בארועים שונים ועל כן יש מקום לקבוע מתחם ענישה נפרד לכל ארוע. </w:t>
      </w:r>
    </w:p>
    <w:p w14:paraId="7D4DFEF7" w14:textId="77777777" w:rsidR="00F85B5A" w:rsidRDefault="00F85B5A" w:rsidP="00F85B5A">
      <w:pPr>
        <w:tabs>
          <w:tab w:val="left" w:pos="566"/>
        </w:tabs>
        <w:spacing w:line="360" w:lineRule="auto"/>
        <w:jc w:val="both"/>
        <w:rPr>
          <w:rtl/>
        </w:rPr>
      </w:pPr>
    </w:p>
    <w:p w14:paraId="343B3900" w14:textId="77777777" w:rsidR="00F85B5A" w:rsidRDefault="00F85B5A" w:rsidP="00F85B5A">
      <w:pPr>
        <w:tabs>
          <w:tab w:val="left" w:pos="566"/>
        </w:tabs>
        <w:spacing w:line="360" w:lineRule="auto"/>
        <w:jc w:val="both"/>
        <w:rPr>
          <w:rtl/>
        </w:rPr>
      </w:pPr>
      <w:r>
        <w:rPr>
          <w:rFonts w:hint="cs"/>
          <w:rtl/>
        </w:rPr>
        <w:t>ביחס לארוע הראשון יש לקחת בחשבון שמדובר פורמאלית בסם מסוכן ואולם לא אחת במקרה המתאים ובמינון המתאים הוא משמש כתחליף סם. כמובן שאין בכך בכדי ללמד על כך שיש מקום לצרוך חומר זה ללא כל פיקוח ואולם עדיין אין מקום להשוות זאת לסמים אחרים ולמעשה מדובר ברף תחתון מבחינת נסיבות עבירה של שימוש בסמים לצריכה עצמית. אדרבה, כאשר הנאשם הבהיר כי נזקק לסם זה כדי לדכא "קריז" שהתפרץ ואף סבר לתומו שמכיוון שמדובר בחומר שלא אחת מהווה תחליף סם, הרי צריכתו ללא פיקוח רופא אינה מהווה עבירה.</w:t>
      </w:r>
    </w:p>
    <w:p w14:paraId="5F0684CC" w14:textId="77777777" w:rsidR="00F85B5A" w:rsidRDefault="00F85B5A" w:rsidP="00F85B5A">
      <w:pPr>
        <w:tabs>
          <w:tab w:val="left" w:pos="566"/>
        </w:tabs>
        <w:spacing w:line="360" w:lineRule="auto"/>
        <w:jc w:val="both"/>
        <w:rPr>
          <w:rtl/>
        </w:rPr>
      </w:pPr>
    </w:p>
    <w:p w14:paraId="1821711C" w14:textId="77777777" w:rsidR="00F85B5A" w:rsidRDefault="00F85B5A" w:rsidP="00F85B5A">
      <w:pPr>
        <w:tabs>
          <w:tab w:val="left" w:pos="566"/>
        </w:tabs>
        <w:spacing w:line="360" w:lineRule="auto"/>
        <w:jc w:val="both"/>
        <w:rPr>
          <w:rtl/>
        </w:rPr>
      </w:pPr>
      <w:r>
        <w:rPr>
          <w:rFonts w:hint="cs"/>
          <w:rtl/>
        </w:rPr>
        <w:t>בנסיבות אלה סבורני כי לארוע זה ניתן לקבוע מתחם שתחילתו במאסר מותנה וסופו במספר חודשי מאסר בפועל לצד מאסר מותנה עם אפשרות לשלב רכיבים כספיים.</w:t>
      </w:r>
    </w:p>
    <w:p w14:paraId="55FD0155" w14:textId="77777777" w:rsidR="00F85B5A" w:rsidRDefault="00F85B5A" w:rsidP="00F85B5A">
      <w:pPr>
        <w:tabs>
          <w:tab w:val="left" w:pos="566"/>
        </w:tabs>
        <w:spacing w:line="360" w:lineRule="auto"/>
        <w:jc w:val="both"/>
        <w:rPr>
          <w:rtl/>
        </w:rPr>
      </w:pPr>
    </w:p>
    <w:p w14:paraId="662902A0" w14:textId="77777777" w:rsidR="00F85B5A" w:rsidRDefault="00F85B5A" w:rsidP="00F85B5A">
      <w:pPr>
        <w:tabs>
          <w:tab w:val="left" w:pos="566"/>
        </w:tabs>
        <w:spacing w:line="360" w:lineRule="auto"/>
        <w:jc w:val="both"/>
        <w:rPr>
          <w:rtl/>
        </w:rPr>
      </w:pPr>
      <w:r>
        <w:rPr>
          <w:rFonts w:hint="cs"/>
          <w:rtl/>
        </w:rPr>
        <w:t>ביחס לארוע השני הרי שכל עבירה של איומים בוודאי בפגיעה של ממש מחייבת מאסר, ולו מותנה. אדרבה, כאשר הדברים נעשים בתוך כותלי כלא כלפי איש מרות גם אם האסיר הרלוונטי סובר כי הצדק עימו בהתנהלות מול אותו איש מרות. עם זאת, במקרים המתאימים ניתן מאסר מותנה כאשר במקרים החמורים ניתן להגיע אף עד מאסר בפועל של שנה ולצד זאת מאסר מותנה. בנוסף במקרים המתאימים ניתן לשלב רכיבים כספיים.</w:t>
      </w:r>
    </w:p>
    <w:p w14:paraId="4E56B1C7" w14:textId="77777777" w:rsidR="00F85B5A" w:rsidRDefault="00F85B5A" w:rsidP="00F85B5A">
      <w:pPr>
        <w:tabs>
          <w:tab w:val="left" w:pos="566"/>
        </w:tabs>
        <w:spacing w:line="360" w:lineRule="auto"/>
        <w:jc w:val="both"/>
        <w:rPr>
          <w:rtl/>
        </w:rPr>
      </w:pPr>
    </w:p>
    <w:p w14:paraId="6EEF1095" w14:textId="77777777" w:rsidR="00F85B5A" w:rsidRDefault="00F85B5A" w:rsidP="00F85B5A">
      <w:pPr>
        <w:tabs>
          <w:tab w:val="left" w:pos="566"/>
        </w:tabs>
        <w:spacing w:line="360" w:lineRule="auto"/>
        <w:jc w:val="both"/>
        <w:rPr>
          <w:rtl/>
        </w:rPr>
      </w:pPr>
      <w:r>
        <w:rPr>
          <w:rFonts w:hint="cs"/>
          <w:rtl/>
        </w:rPr>
        <w:t>באשר לשיקולים שלאחר קביעת המתחם: יש לקחת בחשבון את העובדה שהנאשם נטל אחריות והודה במיוחס לו בשני התיקים. בנוסף הן בפני ביהמ"ש והן בפני שירות המבחן הביע צער וחרטה על התנהלותו כלפי הרופא.</w:t>
      </w:r>
    </w:p>
    <w:p w14:paraId="645C168B" w14:textId="77777777" w:rsidR="00F85B5A" w:rsidRDefault="00F85B5A" w:rsidP="00F85B5A">
      <w:pPr>
        <w:tabs>
          <w:tab w:val="left" w:pos="566"/>
        </w:tabs>
        <w:spacing w:line="360" w:lineRule="auto"/>
        <w:jc w:val="both"/>
        <w:rPr>
          <w:rtl/>
        </w:rPr>
      </w:pPr>
    </w:p>
    <w:p w14:paraId="3BD9BA6C" w14:textId="77777777" w:rsidR="00F85B5A" w:rsidRDefault="00F85B5A" w:rsidP="00F85B5A">
      <w:pPr>
        <w:tabs>
          <w:tab w:val="left" w:pos="566"/>
        </w:tabs>
        <w:spacing w:line="360" w:lineRule="auto"/>
        <w:jc w:val="both"/>
        <w:rPr>
          <w:rtl/>
        </w:rPr>
      </w:pPr>
      <w:r>
        <w:rPr>
          <w:rFonts w:hint="cs"/>
          <w:rtl/>
        </w:rPr>
        <w:t xml:space="preserve">מעבר לכך הנאשם לא פעל כהוא זה כדי לממש את איומיו, הן בתוך הכלא אשר היתה זיקה לו לרופא ואף לאחר שהשתחרר. יותר מכך, מאז המקרה המדובר של האיומים לא עבר הנאשם כל עבירה פלילית. </w:t>
      </w:r>
    </w:p>
    <w:p w14:paraId="2AD1989A" w14:textId="77777777" w:rsidR="00F85B5A" w:rsidRDefault="00F85B5A" w:rsidP="00F85B5A">
      <w:pPr>
        <w:tabs>
          <w:tab w:val="left" w:pos="566"/>
        </w:tabs>
        <w:spacing w:line="360" w:lineRule="auto"/>
        <w:jc w:val="both"/>
        <w:rPr>
          <w:rtl/>
        </w:rPr>
      </w:pPr>
    </w:p>
    <w:p w14:paraId="45D81DD8" w14:textId="77777777" w:rsidR="00F85B5A" w:rsidRDefault="00F85B5A" w:rsidP="00F85B5A">
      <w:pPr>
        <w:tabs>
          <w:tab w:val="left" w:pos="566"/>
        </w:tabs>
        <w:spacing w:line="360" w:lineRule="auto"/>
        <w:jc w:val="both"/>
        <w:rPr>
          <w:rtl/>
        </w:rPr>
      </w:pPr>
      <w:r>
        <w:rPr>
          <w:rFonts w:hint="cs"/>
          <w:rtl/>
        </w:rPr>
        <w:t>לחובת הנאשם עבר פלילי עשיר במיוחד אולם כאמור הארוע המדובר הינו האחרון בהסתבכויותיו, מאז חלפו כבר כשנתיים וחצי כאשר ברוב התקופה הנאשם כבר לא היה כלוא.</w:t>
      </w:r>
    </w:p>
    <w:p w14:paraId="0EFDAF67" w14:textId="77777777" w:rsidR="00F85B5A" w:rsidRDefault="00F85B5A" w:rsidP="00F85B5A">
      <w:pPr>
        <w:tabs>
          <w:tab w:val="left" w:pos="566"/>
        </w:tabs>
        <w:spacing w:line="360" w:lineRule="auto"/>
        <w:jc w:val="both"/>
        <w:rPr>
          <w:rtl/>
        </w:rPr>
      </w:pPr>
    </w:p>
    <w:p w14:paraId="353EC448" w14:textId="77777777" w:rsidR="00F85B5A" w:rsidRDefault="00F85B5A" w:rsidP="00F85B5A">
      <w:pPr>
        <w:tabs>
          <w:tab w:val="left" w:pos="566"/>
        </w:tabs>
        <w:spacing w:line="360" w:lineRule="auto"/>
        <w:jc w:val="both"/>
        <w:rPr>
          <w:rtl/>
        </w:rPr>
      </w:pPr>
      <w:r>
        <w:rPr>
          <w:rFonts w:hint="cs"/>
          <w:rtl/>
        </w:rPr>
        <w:t xml:space="preserve">מעבר לכך, כל שהדברים אמורים בעבירות סמים הרי שהארוע הנוסף שהתקיים לפני כשבע שנים הינו הארוע האחרון שבו הנאשם עבר עבירה על </w:t>
      </w:r>
      <w:hyperlink r:id="rId8" w:history="1">
        <w:r w:rsidR="00A80052" w:rsidRPr="00A80052">
          <w:rPr>
            <w:rStyle w:val="Hyperlink"/>
            <w:rFonts w:hint="eastAsia"/>
            <w:color w:val="0000FF"/>
            <w:rtl/>
          </w:rPr>
          <w:t>פקודת</w:t>
        </w:r>
        <w:r w:rsidR="00A80052" w:rsidRPr="00A80052">
          <w:rPr>
            <w:rStyle w:val="Hyperlink"/>
            <w:color w:val="0000FF"/>
            <w:rtl/>
          </w:rPr>
          <w:t xml:space="preserve"> הסמים המסוכנים</w:t>
        </w:r>
      </w:hyperlink>
      <w:r>
        <w:rPr>
          <w:rFonts w:hint="cs"/>
          <w:rtl/>
        </w:rPr>
        <w:t xml:space="preserve">. </w:t>
      </w:r>
    </w:p>
    <w:p w14:paraId="43FCCB08" w14:textId="77777777" w:rsidR="00F85B5A" w:rsidRDefault="00F85B5A" w:rsidP="00F85B5A">
      <w:pPr>
        <w:tabs>
          <w:tab w:val="left" w:pos="566"/>
        </w:tabs>
        <w:spacing w:line="360" w:lineRule="auto"/>
        <w:jc w:val="both"/>
        <w:rPr>
          <w:rtl/>
        </w:rPr>
      </w:pPr>
    </w:p>
    <w:p w14:paraId="5405D9AE" w14:textId="77777777" w:rsidR="00F85B5A" w:rsidRDefault="00F85B5A" w:rsidP="00F85B5A">
      <w:pPr>
        <w:tabs>
          <w:tab w:val="left" w:pos="566"/>
        </w:tabs>
        <w:spacing w:line="360" w:lineRule="auto"/>
        <w:jc w:val="both"/>
        <w:rPr>
          <w:rtl/>
        </w:rPr>
      </w:pPr>
      <w:r>
        <w:rPr>
          <w:rFonts w:hint="cs"/>
          <w:rtl/>
        </w:rPr>
        <w:t xml:space="preserve">לא בכדי חל שינוי משמעותי בשאלת יחסו של הנאשם להוראות החוק לעומת עברו המכביד מאוד. הנאשם פרט הן בפני שירות המבחן ובהרחבה רבה בדברו האחרון את החלטתו כבר לפני שנים להיגמל משימוש בסמים אם כי באופן עצמאי ולמעשה עבירת הסמים עליה הוא נדון כעת נעברה כאשר להבנתו דובר בחלק מאותה גמילה על דרך שימוש בתחליף סם לניקוי "קריז". מעבר לכך, עוד במהלך תקופת כליאתו בה עבר את עבירת האיומים הנאשם היה מטופל בתחליף סם באופן של </w:t>
      </w:r>
      <w:r>
        <w:rPr>
          <w:rFonts w:hint="cs"/>
          <w:rtl/>
        </w:rPr>
        <w:lastRenderedPageBreak/>
        <w:t xml:space="preserve">פיקוח רפואי והמשיך בכך לאחר שהשתחרר מהכלא כעולה ממסמכים שהוצגו מזה כשנה וחצי לפחות הוא מתמיד בשימוש בתחליף סם מסוג סבוטקס במסגרת מרפאתית עד ימים אלה. </w:t>
      </w:r>
    </w:p>
    <w:p w14:paraId="7F7CD800" w14:textId="77777777" w:rsidR="00F85B5A" w:rsidRDefault="00F85B5A" w:rsidP="00F85B5A">
      <w:pPr>
        <w:tabs>
          <w:tab w:val="left" w:pos="566"/>
        </w:tabs>
        <w:spacing w:line="360" w:lineRule="auto"/>
        <w:jc w:val="both"/>
        <w:rPr>
          <w:rtl/>
        </w:rPr>
      </w:pPr>
    </w:p>
    <w:p w14:paraId="73777880" w14:textId="77777777" w:rsidR="00F85B5A" w:rsidRDefault="00F85B5A" w:rsidP="00F85B5A">
      <w:pPr>
        <w:tabs>
          <w:tab w:val="left" w:pos="566"/>
        </w:tabs>
        <w:spacing w:line="360" w:lineRule="auto"/>
        <w:jc w:val="both"/>
        <w:rPr>
          <w:rtl/>
        </w:rPr>
      </w:pPr>
      <w:r>
        <w:rPr>
          <w:rFonts w:hint="cs"/>
          <w:rtl/>
        </w:rPr>
        <w:t xml:space="preserve">הנאשם אף תאר את השתלבותו בעבודה תוך שהוא מדגיש ערכים של סדר ואחריות שהקנה לעצמו בניגוד לאורח חייו בשנים עברו וניתן להתרשם מהכנות שבדבריו כמו גם מיכולתו להביע את עצמו באופן ברור, דבר אשר עולה בקנה אחד עם התיאור של מי שבמשך תקופה ארוכה נקי מהשפעת סמי רחוב. </w:t>
      </w:r>
    </w:p>
    <w:p w14:paraId="4956B41F" w14:textId="77777777" w:rsidR="00F85B5A" w:rsidRDefault="00F85B5A" w:rsidP="00F85B5A">
      <w:pPr>
        <w:tabs>
          <w:tab w:val="left" w:pos="566"/>
        </w:tabs>
        <w:spacing w:line="360" w:lineRule="auto"/>
        <w:jc w:val="both"/>
        <w:rPr>
          <w:rtl/>
        </w:rPr>
      </w:pPr>
    </w:p>
    <w:p w14:paraId="1E48D936" w14:textId="77777777" w:rsidR="00F85B5A" w:rsidRDefault="00F85B5A" w:rsidP="00F85B5A">
      <w:pPr>
        <w:tabs>
          <w:tab w:val="left" w:pos="566"/>
        </w:tabs>
        <w:spacing w:line="360" w:lineRule="auto"/>
        <w:jc w:val="both"/>
        <w:rPr>
          <w:rtl/>
        </w:rPr>
      </w:pPr>
      <w:r>
        <w:rPr>
          <w:rFonts w:hint="cs"/>
          <w:rtl/>
        </w:rPr>
        <w:t>במצב דברים זה על אף שהנאשם לא נגמל באופן מוסדי, סבורני כי הלכה למעשה קיימים שיקולי שיקום במקרה זה ובוודאי שיש מקום לא להטיל עליו מאסר בפועל ובאופן נגזר להאריך את תקופת המאסר המותנה שקיים כנגדו בגין עבירת הסמים.</w:t>
      </w:r>
    </w:p>
    <w:p w14:paraId="6BC1BF30" w14:textId="77777777" w:rsidR="00F85B5A" w:rsidRDefault="00F85B5A" w:rsidP="00F85B5A">
      <w:pPr>
        <w:tabs>
          <w:tab w:val="left" w:pos="566"/>
        </w:tabs>
        <w:spacing w:line="360" w:lineRule="auto"/>
        <w:jc w:val="both"/>
        <w:rPr>
          <w:rtl/>
        </w:rPr>
      </w:pPr>
    </w:p>
    <w:p w14:paraId="02D074B9" w14:textId="77777777" w:rsidR="00F85B5A" w:rsidRDefault="00F85B5A" w:rsidP="00F85B5A">
      <w:pPr>
        <w:tabs>
          <w:tab w:val="left" w:pos="566"/>
        </w:tabs>
        <w:spacing w:line="360" w:lineRule="auto"/>
        <w:jc w:val="both"/>
        <w:rPr>
          <w:rtl/>
        </w:rPr>
      </w:pPr>
      <w:r>
        <w:rPr>
          <w:rFonts w:hint="cs"/>
          <w:rtl/>
        </w:rPr>
        <w:t>לצד כל אלה סבורני כי רכיש מוחשי הנועד לאזן העדר מאסר בפועל, יש מקום להטיל על הנאשם קנס אולם שיעורו לא יהיה גבוה והוא יחולק לתשלומים כדי שיוכל לעמוד בו בשים לב לכך שנראה כי עבודתו אינה מניבה פרנסה בשיעור גבוה, בלשון המעטה (הנאשם עובד בשוק).</w:t>
      </w:r>
    </w:p>
    <w:p w14:paraId="121AA06C" w14:textId="77777777" w:rsidR="00F85B5A" w:rsidRDefault="00F85B5A" w:rsidP="00F85B5A">
      <w:pPr>
        <w:tabs>
          <w:tab w:val="left" w:pos="566"/>
        </w:tabs>
        <w:spacing w:line="360" w:lineRule="auto"/>
        <w:jc w:val="both"/>
        <w:rPr>
          <w:rtl/>
        </w:rPr>
      </w:pPr>
    </w:p>
    <w:p w14:paraId="22890018" w14:textId="77777777" w:rsidR="00F85B5A" w:rsidRPr="00300654" w:rsidRDefault="00F85B5A" w:rsidP="00F85B5A">
      <w:pPr>
        <w:tabs>
          <w:tab w:val="left" w:pos="566"/>
        </w:tabs>
        <w:spacing w:line="360" w:lineRule="auto"/>
        <w:jc w:val="both"/>
        <w:rPr>
          <w:rtl/>
        </w:rPr>
      </w:pPr>
      <w:r w:rsidRPr="008A7D90">
        <w:rPr>
          <w:rFonts w:hint="cs"/>
          <w:b/>
          <w:bCs/>
          <w:u w:val="single"/>
          <w:rtl/>
        </w:rPr>
        <w:t>בשים לב לכל האמור אני גוזר על הנאשם את העונשים הבאים</w:t>
      </w:r>
      <w:r>
        <w:rPr>
          <w:rFonts w:hint="cs"/>
          <w:rtl/>
        </w:rPr>
        <w:t>:</w:t>
      </w:r>
    </w:p>
    <w:p w14:paraId="7CD54D51" w14:textId="77777777" w:rsidR="00F85B5A" w:rsidRDefault="00F85B5A" w:rsidP="00F85B5A">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w:t>
      </w:r>
      <w:r>
        <w:rPr>
          <w:rFonts w:hint="cs"/>
          <w:rtl/>
        </w:rPr>
        <w:t xml:space="preserve"> כל עבירת איומים. </w:t>
      </w:r>
      <w:r w:rsidRPr="00300654">
        <w:rPr>
          <w:rFonts w:hint="cs"/>
          <w:rtl/>
        </w:rPr>
        <w:t xml:space="preserve"> </w:t>
      </w:r>
    </w:p>
    <w:p w14:paraId="1E0409E6" w14:textId="77777777" w:rsidR="00F85B5A" w:rsidRPr="00300654" w:rsidRDefault="00F85B5A" w:rsidP="00F85B5A">
      <w:pPr>
        <w:numPr>
          <w:ilvl w:val="0"/>
          <w:numId w:val="1"/>
        </w:numPr>
        <w:tabs>
          <w:tab w:val="left" w:pos="566"/>
        </w:tabs>
        <w:snapToGrid w:val="0"/>
        <w:spacing w:line="360" w:lineRule="auto"/>
        <w:ind w:left="658" w:hanging="298"/>
        <w:jc w:val="both"/>
        <w:rPr>
          <w:rtl/>
        </w:rPr>
      </w:pPr>
      <w:r>
        <w:rPr>
          <w:rFonts w:hint="cs"/>
          <w:rtl/>
        </w:rPr>
        <w:t>הריני מורה על הארכת (חידוש) תקופת המאסר המותנה בן שלושת החודשים שהוטל על הנאשם בת.פ. בימ"ש שלום רמלה 1454/07 וזאת למשך שנתיים נוספות החל מהיום.</w:t>
      </w:r>
    </w:p>
    <w:p w14:paraId="1BFC7E92" w14:textId="77777777" w:rsidR="00F85B5A" w:rsidRPr="00300654" w:rsidRDefault="00F85B5A" w:rsidP="00F85B5A">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1,000</w:t>
      </w:r>
      <w:r w:rsidRPr="00300654">
        <w:rPr>
          <w:rFonts w:hint="cs"/>
          <w:rtl/>
        </w:rPr>
        <w:t xml:space="preserve"> ₪, או </w:t>
      </w:r>
      <w:r>
        <w:rPr>
          <w:rFonts w:hint="cs"/>
          <w:rtl/>
        </w:rPr>
        <w:t xml:space="preserve">10 </w:t>
      </w:r>
      <w:r w:rsidRPr="00300654">
        <w:rPr>
          <w:rFonts w:hint="cs"/>
          <w:rtl/>
        </w:rPr>
        <w:t>ימי מאסר תמורתו</w:t>
      </w:r>
      <w:r>
        <w:rPr>
          <w:rFonts w:hint="cs"/>
          <w:rtl/>
        </w:rPr>
        <w:t xml:space="preserve"> אם הקנס לא ישולם</w:t>
      </w:r>
      <w:r w:rsidRPr="00300654">
        <w:rPr>
          <w:rFonts w:hint="cs"/>
          <w:rtl/>
        </w:rPr>
        <w:t>. הקנס ישולם ב-</w:t>
      </w:r>
      <w:r>
        <w:rPr>
          <w:rFonts w:hint="cs"/>
          <w:rtl/>
        </w:rPr>
        <w:t>10</w:t>
      </w:r>
      <w:r w:rsidRPr="00300654">
        <w:rPr>
          <w:rFonts w:hint="cs"/>
          <w:rtl/>
        </w:rPr>
        <w:t xml:space="preserve"> תשלומים חודשיים, שווים ורצופים, החל מיום </w:t>
      </w:r>
      <w:r>
        <w:rPr>
          <w:rFonts w:hint="cs"/>
          <w:rtl/>
        </w:rPr>
        <w:t xml:space="preserve">15.09.17 </w:t>
      </w:r>
      <w:r w:rsidRPr="00300654">
        <w:rPr>
          <w:rFonts w:hint="cs"/>
          <w:rtl/>
        </w:rPr>
        <w:t xml:space="preserve">ובכל </w:t>
      </w:r>
      <w:r>
        <w:rPr>
          <w:rFonts w:hint="cs"/>
          <w:rtl/>
        </w:rPr>
        <w:t xml:space="preserve">15 </w:t>
      </w:r>
      <w:r w:rsidRPr="00300654">
        <w:rPr>
          <w:rFonts w:hint="cs"/>
          <w:rtl/>
        </w:rPr>
        <w:t>לכל חודש עוקב. לא ישולם תשלום אחד במועדו – תעמוד כל היתרה לפרעון מיידי.</w:t>
      </w:r>
    </w:p>
    <w:p w14:paraId="40905B7D" w14:textId="77777777" w:rsidR="00F85B5A" w:rsidRDefault="00F85B5A" w:rsidP="00F85B5A">
      <w:pPr>
        <w:numPr>
          <w:ilvl w:val="0"/>
          <w:numId w:val="1"/>
        </w:numPr>
        <w:tabs>
          <w:tab w:val="left" w:pos="566"/>
        </w:tabs>
        <w:snapToGrid w:val="0"/>
        <w:spacing w:line="360" w:lineRule="auto"/>
        <w:ind w:left="658" w:hanging="298"/>
        <w:jc w:val="both"/>
      </w:pPr>
      <w:r>
        <w:rPr>
          <w:rFonts w:hint="cs"/>
          <w:rtl/>
        </w:rPr>
        <w:t xml:space="preserve"> </w:t>
      </w:r>
      <w:r w:rsidRPr="00300654">
        <w:rPr>
          <w:rFonts w:hint="cs"/>
          <w:rtl/>
        </w:rPr>
        <w:t xml:space="preserve">פסילה על תנאי מלהחזיק ו/או לקבל רישיון נהיגה לתקופה של </w:t>
      </w:r>
      <w:r>
        <w:rPr>
          <w:rFonts w:hint="cs"/>
          <w:rtl/>
        </w:rPr>
        <w:t xml:space="preserve">6 </w:t>
      </w:r>
      <w:r w:rsidRPr="00300654">
        <w:rPr>
          <w:rFonts w:hint="cs"/>
          <w:rtl/>
        </w:rPr>
        <w:t>חודשים באם בתוך 3 שנים מ</w:t>
      </w:r>
      <w:r>
        <w:rPr>
          <w:rFonts w:hint="cs"/>
          <w:rtl/>
        </w:rPr>
        <w:t xml:space="preserve">היום יעבור עבירה על </w:t>
      </w:r>
      <w:hyperlink r:id="rId9" w:history="1">
        <w:r w:rsidR="00A80052" w:rsidRPr="00A80052">
          <w:rPr>
            <w:rStyle w:val="Hyperlink"/>
            <w:rFonts w:hint="eastAsia"/>
            <w:color w:val="0000FF"/>
            <w:rtl/>
          </w:rPr>
          <w:t>פקודת</w:t>
        </w:r>
        <w:r w:rsidR="00A80052" w:rsidRPr="00A80052">
          <w:rPr>
            <w:rStyle w:val="Hyperlink"/>
            <w:color w:val="0000FF"/>
            <w:rtl/>
          </w:rPr>
          <w:t xml:space="preserve"> הסמים המסוכנים</w:t>
        </w:r>
      </w:hyperlink>
      <w:r>
        <w:rPr>
          <w:rFonts w:hint="cs"/>
          <w:rtl/>
        </w:rPr>
        <w:t>.</w:t>
      </w:r>
    </w:p>
    <w:p w14:paraId="7D12A9F1" w14:textId="77777777" w:rsidR="00F85B5A" w:rsidRDefault="00F85B5A" w:rsidP="00F85B5A">
      <w:pPr>
        <w:tabs>
          <w:tab w:val="left" w:pos="566"/>
        </w:tabs>
        <w:snapToGrid w:val="0"/>
        <w:spacing w:line="360" w:lineRule="auto"/>
        <w:jc w:val="both"/>
        <w:rPr>
          <w:rtl/>
        </w:rPr>
      </w:pPr>
    </w:p>
    <w:p w14:paraId="500E7318" w14:textId="77777777" w:rsidR="00F85B5A" w:rsidRDefault="00F85B5A" w:rsidP="00F85B5A">
      <w:pPr>
        <w:tabs>
          <w:tab w:val="left" w:pos="566"/>
        </w:tabs>
        <w:snapToGrid w:val="0"/>
        <w:spacing w:line="360" w:lineRule="auto"/>
        <w:jc w:val="both"/>
        <w:rPr>
          <w:rtl/>
        </w:rPr>
      </w:pPr>
      <w:r>
        <w:rPr>
          <w:rFonts w:hint="cs"/>
          <w:rtl/>
        </w:rPr>
        <w:t>ניתן צו להשמדת המוצג, הסמים שנתפסו.</w:t>
      </w:r>
    </w:p>
    <w:p w14:paraId="556232F7" w14:textId="77777777" w:rsidR="00F85B5A" w:rsidRDefault="00F85B5A" w:rsidP="00F85B5A">
      <w:pPr>
        <w:tabs>
          <w:tab w:val="left" w:pos="566"/>
        </w:tabs>
        <w:snapToGrid w:val="0"/>
        <w:spacing w:line="360" w:lineRule="auto"/>
        <w:jc w:val="both"/>
        <w:rPr>
          <w:rtl/>
        </w:rPr>
      </w:pPr>
    </w:p>
    <w:p w14:paraId="334A0001" w14:textId="77777777" w:rsidR="00F85B5A" w:rsidRPr="00300654" w:rsidRDefault="00F85B5A" w:rsidP="00F85B5A">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38EEEAC6" w14:textId="77777777" w:rsidR="00F85B5A" w:rsidRDefault="00F85B5A" w:rsidP="00F85B5A">
      <w:pPr>
        <w:tabs>
          <w:tab w:val="left" w:pos="566"/>
        </w:tabs>
        <w:snapToGrid w:val="0"/>
        <w:spacing w:line="360" w:lineRule="auto"/>
        <w:ind w:left="567" w:hanging="567"/>
        <w:jc w:val="both"/>
        <w:rPr>
          <w:rtl/>
        </w:rPr>
      </w:pPr>
    </w:p>
    <w:p w14:paraId="40B1818D" w14:textId="77777777" w:rsidR="00F85B5A" w:rsidRDefault="00F85B5A" w:rsidP="00F85B5A">
      <w:pPr>
        <w:tabs>
          <w:tab w:val="left" w:pos="566"/>
        </w:tabs>
        <w:snapToGrid w:val="0"/>
        <w:spacing w:line="360" w:lineRule="auto"/>
        <w:ind w:left="567" w:hanging="567"/>
        <w:jc w:val="both"/>
        <w:rPr>
          <w:sz w:val="6"/>
          <w:szCs w:val="6"/>
          <w:rtl/>
        </w:rPr>
      </w:pPr>
      <w:r>
        <w:rPr>
          <w:sz w:val="6"/>
          <w:szCs w:val="6"/>
          <w:rtl/>
        </w:rPr>
        <w:t>&lt;#3#&gt;</w:t>
      </w:r>
    </w:p>
    <w:p w14:paraId="74C3CCF8" w14:textId="77777777" w:rsidR="00F85B5A" w:rsidRDefault="00F85B5A" w:rsidP="00F85B5A">
      <w:pPr>
        <w:jc w:val="right"/>
        <w:rPr>
          <w:rtl/>
        </w:rPr>
      </w:pPr>
    </w:p>
    <w:p w14:paraId="169B42A1" w14:textId="77777777" w:rsidR="00F85B5A" w:rsidRDefault="00A80052" w:rsidP="00F85B5A">
      <w:pPr>
        <w:jc w:val="center"/>
        <w:rPr>
          <w:rtl/>
        </w:rPr>
      </w:pPr>
      <w:r w:rsidRPr="00A80052">
        <w:rPr>
          <w:b/>
          <w:bCs/>
          <w:color w:val="FFFFFF"/>
          <w:sz w:val="2"/>
          <w:szCs w:val="2"/>
          <w:rtl/>
        </w:rPr>
        <w:t>5129371</w:t>
      </w:r>
      <w:r>
        <w:rPr>
          <w:b/>
          <w:bCs/>
          <w:rtl/>
        </w:rPr>
        <w:t xml:space="preserve">ניתנה והודעה היום כ"ו תמוז תשע"ז, 20/07/2017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2570" w14:paraId="51B674EE" w14:textId="77777777" w:rsidTr="00F85B5A">
        <w:trPr>
          <w:trHeight w:val="316"/>
          <w:jc w:val="right"/>
        </w:trPr>
        <w:tc>
          <w:tcPr>
            <w:tcW w:w="3936" w:type="dxa"/>
            <w:shd w:val="clear" w:color="auto" w:fill="auto"/>
          </w:tcPr>
          <w:p w14:paraId="5D57C9C4" w14:textId="77777777" w:rsidR="00F85B5A" w:rsidRPr="00A80052" w:rsidRDefault="00A80052" w:rsidP="00F85B5A">
            <w:pPr>
              <w:jc w:val="center"/>
              <w:rPr>
                <w:color w:val="FFFFFF"/>
                <w:sz w:val="2"/>
                <w:szCs w:val="2"/>
              </w:rPr>
            </w:pPr>
            <w:r w:rsidRPr="00A80052">
              <w:rPr>
                <w:color w:val="FFFFFF"/>
                <w:sz w:val="2"/>
                <w:szCs w:val="2"/>
                <w:rtl/>
              </w:rPr>
              <w:t>54678313</w:t>
            </w:r>
            <w:r w:rsidR="00F85B5A" w:rsidRPr="00A80052">
              <w:rPr>
                <w:color w:val="FFFFFF"/>
                <w:sz w:val="2"/>
                <w:szCs w:val="2"/>
                <w:rtl/>
              </w:rPr>
              <w:t xml:space="preserve">     </w:t>
            </w:r>
          </w:p>
          <w:p w14:paraId="0BE455A6" w14:textId="77777777" w:rsidR="00F85B5A" w:rsidRDefault="00F85B5A" w:rsidP="00F85B5A">
            <w:pPr>
              <w:jc w:val="center"/>
              <w:rPr>
                <w:rtl/>
              </w:rPr>
            </w:pPr>
          </w:p>
        </w:tc>
      </w:tr>
      <w:tr w:rsidR="00A12570" w14:paraId="1812B9B0" w14:textId="77777777" w:rsidTr="00F85B5A">
        <w:trPr>
          <w:trHeight w:val="361"/>
          <w:jc w:val="right"/>
        </w:trPr>
        <w:tc>
          <w:tcPr>
            <w:tcW w:w="3936" w:type="dxa"/>
            <w:shd w:val="clear" w:color="auto" w:fill="auto"/>
          </w:tcPr>
          <w:p w14:paraId="5FB0AE11" w14:textId="77777777" w:rsidR="00F85B5A" w:rsidRPr="00F85B5A" w:rsidRDefault="00F85B5A" w:rsidP="00F85B5A">
            <w:pPr>
              <w:jc w:val="center"/>
              <w:rPr>
                <w:b/>
                <w:bCs/>
                <w:rtl/>
              </w:rPr>
            </w:pPr>
            <w:r w:rsidRPr="00F85B5A">
              <w:rPr>
                <w:b/>
                <w:bCs/>
                <w:rtl/>
              </w:rPr>
              <w:t>עמית</w:t>
            </w:r>
            <w:r w:rsidRPr="00F85B5A">
              <w:rPr>
                <w:rFonts w:hint="cs"/>
                <w:b/>
                <w:bCs/>
                <w:rtl/>
              </w:rPr>
              <w:t xml:space="preserve"> </w:t>
            </w:r>
            <w:r w:rsidRPr="00F85B5A">
              <w:rPr>
                <w:b/>
                <w:bCs/>
                <w:rtl/>
              </w:rPr>
              <w:t xml:space="preserve">פרייז </w:t>
            </w:r>
            <w:r w:rsidRPr="00F85B5A">
              <w:rPr>
                <w:rFonts w:hint="cs"/>
                <w:b/>
                <w:bCs/>
                <w:rtl/>
              </w:rPr>
              <w:t xml:space="preserve">, </w:t>
            </w:r>
            <w:r w:rsidRPr="00F85B5A">
              <w:rPr>
                <w:b/>
                <w:bCs/>
                <w:rtl/>
              </w:rPr>
              <w:t xml:space="preserve">שופט </w:t>
            </w:r>
          </w:p>
        </w:tc>
      </w:tr>
    </w:tbl>
    <w:p w14:paraId="216A63EA" w14:textId="77777777" w:rsidR="00F85B5A" w:rsidRDefault="00F85B5A" w:rsidP="00F85B5A">
      <w:pPr>
        <w:jc w:val="right"/>
        <w:rPr>
          <w:rtl/>
        </w:rPr>
      </w:pPr>
    </w:p>
    <w:p w14:paraId="0987CCB9" w14:textId="77777777" w:rsidR="00F85B5A" w:rsidRDefault="00F85B5A" w:rsidP="00F85B5A">
      <w:pPr>
        <w:jc w:val="both"/>
        <w:rPr>
          <w:rtl/>
        </w:rPr>
      </w:pPr>
    </w:p>
    <w:p w14:paraId="39C577F9" w14:textId="77777777" w:rsidR="00F85B5A" w:rsidRDefault="00F85B5A" w:rsidP="00F85B5A">
      <w:pPr>
        <w:tabs>
          <w:tab w:val="left" w:pos="566"/>
        </w:tabs>
        <w:snapToGrid w:val="0"/>
        <w:spacing w:line="360" w:lineRule="auto"/>
        <w:ind w:left="567" w:hanging="567"/>
        <w:jc w:val="center"/>
        <w:rPr>
          <w:rtl/>
        </w:rPr>
      </w:pPr>
    </w:p>
    <w:p w14:paraId="67987015" w14:textId="77777777" w:rsidR="00F85B5A" w:rsidRPr="008A7D90" w:rsidRDefault="00F85B5A" w:rsidP="00F85B5A">
      <w:pPr>
        <w:tabs>
          <w:tab w:val="left" w:pos="566"/>
        </w:tabs>
        <w:snapToGrid w:val="0"/>
        <w:spacing w:line="360" w:lineRule="auto"/>
        <w:ind w:left="567" w:hanging="567"/>
        <w:jc w:val="both"/>
        <w:rPr>
          <w:rtl/>
        </w:rPr>
      </w:pPr>
      <w:r>
        <w:rPr>
          <w:rtl/>
        </w:rPr>
        <w:t xml:space="preserve"> </w:t>
      </w:r>
    </w:p>
    <w:p w14:paraId="5E10D3A8" w14:textId="77777777" w:rsidR="00F85B5A" w:rsidRDefault="001C2010" w:rsidP="00F85B5A">
      <w:r w:rsidRPr="001C2010">
        <w:rPr>
          <w:color w:val="FFFFFF"/>
          <w:sz w:val="2"/>
          <w:szCs w:val="2"/>
          <w:rtl/>
        </w:rPr>
        <w:t>5129371</w:t>
      </w:r>
      <w:r w:rsidR="00F85B5A">
        <w:rPr>
          <w:rtl/>
        </w:rPr>
        <w:t>הוקלד</w:t>
      </w:r>
      <w:r w:rsidR="00F85B5A">
        <w:t xml:space="preserve"> </w:t>
      </w:r>
      <w:r w:rsidR="00F85B5A">
        <w:rPr>
          <w:rtl/>
        </w:rPr>
        <w:t>על</w:t>
      </w:r>
      <w:r w:rsidR="00F85B5A">
        <w:t xml:space="preserve"> </w:t>
      </w:r>
      <w:r w:rsidR="00F85B5A">
        <w:rPr>
          <w:rtl/>
        </w:rPr>
        <w:t>ידי</w:t>
      </w:r>
      <w:r w:rsidR="00F85B5A">
        <w:t xml:space="preserve"> </w:t>
      </w:r>
      <w:r w:rsidR="00F85B5A">
        <w:rPr>
          <w:rtl/>
        </w:rPr>
        <w:t>סופיה</w:t>
      </w:r>
      <w:r w:rsidR="00F85B5A">
        <w:t xml:space="preserve"> </w:t>
      </w:r>
      <w:r w:rsidR="00F85B5A">
        <w:rPr>
          <w:rtl/>
        </w:rPr>
        <w:t>עטיה</w:t>
      </w:r>
    </w:p>
    <w:p w14:paraId="4694C1CD" w14:textId="77777777" w:rsidR="002D7B2F" w:rsidRPr="001C2010" w:rsidRDefault="001C2010" w:rsidP="00A80052">
      <w:pPr>
        <w:keepNext/>
        <w:rPr>
          <w:color w:val="FFFFFF"/>
          <w:sz w:val="2"/>
          <w:szCs w:val="2"/>
          <w:rtl/>
        </w:rPr>
      </w:pPr>
      <w:r w:rsidRPr="001C2010">
        <w:rPr>
          <w:color w:val="FFFFFF"/>
          <w:sz w:val="2"/>
          <w:szCs w:val="2"/>
          <w:rtl/>
        </w:rPr>
        <w:t>54678313</w:t>
      </w:r>
    </w:p>
    <w:p w14:paraId="53DBB348" w14:textId="77777777" w:rsidR="00A80052" w:rsidRPr="00A80052" w:rsidRDefault="00A80052" w:rsidP="00A80052">
      <w:pPr>
        <w:keepNext/>
        <w:rPr>
          <w:color w:val="000000"/>
          <w:sz w:val="22"/>
          <w:szCs w:val="22"/>
          <w:rtl/>
        </w:rPr>
      </w:pPr>
      <w:r w:rsidRPr="00A80052">
        <w:rPr>
          <w:color w:val="000000"/>
          <w:sz w:val="22"/>
          <w:szCs w:val="22"/>
          <w:rtl/>
        </w:rPr>
        <w:t>עמית פרייז 54678313</w:t>
      </w:r>
    </w:p>
    <w:p w14:paraId="2E79BAE2" w14:textId="77777777" w:rsidR="00A80052" w:rsidRDefault="00A80052" w:rsidP="00A80052">
      <w:r w:rsidRPr="00A80052">
        <w:rPr>
          <w:color w:val="000000"/>
          <w:rtl/>
        </w:rPr>
        <w:t>נוסח מסמך זה כפוף לשינויי ניסוח ועריכה</w:t>
      </w:r>
    </w:p>
    <w:p w14:paraId="0F032EE5" w14:textId="77777777" w:rsidR="00A80052" w:rsidRDefault="00A80052" w:rsidP="00A80052">
      <w:pPr>
        <w:rPr>
          <w:rtl/>
        </w:rPr>
      </w:pPr>
    </w:p>
    <w:p w14:paraId="082AC2EA" w14:textId="77777777" w:rsidR="00A80052" w:rsidRDefault="00A80052" w:rsidP="00A80052">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6B843591" w14:textId="77777777" w:rsidR="001C2010" w:rsidRPr="001C2010" w:rsidRDefault="001C2010" w:rsidP="001C2010">
      <w:pPr>
        <w:keepNext/>
        <w:rPr>
          <w:color w:val="000000"/>
          <w:sz w:val="22"/>
          <w:szCs w:val="22"/>
          <w:rtl/>
        </w:rPr>
      </w:pPr>
    </w:p>
    <w:sectPr w:rsidR="001C2010" w:rsidRPr="001C2010" w:rsidSect="001C2010">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96758" w14:textId="77777777" w:rsidR="00F41FDD" w:rsidRDefault="00F41FDD" w:rsidP="00851958">
      <w:r>
        <w:separator/>
      </w:r>
    </w:p>
  </w:endnote>
  <w:endnote w:type="continuationSeparator" w:id="0">
    <w:p w14:paraId="05F09EA0" w14:textId="77777777" w:rsidR="00F41FDD" w:rsidRDefault="00F41FDD" w:rsidP="0085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B4F98" w14:textId="77777777" w:rsidR="00F41FDD" w:rsidRDefault="00F41FDD" w:rsidP="001C20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597A92" w14:textId="77777777" w:rsidR="00F41FDD" w:rsidRPr="001C2010" w:rsidRDefault="00F41FDD" w:rsidP="001C2010">
    <w:pPr>
      <w:pStyle w:val="a5"/>
      <w:pBdr>
        <w:top w:val="single" w:sz="4" w:space="1" w:color="auto"/>
        <w:between w:val="single" w:sz="4" w:space="0" w:color="auto"/>
      </w:pBdr>
      <w:spacing w:after="60"/>
      <w:jc w:val="center"/>
      <w:rPr>
        <w:rFonts w:ascii="FrankRuehl" w:hAnsi="FrankRuehl" w:cs="FrankRuehl"/>
        <w:color w:val="000000"/>
      </w:rPr>
    </w:pPr>
    <w:r w:rsidRPr="001C20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1B53" w14:textId="77777777" w:rsidR="00F41FDD" w:rsidRDefault="00F41FDD" w:rsidP="001C20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7A60">
      <w:rPr>
        <w:rFonts w:ascii="FrankRuehl" w:hAnsi="FrankRuehl" w:cs="FrankRuehl"/>
        <w:noProof/>
        <w:rtl/>
      </w:rPr>
      <w:t>1</w:t>
    </w:r>
    <w:r>
      <w:rPr>
        <w:rFonts w:ascii="FrankRuehl" w:hAnsi="FrankRuehl" w:cs="FrankRuehl"/>
        <w:rtl/>
      </w:rPr>
      <w:fldChar w:fldCharType="end"/>
    </w:r>
  </w:p>
  <w:p w14:paraId="57740A01" w14:textId="77777777" w:rsidR="00F41FDD" w:rsidRPr="001C2010" w:rsidRDefault="00F41FDD" w:rsidP="001C2010">
    <w:pPr>
      <w:pStyle w:val="a5"/>
      <w:pBdr>
        <w:top w:val="single" w:sz="4" w:space="1" w:color="auto"/>
        <w:between w:val="single" w:sz="4" w:space="0" w:color="auto"/>
      </w:pBdr>
      <w:spacing w:after="60"/>
      <w:jc w:val="center"/>
      <w:rPr>
        <w:rFonts w:ascii="FrankRuehl" w:hAnsi="FrankRuehl" w:cs="FrankRuehl"/>
        <w:color w:val="000000"/>
      </w:rPr>
    </w:pPr>
    <w:r w:rsidRPr="001C2010">
      <w:rPr>
        <w:rFonts w:ascii="FrankRuehl" w:hAnsi="FrankRuehl" w:cs="FrankRuehl"/>
        <w:color w:val="000000"/>
      </w:rPr>
      <w:pict w14:anchorId="2CB38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3EF52" w14:textId="77777777" w:rsidR="00F41FDD" w:rsidRDefault="00F41FDD" w:rsidP="00851958">
      <w:r>
        <w:separator/>
      </w:r>
    </w:p>
  </w:footnote>
  <w:footnote w:type="continuationSeparator" w:id="0">
    <w:p w14:paraId="237182EA" w14:textId="77777777" w:rsidR="00F41FDD" w:rsidRDefault="00F41FDD" w:rsidP="0085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05A3" w14:textId="77777777" w:rsidR="00F41FDD" w:rsidRPr="001C2010" w:rsidRDefault="00F41FDD" w:rsidP="001C201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8400-08-12</w:t>
    </w:r>
    <w:r>
      <w:rPr>
        <w:color w:val="000000"/>
        <w:sz w:val="22"/>
        <w:szCs w:val="22"/>
        <w:rtl/>
      </w:rPr>
      <w:tab/>
      <w:t xml:space="preserve"> מדינת ישראל נ' מיכאל אברמוב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ED88E" w14:textId="77777777" w:rsidR="00F41FDD" w:rsidRPr="001C2010" w:rsidRDefault="00F41FDD" w:rsidP="001C201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8400-08-12</w:t>
    </w:r>
    <w:r>
      <w:rPr>
        <w:color w:val="000000"/>
        <w:sz w:val="22"/>
        <w:szCs w:val="22"/>
        <w:rtl/>
      </w:rPr>
      <w:tab/>
      <w:t xml:space="preserve"> מדינת ישראל נ' מיכאל אברמוב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7257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5B5A"/>
    <w:rsid w:val="001C2010"/>
    <w:rsid w:val="002D7B2F"/>
    <w:rsid w:val="00724482"/>
    <w:rsid w:val="00851958"/>
    <w:rsid w:val="00A12570"/>
    <w:rsid w:val="00A80052"/>
    <w:rsid w:val="00AF7CE3"/>
    <w:rsid w:val="00BA16A0"/>
    <w:rsid w:val="00CA5050"/>
    <w:rsid w:val="00F41FDD"/>
    <w:rsid w:val="00F67A60"/>
    <w:rsid w:val="00F85B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F15ADE"/>
  <w15:chartTrackingRefBased/>
  <w15:docId w15:val="{57FBE056-5D20-4663-AAE7-F6CC4E41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B5A"/>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5B5A"/>
    <w:pPr>
      <w:tabs>
        <w:tab w:val="center" w:pos="4153"/>
        <w:tab w:val="right" w:pos="8306"/>
      </w:tabs>
    </w:pPr>
  </w:style>
  <w:style w:type="character" w:customStyle="1" w:styleId="a4">
    <w:name w:val="כותרת עליונה תו"/>
    <w:link w:val="a3"/>
    <w:rsid w:val="00F85B5A"/>
    <w:rPr>
      <w:rFonts w:ascii="David" w:eastAsia="David" w:hAnsi="David" w:cs="David"/>
      <w:sz w:val="24"/>
      <w:szCs w:val="24"/>
    </w:rPr>
  </w:style>
  <w:style w:type="paragraph" w:styleId="a5">
    <w:name w:val="footer"/>
    <w:basedOn w:val="a"/>
    <w:link w:val="a6"/>
    <w:rsid w:val="00F85B5A"/>
    <w:pPr>
      <w:tabs>
        <w:tab w:val="center" w:pos="4153"/>
        <w:tab w:val="right" w:pos="8306"/>
      </w:tabs>
    </w:pPr>
  </w:style>
  <w:style w:type="character" w:customStyle="1" w:styleId="a6">
    <w:name w:val="כותרת תחתונה תו"/>
    <w:link w:val="a5"/>
    <w:rsid w:val="00F85B5A"/>
    <w:rPr>
      <w:rFonts w:ascii="David" w:eastAsia="David" w:hAnsi="David" w:cs="David"/>
      <w:sz w:val="24"/>
      <w:szCs w:val="24"/>
    </w:rPr>
  </w:style>
  <w:style w:type="table" w:styleId="a7">
    <w:name w:val="Table Grid"/>
    <w:basedOn w:val="a1"/>
    <w:rsid w:val="00F85B5A"/>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5B5A"/>
  </w:style>
  <w:style w:type="character" w:customStyle="1" w:styleId="TimesNewRomanTimesNewRoman">
    <w:name w:val="סגנון (לטיני) Times New Roman (עברית ושפות אחרות) Times New Roman..."/>
    <w:rsid w:val="00F85B5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85B5A"/>
    <w:rPr>
      <w:rFonts w:ascii="Times New Roman" w:eastAsia="Times New Roman" w:hAnsi="Times New Roman"/>
      <w:b/>
      <w:bCs/>
      <w:u w:val="single"/>
    </w:rPr>
  </w:style>
  <w:style w:type="character" w:styleId="a9">
    <w:name w:val="line number"/>
    <w:rsid w:val="00F85B5A"/>
  </w:style>
  <w:style w:type="character" w:styleId="Hyperlink">
    <w:name w:val="Hyperlink"/>
    <w:rsid w:val="00A80052"/>
    <w:rPr>
      <w:color w:val="0563C1"/>
      <w:u w:val="single"/>
    </w:rPr>
  </w:style>
  <w:style w:type="character" w:styleId="aa">
    <w:name w:val="Unresolved Mention"/>
    <w:rsid w:val="00A800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4216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5049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8400;19283</vt:lpwstr>
  </property>
  <property fmtid="{D5CDD505-2E9C-101B-9397-08002B2CF9AE}" pid="6" name="NEWPARTB">
    <vt:lpwstr>08;04</vt:lpwstr>
  </property>
  <property fmtid="{D5CDD505-2E9C-101B-9397-08002B2CF9AE}" pid="7" name="NEWPARTC">
    <vt:lpwstr>12;15</vt:lpwstr>
  </property>
  <property fmtid="{D5CDD505-2E9C-101B-9397-08002B2CF9AE}" pid="8" name="APPELLANT">
    <vt:lpwstr>מדינת ישראל</vt:lpwstr>
  </property>
  <property fmtid="{D5CDD505-2E9C-101B-9397-08002B2CF9AE}" pid="9" name="APPELLEE">
    <vt:lpwstr>מיכאל אברמוב </vt:lpwstr>
  </property>
  <property fmtid="{D5CDD505-2E9C-101B-9397-08002B2CF9AE}" pid="10" name="LAWYER">
    <vt:lpwstr>רוני אלסטר;שפקמן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20170720</vt:lpwstr>
  </property>
  <property fmtid="{D5CDD505-2E9C-101B-9397-08002B2CF9AE}" pid="14" name="TYPE_N_DATE">
    <vt:lpwstr>38020170720</vt:lpwstr>
  </property>
  <property fmtid="{D5CDD505-2E9C-101B-9397-08002B2CF9AE}" pid="15" name="WORDNUMPAGES">
    <vt:lpwstr>4</vt:lpwstr>
  </property>
  <property fmtid="{D5CDD505-2E9C-101B-9397-08002B2CF9AE}" pid="16" name="TYPE_ABS_DATE">
    <vt:lpwstr>380020170720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4216:2</vt:lpwstr>
  </property>
</Properties>
</file>