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F2E69" w:rsidRPr="00DF2E69" w14:paraId="18DBEF80" w14:textId="77777777">
        <w:trPr>
          <w:trHeight w:hRule="exact" w:val="418"/>
          <w:jc w:val="center"/>
        </w:trPr>
        <w:tc>
          <w:tcPr>
            <w:tcW w:w="8720" w:type="dxa"/>
            <w:gridSpan w:val="3"/>
          </w:tcPr>
          <w:p w14:paraId="2D2C5595" w14:textId="77777777" w:rsidR="00DF2E69" w:rsidRPr="00DF2E69" w:rsidRDefault="00DF2E69" w:rsidP="00DF2E69">
            <w:pPr>
              <w:pStyle w:val="a3"/>
              <w:tabs>
                <w:tab w:val="clear" w:pos="8306"/>
              </w:tabs>
              <w:jc w:val="center"/>
              <w:rPr>
                <w:rFonts w:ascii="Tahoma" w:hAnsi="Tahoma" w:cs="Tahoma"/>
                <w:b/>
                <w:bCs/>
                <w:color w:val="000080"/>
                <w:sz w:val="20"/>
                <w:szCs w:val="20"/>
              </w:rPr>
            </w:pPr>
            <w:r w:rsidRPr="00DF2E69">
              <w:rPr>
                <w:rFonts w:ascii="Tahoma" w:hAnsi="Tahoma" w:cs="Tahoma"/>
                <w:b/>
                <w:bCs/>
                <w:color w:val="000080"/>
                <w:sz w:val="20"/>
                <w:szCs w:val="20"/>
                <w:rtl/>
              </w:rPr>
              <w:t>בית משפט השלום בעכו</w:t>
            </w:r>
          </w:p>
        </w:tc>
      </w:tr>
      <w:tr w:rsidR="00DF2E69" w:rsidRPr="00DF2E69" w14:paraId="58DE2BE4" w14:textId="77777777">
        <w:trPr>
          <w:trHeight w:val="337"/>
          <w:jc w:val="center"/>
        </w:trPr>
        <w:tc>
          <w:tcPr>
            <w:tcW w:w="6396" w:type="dxa"/>
          </w:tcPr>
          <w:p w14:paraId="487FC815" w14:textId="77777777" w:rsidR="00DF2E69" w:rsidRPr="00DF2E69" w:rsidRDefault="00DF2E69" w:rsidP="00DF2E69">
            <w:pPr>
              <w:rPr>
                <w:b/>
                <w:bCs/>
                <w:sz w:val="26"/>
                <w:szCs w:val="26"/>
                <w:rtl/>
              </w:rPr>
            </w:pPr>
            <w:r w:rsidRPr="00DF2E69">
              <w:rPr>
                <w:b/>
                <w:bCs/>
                <w:sz w:val="26"/>
                <w:szCs w:val="26"/>
                <w:rtl/>
              </w:rPr>
              <w:t>ת"פ8696-08-12מדינת ישראל נ' סיאח(עציר)</w:t>
            </w:r>
          </w:p>
          <w:p w14:paraId="692BAB83" w14:textId="77777777" w:rsidR="00DF2E69" w:rsidRPr="00DF2E69" w:rsidRDefault="00DF2E69" w:rsidP="00DF2E69">
            <w:pPr>
              <w:rPr>
                <w:b/>
                <w:bCs/>
                <w:sz w:val="26"/>
                <w:szCs w:val="26"/>
              </w:rPr>
            </w:pPr>
          </w:p>
        </w:tc>
        <w:tc>
          <w:tcPr>
            <w:tcW w:w="236" w:type="dxa"/>
          </w:tcPr>
          <w:p w14:paraId="4B5FB148" w14:textId="77777777" w:rsidR="00DF2E69" w:rsidRPr="00DF2E69" w:rsidRDefault="00DF2E69" w:rsidP="00DF2E69">
            <w:pPr>
              <w:pStyle w:val="a3"/>
              <w:jc w:val="right"/>
              <w:rPr>
                <w:b/>
                <w:bCs/>
                <w:sz w:val="26"/>
                <w:szCs w:val="26"/>
              </w:rPr>
            </w:pPr>
          </w:p>
        </w:tc>
        <w:tc>
          <w:tcPr>
            <w:tcW w:w="2088" w:type="dxa"/>
          </w:tcPr>
          <w:p w14:paraId="3120F831" w14:textId="77777777" w:rsidR="00DF2E69" w:rsidRPr="00DF2E69" w:rsidRDefault="00DF2E69" w:rsidP="00DF2E69">
            <w:pPr>
              <w:pStyle w:val="a3"/>
              <w:tabs>
                <w:tab w:val="clear" w:pos="4153"/>
              </w:tabs>
              <w:jc w:val="right"/>
              <w:rPr>
                <w:b/>
                <w:bCs/>
                <w:sz w:val="26"/>
                <w:szCs w:val="26"/>
              </w:rPr>
            </w:pPr>
            <w:r w:rsidRPr="00DF2E69">
              <w:rPr>
                <w:b/>
                <w:bCs/>
                <w:sz w:val="26"/>
                <w:szCs w:val="26"/>
                <w:rtl/>
              </w:rPr>
              <w:t>27 מאי 2013</w:t>
            </w:r>
          </w:p>
        </w:tc>
      </w:tr>
    </w:tbl>
    <w:p w14:paraId="5E46BD97" w14:textId="77777777" w:rsidR="00DF2E69" w:rsidRPr="00DF2E69" w:rsidRDefault="00DF2E69" w:rsidP="00DF2E69">
      <w:pPr>
        <w:pStyle w:val="a3"/>
        <w:jc w:val="center"/>
        <w:rPr>
          <w:rFonts w:ascii="Tahoma" w:hAnsi="Tahoma" w:cs="Tahoma"/>
          <w:b/>
          <w:bCs/>
          <w:color w:val="000080"/>
          <w:sz w:val="20"/>
          <w:szCs w:val="20"/>
          <w:rtl/>
        </w:rPr>
      </w:pPr>
    </w:p>
    <w:p w14:paraId="5AE43C0B" w14:textId="77777777" w:rsidR="00DF2E69" w:rsidRPr="00DF2E69" w:rsidRDefault="00DF2E69">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DF2E69" w:rsidRPr="00DF2E69" w14:paraId="4C1CCFFA" w14:textId="77777777">
        <w:trPr>
          <w:trHeight w:val="337"/>
          <w:jc w:val="center"/>
        </w:trPr>
        <w:tc>
          <w:tcPr>
            <w:tcW w:w="1592" w:type="dxa"/>
          </w:tcPr>
          <w:p w14:paraId="00E06B4F" w14:textId="77777777" w:rsidR="00DF2E69" w:rsidRPr="00DF2E69" w:rsidRDefault="00DF2E69" w:rsidP="00DF2E69">
            <w:pPr>
              <w:pStyle w:val="a3"/>
              <w:bidi w:val="0"/>
              <w:spacing w:line="360" w:lineRule="auto"/>
              <w:jc w:val="both"/>
              <w:rPr>
                <w:rFonts w:ascii="Times New Roman" w:hAnsi="Times New Roman"/>
              </w:rPr>
            </w:pPr>
          </w:p>
        </w:tc>
        <w:tc>
          <w:tcPr>
            <w:tcW w:w="7128" w:type="dxa"/>
          </w:tcPr>
          <w:p w14:paraId="3C816C19" w14:textId="77777777" w:rsidR="00DF2E69" w:rsidRPr="00DF2E69" w:rsidRDefault="00DF2E69" w:rsidP="00DF2E69">
            <w:pPr>
              <w:pStyle w:val="a3"/>
              <w:jc w:val="right"/>
              <w:rPr>
                <w:b/>
                <w:bCs/>
                <w:sz w:val="26"/>
                <w:szCs w:val="26"/>
              </w:rPr>
            </w:pPr>
            <w:r w:rsidRPr="00DF2E69">
              <w:rPr>
                <w:b/>
                <w:bCs/>
                <w:sz w:val="26"/>
                <w:szCs w:val="26"/>
                <w:rtl/>
              </w:rPr>
              <w:t>8712-08-12</w:t>
            </w:r>
          </w:p>
        </w:tc>
      </w:tr>
    </w:tbl>
    <w:p w14:paraId="08638769" w14:textId="77777777" w:rsidR="00B60C1A" w:rsidRPr="00DF2E69" w:rsidRDefault="00B60C1A">
      <w:pPr>
        <w:spacing w:line="360" w:lineRule="auto"/>
        <w:jc w:val="both"/>
        <w:rPr>
          <w:rFonts w:ascii="Arial" w:hAnsi="Arial"/>
          <w:rtl/>
        </w:rPr>
      </w:pPr>
    </w:p>
    <w:p w14:paraId="6D4E7599" w14:textId="77777777" w:rsidR="00DF2E69" w:rsidRPr="00DF2E69" w:rsidRDefault="00DF2E69">
      <w:pPr>
        <w:spacing w:line="360" w:lineRule="auto"/>
        <w:jc w:val="both"/>
        <w:rPr>
          <w:sz w:val="6"/>
          <w:szCs w:val="6"/>
          <w:rtl/>
        </w:rPr>
      </w:pPr>
    </w:p>
    <w:tbl>
      <w:tblPr>
        <w:bidiVisual/>
        <w:tblW w:w="8802" w:type="dxa"/>
        <w:tblLook w:val="01E0" w:firstRow="1" w:lastRow="1" w:firstColumn="1" w:lastColumn="1" w:noHBand="0" w:noVBand="0"/>
      </w:tblPr>
      <w:tblGrid>
        <w:gridCol w:w="2880"/>
        <w:gridCol w:w="5839"/>
        <w:gridCol w:w="83"/>
      </w:tblGrid>
      <w:tr w:rsidR="00DF2E69" w:rsidRPr="00DF2E69" w14:paraId="542D801D" w14:textId="77777777">
        <w:trPr>
          <w:gridAfter w:val="1"/>
          <w:wAfter w:w="55" w:type="dxa"/>
        </w:trPr>
        <w:tc>
          <w:tcPr>
            <w:tcW w:w="8719" w:type="dxa"/>
            <w:gridSpan w:val="2"/>
          </w:tcPr>
          <w:p w14:paraId="76026018" w14:textId="77777777" w:rsidR="00DF2E69" w:rsidRPr="00DF2E69" w:rsidRDefault="00DF2E69" w:rsidP="00DF2E69">
            <w:pPr>
              <w:spacing w:line="360" w:lineRule="auto"/>
              <w:jc w:val="both"/>
              <w:rPr>
                <w:rFonts w:ascii="Times New Roman" w:hAnsi="Times New Roman"/>
                <w:b/>
                <w:bCs/>
                <w:sz w:val="26"/>
                <w:szCs w:val="26"/>
              </w:rPr>
            </w:pPr>
            <w:r w:rsidRPr="00DF2E69">
              <w:rPr>
                <w:rFonts w:ascii="Times New Roman" w:hAnsi="Times New Roman"/>
                <w:b/>
                <w:bCs/>
                <w:sz w:val="26"/>
                <w:szCs w:val="26"/>
                <w:rtl/>
              </w:rPr>
              <w:t>בפני כב' השופטת</w:t>
            </w:r>
            <w:r w:rsidRPr="00DF2E69">
              <w:rPr>
                <w:rFonts w:ascii="Times New Roman" w:hAnsi="Times New Roman" w:hint="cs"/>
                <w:b/>
                <w:bCs/>
                <w:sz w:val="26"/>
                <w:szCs w:val="26"/>
                <w:rtl/>
              </w:rPr>
              <w:t xml:space="preserve"> </w:t>
            </w:r>
            <w:r w:rsidRPr="00DF2E69">
              <w:rPr>
                <w:rFonts w:ascii="Times New Roman" w:hAnsi="Times New Roman"/>
                <w:b/>
                <w:bCs/>
                <w:sz w:val="26"/>
                <w:szCs w:val="26"/>
                <w:rtl/>
              </w:rPr>
              <w:t>רונית בש</w:t>
            </w:r>
            <w:r w:rsidRPr="00DF2E69">
              <w:rPr>
                <w:rFonts w:ascii="Times New Roman" w:hAnsi="Times New Roman" w:cs="Times New Roman"/>
                <w:rtl/>
              </w:rPr>
              <w:t>,</w:t>
            </w:r>
            <w:r w:rsidRPr="00DF2E69">
              <w:rPr>
                <w:rFonts w:ascii="Times New Roman" w:hAnsi="Times New Roman"/>
                <w:b/>
                <w:bCs/>
                <w:sz w:val="26"/>
                <w:szCs w:val="26"/>
                <w:rtl/>
              </w:rPr>
              <w:t>סגנית נשיא</w:t>
            </w:r>
          </w:p>
        </w:tc>
      </w:tr>
      <w:tr w:rsidR="00DF2E69" w:rsidRPr="00DF2E69" w14:paraId="583DCEBC" w14:textId="77777777">
        <w:tc>
          <w:tcPr>
            <w:tcW w:w="2880" w:type="dxa"/>
          </w:tcPr>
          <w:p w14:paraId="7098BB10" w14:textId="77777777" w:rsidR="00DF2E69" w:rsidRPr="00DF2E69" w:rsidRDefault="00DF2E69" w:rsidP="00DF2E69">
            <w:pPr>
              <w:ind w:left="26"/>
              <w:rPr>
                <w:rFonts w:ascii="Times New Roman" w:hAnsi="Times New Roman"/>
                <w:b/>
                <w:bCs/>
                <w:sz w:val="26"/>
                <w:szCs w:val="26"/>
              </w:rPr>
            </w:pPr>
            <w:bookmarkStart w:id="0" w:name="FirstAppellant"/>
            <w:bookmarkStart w:id="1" w:name="LastJudge"/>
            <w:bookmarkEnd w:id="1"/>
            <w:r w:rsidRPr="00DF2E69">
              <w:rPr>
                <w:rFonts w:ascii="Times New Roman" w:hAnsi="Times New Roman"/>
                <w:b/>
                <w:bCs/>
                <w:sz w:val="26"/>
                <w:szCs w:val="26"/>
                <w:rtl/>
              </w:rPr>
              <w:t>המאשימה</w:t>
            </w:r>
          </w:p>
        </w:tc>
        <w:tc>
          <w:tcPr>
            <w:tcW w:w="5922" w:type="dxa"/>
            <w:gridSpan w:val="2"/>
          </w:tcPr>
          <w:p w14:paraId="2E4D4F8C" w14:textId="77777777" w:rsidR="00DF2E69" w:rsidRPr="00DF2E69" w:rsidRDefault="00DF2E69" w:rsidP="00DF2E69">
            <w:pPr>
              <w:rPr>
                <w:rFonts w:ascii="Times New Roman" w:hAnsi="Times New Roman"/>
                <w:b/>
                <w:bCs/>
                <w:sz w:val="26"/>
                <w:szCs w:val="26"/>
                <w:rtl/>
              </w:rPr>
            </w:pPr>
            <w:r w:rsidRPr="00DF2E69">
              <w:rPr>
                <w:rFonts w:ascii="Times New Roman" w:hAnsi="Times New Roman"/>
                <w:b/>
                <w:bCs/>
                <w:sz w:val="26"/>
                <w:szCs w:val="26"/>
                <w:rtl/>
              </w:rPr>
              <w:t>מדינת ישראל</w:t>
            </w:r>
          </w:p>
          <w:p w14:paraId="66F175B7" w14:textId="77777777" w:rsidR="00DF2E69" w:rsidRPr="00DF2E69" w:rsidRDefault="00DF2E69" w:rsidP="00DF2E69">
            <w:pPr>
              <w:rPr>
                <w:rFonts w:ascii="Times New Roman" w:hAnsi="Times New Roman"/>
                <w:b/>
                <w:bCs/>
                <w:sz w:val="26"/>
                <w:szCs w:val="26"/>
              </w:rPr>
            </w:pPr>
          </w:p>
        </w:tc>
      </w:tr>
      <w:bookmarkEnd w:id="0"/>
      <w:tr w:rsidR="00DF2E69" w:rsidRPr="00DF2E69" w14:paraId="5969502C" w14:textId="77777777">
        <w:tc>
          <w:tcPr>
            <w:tcW w:w="8802" w:type="dxa"/>
            <w:gridSpan w:val="3"/>
          </w:tcPr>
          <w:p w14:paraId="5630F9A8" w14:textId="77777777" w:rsidR="00DF2E69" w:rsidRPr="00DF2E69" w:rsidRDefault="00DF2E69" w:rsidP="00DF2E69">
            <w:pPr>
              <w:jc w:val="both"/>
              <w:rPr>
                <w:rFonts w:ascii="Arial" w:hAnsi="Arial"/>
                <w:b/>
                <w:bCs/>
                <w:sz w:val="26"/>
                <w:szCs w:val="26"/>
                <w:rtl/>
              </w:rPr>
            </w:pPr>
          </w:p>
          <w:p w14:paraId="2FE6896F" w14:textId="77777777" w:rsidR="00DF2E69" w:rsidRPr="00DF2E69" w:rsidRDefault="00DF2E69" w:rsidP="00DF2E69">
            <w:pPr>
              <w:jc w:val="center"/>
              <w:rPr>
                <w:rFonts w:ascii="Arial" w:hAnsi="Arial"/>
                <w:b/>
                <w:bCs/>
                <w:sz w:val="26"/>
                <w:szCs w:val="26"/>
                <w:rtl/>
              </w:rPr>
            </w:pPr>
            <w:r w:rsidRPr="00DF2E69">
              <w:rPr>
                <w:rFonts w:ascii="Arial" w:hAnsi="Arial"/>
                <w:b/>
                <w:bCs/>
                <w:sz w:val="26"/>
                <w:szCs w:val="26"/>
                <w:rtl/>
              </w:rPr>
              <w:t>נגד</w:t>
            </w:r>
          </w:p>
          <w:p w14:paraId="3A333447" w14:textId="77777777" w:rsidR="00DF2E69" w:rsidRPr="00DF2E69" w:rsidRDefault="00DF2E69" w:rsidP="00DF2E69">
            <w:pPr>
              <w:jc w:val="center"/>
              <w:rPr>
                <w:rFonts w:ascii="Arial" w:hAnsi="Arial"/>
                <w:b/>
                <w:bCs/>
                <w:sz w:val="26"/>
                <w:szCs w:val="26"/>
              </w:rPr>
            </w:pPr>
          </w:p>
        </w:tc>
      </w:tr>
      <w:tr w:rsidR="00DF2E69" w:rsidRPr="00DF2E69" w14:paraId="32812D0E" w14:textId="77777777">
        <w:tc>
          <w:tcPr>
            <w:tcW w:w="2880" w:type="dxa"/>
          </w:tcPr>
          <w:p w14:paraId="383593A8" w14:textId="77777777" w:rsidR="00DF2E69" w:rsidRPr="00DF2E69" w:rsidRDefault="00DF2E69" w:rsidP="00DF2E69">
            <w:pPr>
              <w:ind w:left="26"/>
              <w:rPr>
                <w:rFonts w:ascii="Times New Roman" w:hAnsi="Times New Roman"/>
                <w:b/>
                <w:bCs/>
                <w:sz w:val="26"/>
                <w:szCs w:val="26"/>
              </w:rPr>
            </w:pPr>
            <w:r w:rsidRPr="00DF2E69">
              <w:rPr>
                <w:rFonts w:ascii="Times New Roman" w:hAnsi="Times New Roman"/>
                <w:b/>
                <w:bCs/>
                <w:sz w:val="26"/>
                <w:szCs w:val="26"/>
                <w:rtl/>
              </w:rPr>
              <w:t>הנאשם</w:t>
            </w:r>
          </w:p>
        </w:tc>
        <w:tc>
          <w:tcPr>
            <w:tcW w:w="5922" w:type="dxa"/>
            <w:gridSpan w:val="2"/>
          </w:tcPr>
          <w:p w14:paraId="7A6E6E8B" w14:textId="77777777" w:rsidR="00DF2E69" w:rsidRPr="00DF2E69" w:rsidRDefault="00DF2E69" w:rsidP="00DF2E69">
            <w:pPr>
              <w:rPr>
                <w:rFonts w:ascii="Times New Roman" w:hAnsi="Times New Roman"/>
                <w:b/>
                <w:bCs/>
                <w:sz w:val="26"/>
                <w:szCs w:val="26"/>
                <w:rtl/>
              </w:rPr>
            </w:pPr>
            <w:r w:rsidRPr="00DF2E69">
              <w:rPr>
                <w:rFonts w:ascii="Times New Roman" w:hAnsi="Times New Roman"/>
                <w:b/>
                <w:bCs/>
                <w:sz w:val="26"/>
                <w:szCs w:val="26"/>
                <w:rtl/>
              </w:rPr>
              <w:t xml:space="preserve">חוסאם סיאח </w:t>
            </w:r>
          </w:p>
          <w:p w14:paraId="7993B484" w14:textId="77777777" w:rsidR="00DF2E69" w:rsidRPr="00DF2E69" w:rsidRDefault="00DF2E69" w:rsidP="00DF2E69">
            <w:pPr>
              <w:rPr>
                <w:rFonts w:ascii="Times New Roman" w:hAnsi="Times New Roman"/>
                <w:b/>
                <w:bCs/>
                <w:sz w:val="26"/>
                <w:szCs w:val="26"/>
              </w:rPr>
            </w:pPr>
          </w:p>
        </w:tc>
      </w:tr>
    </w:tbl>
    <w:p w14:paraId="20AA4ABA" w14:textId="77777777" w:rsidR="00B60C1A" w:rsidRPr="00DF2E69" w:rsidRDefault="00B60C1A">
      <w:pPr>
        <w:spacing w:line="360" w:lineRule="auto"/>
        <w:jc w:val="both"/>
        <w:rPr>
          <w:sz w:val="6"/>
          <w:szCs w:val="6"/>
          <w:rtl/>
        </w:rPr>
      </w:pPr>
      <w:r w:rsidRPr="00DF2E69">
        <w:rPr>
          <w:sz w:val="6"/>
          <w:szCs w:val="6"/>
          <w:rtl/>
        </w:rPr>
        <w:t>&lt;#2#&gt;</w:t>
      </w:r>
    </w:p>
    <w:p w14:paraId="400196D7" w14:textId="77777777" w:rsidR="00B60C1A" w:rsidRPr="00DF2E69" w:rsidRDefault="00B60C1A">
      <w:pPr>
        <w:pStyle w:val="12"/>
        <w:rPr>
          <w:u w:val="none"/>
          <w:rtl/>
        </w:rPr>
      </w:pPr>
      <w:r w:rsidRPr="00DF2E69">
        <w:rPr>
          <w:u w:val="none"/>
          <w:rtl/>
        </w:rPr>
        <w:t>נוכחים:</w:t>
      </w:r>
    </w:p>
    <w:p w14:paraId="180484B5" w14:textId="77777777" w:rsidR="00B60C1A" w:rsidRPr="00DF2E69" w:rsidRDefault="00B60C1A">
      <w:pPr>
        <w:pStyle w:val="12"/>
        <w:rPr>
          <w:b w:val="0"/>
          <w:bCs w:val="0"/>
          <w:u w:val="none"/>
          <w:rtl/>
        </w:rPr>
      </w:pPr>
      <w:bookmarkStart w:id="2" w:name="FirstLawyer"/>
      <w:r w:rsidRPr="00DF2E69">
        <w:rPr>
          <w:b w:val="0"/>
          <w:bCs w:val="0"/>
          <w:u w:val="none"/>
          <w:rtl/>
        </w:rPr>
        <w:t>ב"כ</w:t>
      </w:r>
      <w:bookmarkEnd w:id="2"/>
      <w:r w:rsidRPr="00DF2E69">
        <w:rPr>
          <w:b w:val="0"/>
          <w:bCs w:val="0"/>
          <w:u w:val="none"/>
          <w:rtl/>
        </w:rPr>
        <w:t xml:space="preserve"> המאשימה- הגב' גדיר דיאב, מתמחה מפמ"ח</w:t>
      </w:r>
    </w:p>
    <w:p w14:paraId="0063DBFD" w14:textId="77777777" w:rsidR="00B60C1A" w:rsidRPr="00DF2E69" w:rsidRDefault="00B60C1A">
      <w:pPr>
        <w:pStyle w:val="12"/>
        <w:rPr>
          <w:b w:val="0"/>
          <w:bCs w:val="0"/>
          <w:u w:val="none"/>
          <w:rtl/>
        </w:rPr>
      </w:pPr>
      <w:r w:rsidRPr="00DF2E69">
        <w:rPr>
          <w:b w:val="0"/>
          <w:bCs w:val="0"/>
          <w:u w:val="none"/>
          <w:rtl/>
        </w:rPr>
        <w:t>הנאשם – הובא</w:t>
      </w:r>
    </w:p>
    <w:p w14:paraId="11FB3049" w14:textId="77777777" w:rsidR="00B60C1A" w:rsidRPr="00DF2E69" w:rsidRDefault="00B60C1A">
      <w:pPr>
        <w:pStyle w:val="12"/>
        <w:rPr>
          <w:b w:val="0"/>
          <w:bCs w:val="0"/>
          <w:u w:val="none"/>
          <w:rtl/>
        </w:rPr>
      </w:pPr>
      <w:r w:rsidRPr="00DF2E69">
        <w:rPr>
          <w:b w:val="0"/>
          <w:bCs w:val="0"/>
          <w:u w:val="none"/>
          <w:rtl/>
        </w:rPr>
        <w:t>הסנגור –עו"ד מלח שגיא, ס.ציבורי</w:t>
      </w:r>
    </w:p>
    <w:p w14:paraId="6C781CE9" w14:textId="77777777" w:rsidR="00B60C1A" w:rsidRPr="00DF2E69" w:rsidRDefault="00B60C1A">
      <w:pPr>
        <w:pStyle w:val="12"/>
        <w:jc w:val="center"/>
        <w:rPr>
          <w:sz w:val="6"/>
          <w:szCs w:val="6"/>
          <w:u w:val="none"/>
        </w:rPr>
      </w:pPr>
      <w:r w:rsidRPr="00DF2E69">
        <w:rPr>
          <w:sz w:val="6"/>
          <w:szCs w:val="6"/>
          <w:u w:val="none"/>
          <w:rtl/>
        </w:rPr>
        <w:t>&lt;#3#&gt;</w:t>
      </w:r>
    </w:p>
    <w:p w14:paraId="56FA0E49" w14:textId="77777777" w:rsidR="00E13D28" w:rsidRDefault="00E13D28">
      <w:pPr>
        <w:spacing w:line="360" w:lineRule="auto"/>
        <w:jc w:val="center"/>
        <w:rPr>
          <w:rFonts w:ascii="Arial" w:hAnsi="Arial"/>
          <w:sz w:val="42"/>
          <w:szCs w:val="42"/>
          <w:rtl/>
        </w:rPr>
      </w:pPr>
      <w:bookmarkStart w:id="3" w:name="LawTable"/>
      <w:bookmarkEnd w:id="3"/>
    </w:p>
    <w:p w14:paraId="5202EB4C" w14:textId="77777777" w:rsidR="00E13D28" w:rsidRPr="00E13D28" w:rsidRDefault="00E13D28" w:rsidP="00E13D28">
      <w:pPr>
        <w:spacing w:after="120" w:line="240" w:lineRule="exact"/>
        <w:ind w:left="283" w:hanging="283"/>
        <w:jc w:val="both"/>
        <w:rPr>
          <w:rFonts w:ascii="FrankRuehl" w:hAnsi="FrankRuehl" w:cs="FrankRuehl"/>
          <w:rtl/>
        </w:rPr>
      </w:pPr>
    </w:p>
    <w:p w14:paraId="5509A836" w14:textId="77777777" w:rsidR="00E13D28" w:rsidRPr="00E13D28" w:rsidRDefault="00E13D28" w:rsidP="00E13D28">
      <w:pPr>
        <w:spacing w:after="120" w:line="240" w:lineRule="exact"/>
        <w:ind w:left="283" w:hanging="283"/>
        <w:jc w:val="both"/>
        <w:rPr>
          <w:rFonts w:ascii="FrankRuehl" w:hAnsi="FrankRuehl" w:cs="FrankRuehl"/>
          <w:rtl/>
        </w:rPr>
      </w:pPr>
      <w:r w:rsidRPr="00E13D28">
        <w:rPr>
          <w:rFonts w:ascii="FrankRuehl" w:hAnsi="FrankRuehl" w:cs="FrankRuehl"/>
          <w:rtl/>
        </w:rPr>
        <w:t xml:space="preserve">חקיקה שאוזכרה: </w:t>
      </w:r>
    </w:p>
    <w:p w14:paraId="6E870524" w14:textId="77777777" w:rsidR="00E13D28" w:rsidRPr="00E13D28" w:rsidRDefault="00E13D28" w:rsidP="00E13D28">
      <w:pPr>
        <w:spacing w:after="120" w:line="240" w:lineRule="exact"/>
        <w:ind w:left="283" w:hanging="283"/>
        <w:jc w:val="both"/>
        <w:rPr>
          <w:rFonts w:ascii="FrankRuehl" w:hAnsi="FrankRuehl" w:cs="FrankRuehl"/>
          <w:color w:val="0000FF"/>
          <w:u w:val="single"/>
          <w:rtl/>
        </w:rPr>
      </w:pPr>
      <w:hyperlink r:id="rId7" w:history="1">
        <w:r w:rsidRPr="00E13D28">
          <w:rPr>
            <w:rStyle w:val="Hyperlink"/>
            <w:rFonts w:ascii="FrankRuehl" w:hAnsi="FrankRuehl" w:cs="FrankRuehl"/>
            <w:rtl/>
          </w:rPr>
          <w:t>פקודת הסמים המסוכנים [נוסח חדש], תשל"ג-1973</w:t>
        </w:r>
      </w:hyperlink>
    </w:p>
    <w:p w14:paraId="4CDD3B00" w14:textId="77777777" w:rsidR="00E13D28" w:rsidRPr="00E13D28" w:rsidRDefault="00E13D28" w:rsidP="00E13D28">
      <w:pPr>
        <w:spacing w:after="120" w:line="240" w:lineRule="exact"/>
        <w:ind w:left="283" w:hanging="283"/>
        <w:jc w:val="both"/>
        <w:rPr>
          <w:rFonts w:ascii="FrankRuehl" w:hAnsi="FrankRuehl" w:cs="FrankRuehl"/>
          <w:color w:val="0000FF"/>
          <w:u w:val="single"/>
          <w:rtl/>
        </w:rPr>
      </w:pPr>
      <w:hyperlink r:id="rId8" w:history="1">
        <w:r w:rsidRPr="00E13D28">
          <w:rPr>
            <w:rStyle w:val="Hyperlink"/>
            <w:rFonts w:ascii="FrankRuehl" w:hAnsi="FrankRuehl" w:cs="FrankRuehl"/>
            <w:rtl/>
          </w:rPr>
          <w:t>חוק העונשין, תשל"ז-1977</w:t>
        </w:r>
      </w:hyperlink>
    </w:p>
    <w:p w14:paraId="5E2D51D4" w14:textId="77777777" w:rsidR="00E13D28" w:rsidRPr="00E13D28" w:rsidRDefault="00E13D28" w:rsidP="00E13D28">
      <w:pPr>
        <w:spacing w:after="120" w:line="240" w:lineRule="exact"/>
        <w:ind w:left="283" w:hanging="283"/>
        <w:jc w:val="both"/>
        <w:rPr>
          <w:rFonts w:ascii="FrankRuehl" w:hAnsi="FrankRuehl" w:cs="FrankRuehl"/>
          <w:rtl/>
        </w:rPr>
      </w:pPr>
    </w:p>
    <w:p w14:paraId="0BA92243" w14:textId="77777777" w:rsidR="00E13D28" w:rsidRPr="00E13D28" w:rsidRDefault="00E13D28">
      <w:pPr>
        <w:spacing w:line="360" w:lineRule="auto"/>
        <w:jc w:val="center"/>
        <w:rPr>
          <w:rFonts w:ascii="Arial" w:hAnsi="Arial"/>
          <w:sz w:val="42"/>
          <w:szCs w:val="42"/>
          <w:rtl/>
        </w:rPr>
      </w:pPr>
      <w:bookmarkStart w:id="4" w:name="LawTable_End"/>
      <w:bookmarkEnd w:id="4"/>
    </w:p>
    <w:p w14:paraId="72941B8F" w14:textId="77777777" w:rsidR="00E13D28" w:rsidRPr="00E13D28" w:rsidRDefault="00E13D28">
      <w:pPr>
        <w:spacing w:line="360" w:lineRule="auto"/>
        <w:jc w:val="center"/>
        <w:rPr>
          <w:rFonts w:ascii="Arial" w:hAnsi="Arial"/>
          <w:b/>
          <w:bCs/>
          <w:sz w:val="42"/>
          <w:szCs w:val="42"/>
          <w:rtl/>
        </w:rPr>
      </w:pPr>
    </w:p>
    <w:p w14:paraId="36F23822" w14:textId="77777777" w:rsidR="00DF2E69" w:rsidRPr="00E13D28" w:rsidRDefault="00DF2E69">
      <w:pPr>
        <w:spacing w:line="360" w:lineRule="auto"/>
        <w:jc w:val="center"/>
        <w:rPr>
          <w:rFonts w:ascii="Arial" w:hAnsi="Arial"/>
          <w:b/>
          <w:bCs/>
          <w:sz w:val="42"/>
          <w:szCs w:val="42"/>
          <w:rtl/>
        </w:rPr>
      </w:pPr>
    </w:p>
    <w:p w14:paraId="05603B82" w14:textId="77777777" w:rsidR="00DF2E69" w:rsidRPr="00DF2E69" w:rsidRDefault="00DF2E69" w:rsidP="00DF2E69">
      <w:pPr>
        <w:pStyle w:val="12"/>
        <w:jc w:val="center"/>
        <w:rPr>
          <w:rFonts w:ascii="Arial" w:eastAsia="Times New Roman" w:hAnsi="Arial"/>
          <w:sz w:val="42"/>
          <w:szCs w:val="42"/>
          <w:rtl/>
        </w:rPr>
      </w:pPr>
      <w:bookmarkStart w:id="5" w:name="PsakDin"/>
      <w:r w:rsidRPr="00DF2E69">
        <w:rPr>
          <w:rFonts w:ascii="Arial" w:eastAsia="Times New Roman" w:hAnsi="Arial"/>
          <w:sz w:val="42"/>
          <w:szCs w:val="42"/>
          <w:rtl/>
        </w:rPr>
        <w:t>גזר דין</w:t>
      </w:r>
    </w:p>
    <w:bookmarkEnd w:id="5"/>
    <w:p w14:paraId="57D7A4D2" w14:textId="77777777" w:rsidR="00B60C1A" w:rsidRPr="007B6006" w:rsidRDefault="00B60C1A" w:rsidP="007B6006">
      <w:pPr>
        <w:pStyle w:val="12"/>
        <w:jc w:val="both"/>
        <w:rPr>
          <w:rFonts w:ascii="David" w:hAnsi="David"/>
          <w:b w:val="0"/>
          <w:bCs w:val="0"/>
          <w:u w:val="none"/>
        </w:rPr>
      </w:pPr>
    </w:p>
    <w:p w14:paraId="06DAE7C8" w14:textId="77777777" w:rsidR="00B60C1A" w:rsidRDefault="00B60C1A" w:rsidP="007B6006">
      <w:pPr>
        <w:spacing w:line="360" w:lineRule="auto"/>
        <w:jc w:val="both"/>
        <w:rPr>
          <w:b/>
          <w:bCs/>
          <w:sz w:val="28"/>
          <w:szCs w:val="28"/>
          <w:u w:val="single"/>
        </w:rPr>
      </w:pPr>
      <w:r>
        <w:rPr>
          <w:bCs/>
          <w:sz w:val="28"/>
          <w:szCs w:val="28"/>
          <w:rtl/>
        </w:rPr>
        <w:t>א.</w:t>
      </w:r>
      <w:r>
        <w:rPr>
          <w:b/>
          <w:sz w:val="28"/>
          <w:szCs w:val="28"/>
          <w:rtl/>
        </w:rPr>
        <w:tab/>
      </w:r>
      <w:r>
        <w:rPr>
          <w:b/>
          <w:bCs/>
          <w:sz w:val="28"/>
          <w:szCs w:val="28"/>
          <w:u w:val="single"/>
          <w:rtl/>
        </w:rPr>
        <w:t>מבוא</w:t>
      </w:r>
    </w:p>
    <w:p w14:paraId="16FA8ED1" w14:textId="77777777" w:rsidR="00B60C1A" w:rsidRDefault="00B60C1A" w:rsidP="007B6006">
      <w:pPr>
        <w:numPr>
          <w:ilvl w:val="0"/>
          <w:numId w:val="18"/>
        </w:numPr>
        <w:spacing w:line="360" w:lineRule="auto"/>
        <w:ind w:hanging="732"/>
        <w:jc w:val="both"/>
        <w:rPr>
          <w:rtl/>
        </w:rPr>
      </w:pPr>
      <w:bookmarkStart w:id="6" w:name="ABSTRACT_START"/>
      <w:bookmarkEnd w:id="6"/>
      <w:r>
        <w:rPr>
          <w:rtl/>
        </w:rPr>
        <w:t>הנאשם הורשע, על פי הודאתו בעובדות כתב האישום שתוקן ביום 28/2/13, במסגרת הסדר טיעון בין הצדדים, זאת בעבירה של החזקת סמים מסוכנים שלא לצריכה עצמית, עבירה לפי סעיף 7(א)+(ג) רישא ל</w:t>
      </w:r>
      <w:hyperlink r:id="rId9" w:history="1">
        <w:r w:rsidR="00E13D28" w:rsidRPr="00E13D28">
          <w:rPr>
            <w:rStyle w:val="Hyperlink"/>
            <w:rFonts w:cs="David"/>
            <w:rtl/>
          </w:rPr>
          <w:t>פקודת הסמים המסוכנים</w:t>
        </w:r>
      </w:hyperlink>
      <w:r w:rsidRPr="007B6006">
        <w:rPr>
          <w:rtl/>
        </w:rPr>
        <w:t xml:space="preserve"> [</w:t>
      </w:r>
      <w:r>
        <w:rPr>
          <w:rtl/>
        </w:rPr>
        <w:t>נוסח חדש], התשל"ג – 1973 ובעבירה של הפרעה לשוטר בעת מילוי תפקידו כדין, עבירה לפי סעיף 275 ל</w:t>
      </w:r>
      <w:hyperlink r:id="rId10" w:history="1">
        <w:r w:rsidR="00E13D28" w:rsidRPr="00E13D28">
          <w:rPr>
            <w:rStyle w:val="Hyperlink"/>
            <w:rFonts w:cs="David"/>
            <w:rtl/>
          </w:rPr>
          <w:t>חוק העונשין</w:t>
        </w:r>
      </w:hyperlink>
      <w:r>
        <w:rPr>
          <w:rtl/>
        </w:rPr>
        <w:t xml:space="preserve"> ,התשל"ז – 1977</w:t>
      </w:r>
      <w:bookmarkStart w:id="7" w:name="ABSTRACT_END"/>
      <w:bookmarkEnd w:id="7"/>
      <w:r>
        <w:rPr>
          <w:rtl/>
        </w:rPr>
        <w:t>.</w:t>
      </w:r>
    </w:p>
    <w:p w14:paraId="2545B361" w14:textId="77777777" w:rsidR="00B60C1A" w:rsidRDefault="00B60C1A" w:rsidP="007B6006">
      <w:pPr>
        <w:spacing w:line="360" w:lineRule="auto"/>
        <w:jc w:val="both"/>
        <w:rPr>
          <w:rtl/>
        </w:rPr>
      </w:pPr>
    </w:p>
    <w:p w14:paraId="7DFF66B4" w14:textId="77777777" w:rsidR="00B60C1A" w:rsidRDefault="00B60C1A" w:rsidP="007B6006">
      <w:pPr>
        <w:spacing w:line="360" w:lineRule="auto"/>
        <w:jc w:val="both"/>
        <w:rPr>
          <w:b/>
          <w:bCs/>
          <w:sz w:val="28"/>
          <w:szCs w:val="28"/>
          <w:u w:val="single"/>
          <w:rtl/>
        </w:rPr>
      </w:pPr>
      <w:r>
        <w:rPr>
          <w:bCs/>
          <w:sz w:val="28"/>
          <w:szCs w:val="28"/>
          <w:rtl/>
        </w:rPr>
        <w:lastRenderedPageBreak/>
        <w:t>ב.</w:t>
      </w:r>
      <w:r>
        <w:rPr>
          <w:b/>
          <w:sz w:val="28"/>
          <w:szCs w:val="28"/>
          <w:rtl/>
        </w:rPr>
        <w:tab/>
      </w:r>
      <w:r>
        <w:rPr>
          <w:b/>
          <w:bCs/>
          <w:sz w:val="28"/>
          <w:szCs w:val="28"/>
          <w:u w:val="single"/>
          <w:rtl/>
        </w:rPr>
        <w:t>כתב האישום המתוקן</w:t>
      </w:r>
    </w:p>
    <w:p w14:paraId="4A13F8C2" w14:textId="77777777" w:rsidR="00B60C1A" w:rsidRDefault="00B60C1A" w:rsidP="007B6006">
      <w:pPr>
        <w:spacing w:line="360" w:lineRule="auto"/>
        <w:ind w:firstLine="720"/>
        <w:jc w:val="both"/>
        <w:rPr>
          <w:rtl/>
        </w:rPr>
      </w:pPr>
      <w:r>
        <w:rPr>
          <w:rtl/>
        </w:rPr>
        <w:t>2.</w:t>
      </w:r>
      <w:r>
        <w:rPr>
          <w:rtl/>
        </w:rPr>
        <w:tab/>
        <w:t>בעובדות כתב האישום המתוקן נטען, כדלקמן:</w:t>
      </w:r>
    </w:p>
    <w:p w14:paraId="7B3AFD92" w14:textId="77777777" w:rsidR="00B60C1A" w:rsidRDefault="00B60C1A" w:rsidP="007B6006">
      <w:pPr>
        <w:spacing w:line="360" w:lineRule="auto"/>
        <w:ind w:left="1440"/>
        <w:jc w:val="both"/>
        <w:rPr>
          <w:rtl/>
        </w:rPr>
      </w:pPr>
      <w:r>
        <w:rPr>
          <w:rtl/>
        </w:rPr>
        <w:t xml:space="preserve">ביום 29.7.12 בשעה 12:30, לערך, עת הלך הנאשם כשהוא אוחז באופניים בעיר העתיקה בעכו, החזיק הנאשם בתוך שקית גדולה (להלן: "השקית") שתי שקיות שהכילו סם מסוכן מסוג הרואין במשקל כולל של 39.04 גרם, זאת שלא לצריכה עצמית וללא היתר על פי דין. באותה עת נסעו השוטרים יניב מושקטל, אלון תיבי, יוסי אטיאס ואילן אלבז (להלן: "השוטרים") ברכב משטרתי בעיר. משהבחינו השוטרים בנאשם יוצא מרחבת הבית של משפחת עוראבי (להלן: "הרחבה"), נסעו לעברו ועצרו את הרכב המשטרתי בסמוך אליו. משהבחין הנאשם בשוטרים, נטש את האופניים והחל לברוח בריצה חזרה לכיוון הרחבה, ומשהגיע למבוי סתום ללא מוצא, זרק הנאשם את השקית אל עבר גדר במבוק במקום.  משהודיעו השוטרים לנאשם כי הוא עצור, החל הנאשם להתנגד למעצר כשהוא משתולל, צועק, מניף את ידיו לכל עבר ובועט באוויר. עוד ובמהלך ניסיונות השוטרים להשתלט עליו, המשיך הנאשם להתנגד למעצרו. </w:t>
      </w:r>
    </w:p>
    <w:p w14:paraId="211EB4BD" w14:textId="77777777" w:rsidR="00B60C1A" w:rsidRDefault="00B60C1A" w:rsidP="007B6006">
      <w:pPr>
        <w:spacing w:line="360" w:lineRule="auto"/>
        <w:jc w:val="both"/>
        <w:rPr>
          <w:rtl/>
        </w:rPr>
      </w:pPr>
    </w:p>
    <w:p w14:paraId="32088350" w14:textId="77777777" w:rsidR="00B60C1A" w:rsidRDefault="00B60C1A" w:rsidP="007B6006">
      <w:pPr>
        <w:spacing w:line="360" w:lineRule="auto"/>
        <w:ind w:left="1440" w:hanging="630"/>
        <w:jc w:val="both"/>
        <w:rPr>
          <w:rtl/>
        </w:rPr>
      </w:pPr>
      <w:r>
        <w:rPr>
          <w:rtl/>
        </w:rPr>
        <w:t>3.</w:t>
      </w:r>
      <w:r>
        <w:rPr>
          <w:rtl/>
        </w:rPr>
        <w:tab/>
        <w:t xml:space="preserve">יובהר בנקודה זו, כי ב"כ המאשימה הביע בדיון בפניי ביום 28/2/13 את הסכמת המאשימה לכך שריכוז הסמים באחת השקיות, שמשקלה 19.38 גרם ובה תערובת של חומר אבקתי, הינו ריכוז נמוך של סם בשקית זו, נמוך יחסית למקובל ונמוך ביחס לשקית האחרת בה החזיק הנאשם. לאחר הצהרתו הנ"ל של ב"כ המאשימה, הוקרא כתב האישום המתוקן לנאשם על ידי הסנגור והנאשם הודה בעובדותיו. </w:t>
      </w:r>
    </w:p>
    <w:p w14:paraId="0BA266F0" w14:textId="77777777" w:rsidR="00B60C1A" w:rsidRDefault="00B60C1A" w:rsidP="007B6006">
      <w:pPr>
        <w:spacing w:before="100" w:beforeAutospacing="1" w:after="100" w:afterAutospacing="1"/>
        <w:rPr>
          <w:bCs/>
          <w:sz w:val="28"/>
          <w:szCs w:val="28"/>
          <w:u w:val="single"/>
          <w:rtl/>
        </w:rPr>
      </w:pPr>
      <w:r>
        <w:rPr>
          <w:bCs/>
          <w:sz w:val="28"/>
          <w:szCs w:val="28"/>
          <w:rtl/>
        </w:rPr>
        <w:t>ג.</w:t>
      </w:r>
      <w:r>
        <w:rPr>
          <w:b/>
          <w:sz w:val="28"/>
          <w:szCs w:val="28"/>
          <w:rtl/>
        </w:rPr>
        <w:tab/>
      </w:r>
      <w:r>
        <w:rPr>
          <w:bCs/>
          <w:sz w:val="28"/>
          <w:szCs w:val="28"/>
          <w:u w:val="single"/>
          <w:rtl/>
        </w:rPr>
        <w:t>טיעוני המאשימה לעונש</w:t>
      </w:r>
    </w:p>
    <w:p w14:paraId="7053B49D" w14:textId="77777777" w:rsidR="00B60C1A" w:rsidRDefault="00B60C1A" w:rsidP="007B6006">
      <w:pPr>
        <w:pStyle w:val="david-p"/>
        <w:bidi/>
        <w:spacing w:line="360" w:lineRule="auto"/>
        <w:ind w:left="1440" w:hanging="720"/>
        <w:rPr>
          <w:rFonts w:cs="David"/>
          <w:sz w:val="24"/>
          <w:szCs w:val="24"/>
          <w:rtl/>
        </w:rPr>
      </w:pPr>
      <w:r>
        <w:rPr>
          <w:rFonts w:cs="David"/>
          <w:sz w:val="24"/>
          <w:szCs w:val="24"/>
          <w:rtl/>
        </w:rPr>
        <w:t>4.</w:t>
      </w:r>
      <w:r>
        <w:rPr>
          <w:rFonts w:cs="David"/>
          <w:sz w:val="24"/>
          <w:szCs w:val="24"/>
          <w:rtl/>
        </w:rPr>
        <w:tab/>
        <w:t xml:space="preserve">ב"כ המאשימה, בטיעוניו לעונש בפניי, ציין את עברו הפלילי המכביד של הנאשם והגיש לבית המשפט את גיליון ההרשעות הקודמות של הנאשם (ת/1), הכולל בחובו 15 הרשעות קודמות, לרבות 9 הרשעות בגין עבירות לפי </w:t>
      </w:r>
      <w:hyperlink r:id="rId11" w:history="1">
        <w:r w:rsidR="00E13D28" w:rsidRPr="00E13D28">
          <w:rPr>
            <w:rStyle w:val="Hyperlink"/>
            <w:rFonts w:cs="David"/>
            <w:sz w:val="24"/>
            <w:szCs w:val="24"/>
            <w:rtl/>
          </w:rPr>
          <w:t>פקודת הסמים המסוכנים</w:t>
        </w:r>
      </w:hyperlink>
      <w:r>
        <w:rPr>
          <w:rFonts w:cs="David"/>
          <w:sz w:val="24"/>
          <w:szCs w:val="24"/>
          <w:rtl/>
        </w:rPr>
        <w:t>. כמו כן, הדגיש ב"כ המאשימה, לחומרא, כי הנאשם ביצע את העבירות בהן הורשע, זאת כאשר תלויים ועומדים נגדו שני מאסרים על תנאי, אשר יש להפעילם בתיק זה -  האחד בן 12 חודשים והשני בן 10 חודשים (ת/2). ב"כ המאשימה ביקש, כי המאסרים על תנאי הנ"ל יופעלו במצטבר האחד לשני ובמצטבר לעונש שיוטל על הנאשם בתיק זה. ב"כ המאשימה ציין, כי המאשימה סבורה שמתחם הענישה ההולם, בנסיבותיו של תיק זה, נע בין 4 ל-6 שנות מאסר בפועל, וכי מן הראוי להטיל על הנאשם מאסר בפועל, על פי הרף העליון הנ"ל, זאת נוכח עברו הפלילי המכביד של הנאשם (ראה ת/3 – החלטת ביהמ"ש המחוזי בתל אביב, לפיה הפעלת המאסר על תנאי אינה נכללת במתחם הענישה).</w:t>
      </w:r>
    </w:p>
    <w:p w14:paraId="5644EA6A" w14:textId="77777777" w:rsidR="00B60C1A" w:rsidRDefault="00B60C1A" w:rsidP="007B6006">
      <w:pPr>
        <w:pStyle w:val="david-p"/>
        <w:bidi/>
        <w:spacing w:line="360" w:lineRule="auto"/>
        <w:ind w:left="1440" w:hanging="720"/>
        <w:rPr>
          <w:rFonts w:cs="David"/>
          <w:sz w:val="24"/>
          <w:szCs w:val="24"/>
          <w:rtl/>
        </w:rPr>
      </w:pPr>
    </w:p>
    <w:p w14:paraId="2CE1B642" w14:textId="77777777" w:rsidR="00B60C1A" w:rsidRDefault="00B60C1A" w:rsidP="007B6006">
      <w:pPr>
        <w:pStyle w:val="david-p"/>
        <w:bidi/>
        <w:spacing w:line="360" w:lineRule="auto"/>
        <w:ind w:left="1440" w:hanging="630"/>
        <w:rPr>
          <w:rFonts w:cs="David"/>
          <w:sz w:val="24"/>
          <w:szCs w:val="24"/>
          <w:rtl/>
        </w:rPr>
      </w:pPr>
      <w:r>
        <w:rPr>
          <w:rFonts w:cs="David"/>
          <w:sz w:val="24"/>
          <w:szCs w:val="24"/>
          <w:rtl/>
        </w:rPr>
        <w:t>5.</w:t>
      </w:r>
      <w:r>
        <w:rPr>
          <w:rFonts w:cs="David"/>
          <w:sz w:val="24"/>
          <w:szCs w:val="24"/>
          <w:rtl/>
        </w:rPr>
        <w:tab/>
        <w:t>ב"כ המאשימה התייחס בטיעוניו בכתב לעונש (ת/4) לתיקון מס'  113 ל</w:t>
      </w:r>
      <w:hyperlink r:id="rId12" w:history="1">
        <w:r w:rsidR="00E13D28" w:rsidRPr="00E13D28">
          <w:rPr>
            <w:rStyle w:val="Hyperlink"/>
            <w:rFonts w:cs="David"/>
            <w:sz w:val="24"/>
            <w:szCs w:val="24"/>
            <w:rtl/>
          </w:rPr>
          <w:t>חוק העונשין</w:t>
        </w:r>
      </w:hyperlink>
      <w:r>
        <w:rPr>
          <w:rFonts w:cs="David"/>
          <w:sz w:val="24"/>
          <w:szCs w:val="24"/>
          <w:rtl/>
        </w:rPr>
        <w:t xml:space="preserve">, הדן בהבניית שיקול הדעת השיפוטי בענישה, וציין כי בהתאם לתיקון </w:t>
      </w:r>
      <w:r>
        <w:rPr>
          <w:rFonts w:cs="David"/>
          <w:sz w:val="24"/>
          <w:szCs w:val="24"/>
          <w:rtl/>
        </w:rPr>
        <w:lastRenderedPageBreak/>
        <w:t xml:space="preserve">הנ"ל העיקרון המנחה הינו עיקרון הגמול וההלימה, לפיו יש לפעול לפי היחס בין חומרת מעשה העבירה ונסיבותיו ומידת אשמו של הנאשם ובין סוג ומידת העונש המוטל על הנאשם. את העונש ההולם יש לקבוע תוך התחשבות בערך החברתי שנפגע מביצוע העבירה ובמידת הפגיעה בו. ב"כ המאשימה הוסיף וציין את הנזק הרב הטמון בעבירות הסמים וכי כל מחזיק בסמים תורם תרומה חשובה ומכרעת להפצתו של הסם ולהפצת הרגלי השימוש בו,  וכן והדגיש, כי צרכני הסמים נופלים כנטל על כתפי החברה. </w:t>
      </w:r>
    </w:p>
    <w:p w14:paraId="6A19BBF8" w14:textId="77777777" w:rsidR="00B60C1A" w:rsidRDefault="00B60C1A" w:rsidP="007B6006">
      <w:pPr>
        <w:pStyle w:val="david-p"/>
        <w:bidi/>
        <w:spacing w:line="360" w:lineRule="auto"/>
        <w:ind w:left="1440" w:hanging="630"/>
        <w:rPr>
          <w:rFonts w:cs="David"/>
          <w:sz w:val="24"/>
          <w:szCs w:val="24"/>
          <w:rtl/>
        </w:rPr>
      </w:pPr>
    </w:p>
    <w:p w14:paraId="784D098F" w14:textId="77777777" w:rsidR="00B60C1A" w:rsidRDefault="00B60C1A" w:rsidP="007B6006">
      <w:pPr>
        <w:shd w:val="clear" w:color="auto" w:fill="FFFFFF"/>
        <w:spacing w:line="360" w:lineRule="auto"/>
        <w:ind w:left="1440" w:hanging="720"/>
        <w:jc w:val="both"/>
        <w:rPr>
          <w:rtl/>
        </w:rPr>
      </w:pPr>
      <w:r>
        <w:rPr>
          <w:rtl/>
        </w:rPr>
        <w:t>6.</w:t>
      </w:r>
      <w:r>
        <w:rPr>
          <w:rtl/>
        </w:rPr>
        <w:tab/>
        <w:t>לגבי מדיניות הענישה הנהוגה בעבירת הסמים כדוגמת העבירה בתיק זה,  הגיש ב"כ המאשימה אסופת פסיקה (ת/5). ב"כ המאשימה טען כי במקרה דנן, המאשימה רואה את עבירת הסמים ואת העבירה של הפרעה לשוטר במילוי תפקידו כעבירות שנעברו במהלך אותו אירוע, ולכן סבר, כי מתחם הענישה ההולם במקרה דנן,  לאור חומרת העבירות ונסיבות ביצוען, נע, כאמור לעיל,  בין 4 ל –6 שנות מאסר בפועל, זאת תוך הטלת העונש המקסימלי הנ"ל (6 שנות מאסר) והפעלה במצטבר של שני עונשי המאסרים על תנאי, במצטבר האחד לשני ובמצטבר לעונש הנ"ל. ב"כ המאשימה נימק ב-ת/4 את טיעונו הנ"ל בכמות הסם הנכבדה בה החזיק הנאשם בתיק זה, ובכך שהנאשם ביצע בנוסף עבירה של הכשלת שוטרים בעת מילוי תפקידם כדין. עוד הדגיש ב"כ המאשימה ב-ת/4, את עברו הפלילי המכביד של הנאשם, הכולל מאסרים על תנאי חבי הפעלה, וכן את העובדה שהרשעתו האחרונה של הנאשם ניתנה כ-8 חודשים בלבד עובר להגשת כתב האישום בתיק זה, וכי הנאשם ריצה במשך חייו מאסר לתקופה של 152 חודשים, אך חרף כך לא נרתע מלשוב לסורו ולבצע עבירות נוספות.</w:t>
      </w:r>
    </w:p>
    <w:p w14:paraId="3E74A571" w14:textId="77777777" w:rsidR="00B60C1A" w:rsidRDefault="00B60C1A" w:rsidP="007B6006">
      <w:pPr>
        <w:shd w:val="clear" w:color="auto" w:fill="FFFFFF"/>
        <w:spacing w:line="360" w:lineRule="auto"/>
        <w:ind w:left="1440" w:hanging="720"/>
        <w:jc w:val="both"/>
      </w:pPr>
    </w:p>
    <w:p w14:paraId="1BFBA882" w14:textId="77777777" w:rsidR="00B60C1A" w:rsidRDefault="00B60C1A" w:rsidP="007B6006">
      <w:pPr>
        <w:shd w:val="clear" w:color="auto" w:fill="FFFFFF"/>
        <w:spacing w:line="360" w:lineRule="auto"/>
        <w:ind w:left="1440" w:hanging="720"/>
        <w:jc w:val="both"/>
        <w:rPr>
          <w:rtl/>
        </w:rPr>
      </w:pPr>
      <w:r>
        <w:rPr>
          <w:rtl/>
        </w:rPr>
        <w:t>7.</w:t>
      </w:r>
      <w:r>
        <w:rPr>
          <w:rtl/>
        </w:rPr>
        <w:tab/>
        <w:t>ב"כ המאשימה ביקש, בנוסף לעונש המאסר בפועל הנ"ל, להטיל על הנאשם עונש של מאסר על תנאי מרתיע וקנס כבד.</w:t>
      </w:r>
    </w:p>
    <w:p w14:paraId="207C4F81" w14:textId="77777777" w:rsidR="00B60C1A" w:rsidRDefault="00B60C1A" w:rsidP="007B6006">
      <w:pPr>
        <w:spacing w:before="100" w:beforeAutospacing="1" w:after="100" w:afterAutospacing="1"/>
        <w:rPr>
          <w:bCs/>
          <w:sz w:val="28"/>
          <w:szCs w:val="28"/>
          <w:u w:val="single"/>
          <w:rtl/>
        </w:rPr>
      </w:pPr>
      <w:r>
        <w:rPr>
          <w:bCs/>
          <w:sz w:val="28"/>
          <w:szCs w:val="28"/>
          <w:rtl/>
        </w:rPr>
        <w:t>ד.</w:t>
      </w:r>
      <w:r>
        <w:rPr>
          <w:b/>
          <w:sz w:val="28"/>
          <w:szCs w:val="28"/>
          <w:rtl/>
        </w:rPr>
        <w:tab/>
      </w:r>
      <w:r>
        <w:rPr>
          <w:bCs/>
          <w:sz w:val="28"/>
          <w:szCs w:val="28"/>
          <w:u w:val="single"/>
          <w:rtl/>
        </w:rPr>
        <w:t>ראיות ההגנה לעונש</w:t>
      </w:r>
    </w:p>
    <w:p w14:paraId="5C02DE41" w14:textId="77777777" w:rsidR="00B60C1A" w:rsidRDefault="00B60C1A" w:rsidP="007B6006">
      <w:pPr>
        <w:pStyle w:val="normal-p"/>
        <w:bidi/>
        <w:spacing w:line="360" w:lineRule="auto"/>
        <w:ind w:left="1440" w:hanging="720"/>
        <w:jc w:val="both"/>
        <w:rPr>
          <w:rFonts w:cs="David"/>
          <w:rtl/>
        </w:rPr>
      </w:pPr>
      <w:r>
        <w:rPr>
          <w:rFonts w:cs="David"/>
          <w:rtl/>
        </w:rPr>
        <w:t>8.</w:t>
      </w:r>
      <w:r>
        <w:rPr>
          <w:rFonts w:cs="David"/>
          <w:rtl/>
        </w:rPr>
        <w:tab/>
        <w:t xml:space="preserve"> במסגרת ראיות ההגנה לעונש העידו מר שולי רשיד (להלן: "רשיד") ומר סיאח גאזי (להלן: "גאזי"). רשיד סיפר, כי עבד עד לפני שנה כמדריך לשיקום האסיר ברשות למלחמה בסמים. מדבריו של רשיד בפניי עולה, כי בסוף חודש יוני 2012 פנה אליו הנאשם בכדי שיעזור לו להיקלט באישפוזית בטמרה, לצורך שילובו בהליך של גמילה מסמים. רשיד סיפר, כי הנאשם נשלח על ידו לצורך ביצוע בדיקות דם והמצאת מכתב רפואי, אך לא עלה בידו, נוכח מעצרו, להשלים הליך זה. באמצעותו של רשיד הוגש מכתב מטעם האשפוזית בטמרה (נ/1), לפיו הנאשם פנה, באמצעות רשיד,  לאשפוזית ביום 8/7/12 וביקש להתקבל לטיפול באשפוזית, שאז הופנה לצורך ביצוע בדיקות רפואיות, אולם הליך קבלתו של הנאשם לא הושלם עקב מעצרו. גאזי, שהינו אחיו של הנאשם, סיפר בעדותו בפניי, כי הנאשם התגורר עובר למעצרו עם הוריהם החולים, וביקש להתחשב בנאשם, על רקע העובדה שההורים זקוקים לו לטיפול בהם, מה גם שגאזי חולה ונכה (ראה נ/2 ו-נ/3). </w:t>
      </w:r>
    </w:p>
    <w:p w14:paraId="75154E02" w14:textId="77777777" w:rsidR="00B60C1A" w:rsidRDefault="00B60C1A" w:rsidP="007B6006">
      <w:pPr>
        <w:pStyle w:val="normal-p"/>
        <w:bidi/>
        <w:spacing w:line="360" w:lineRule="auto"/>
        <w:jc w:val="both"/>
        <w:rPr>
          <w:rFonts w:cs="David"/>
          <w:b/>
          <w:bCs/>
          <w:sz w:val="28"/>
          <w:szCs w:val="28"/>
          <w:rtl/>
        </w:rPr>
      </w:pPr>
      <w:r>
        <w:rPr>
          <w:rFonts w:cs="David"/>
          <w:b/>
          <w:bCs/>
          <w:sz w:val="28"/>
          <w:szCs w:val="28"/>
          <w:rtl/>
        </w:rPr>
        <w:t>ה.</w:t>
      </w:r>
      <w:r>
        <w:rPr>
          <w:rFonts w:cs="David"/>
          <w:b/>
          <w:bCs/>
          <w:sz w:val="28"/>
          <w:szCs w:val="28"/>
          <w:rtl/>
        </w:rPr>
        <w:tab/>
      </w:r>
      <w:r>
        <w:rPr>
          <w:rFonts w:cs="David"/>
          <w:b/>
          <w:bCs/>
          <w:sz w:val="28"/>
          <w:szCs w:val="28"/>
          <w:u w:val="single"/>
          <w:rtl/>
        </w:rPr>
        <w:t>טיעוני ההגנה לעונש</w:t>
      </w:r>
    </w:p>
    <w:p w14:paraId="4D5EA03B" w14:textId="77777777" w:rsidR="00B60C1A" w:rsidRDefault="00B60C1A" w:rsidP="007B6006">
      <w:pPr>
        <w:pStyle w:val="normal-p"/>
        <w:bidi/>
        <w:spacing w:line="360" w:lineRule="auto"/>
        <w:ind w:left="1440" w:hanging="720"/>
        <w:jc w:val="both"/>
        <w:rPr>
          <w:rFonts w:cs="David"/>
          <w:rtl/>
        </w:rPr>
      </w:pPr>
      <w:r>
        <w:rPr>
          <w:rFonts w:cs="David"/>
          <w:rtl/>
        </w:rPr>
        <w:t>9.</w:t>
      </w:r>
      <w:r>
        <w:rPr>
          <w:rFonts w:cs="David"/>
          <w:rtl/>
        </w:rPr>
        <w:tab/>
        <w:t xml:space="preserve">הסנגור, במסגרת טיעוניו לעונש, פרט את נסיבותיו האישיות של הנאשם, המכור לסמים מזה שלושים שנה, מתגורר בבית הוריו ואינו עובד לפרנסתו. הסנגור ביקש לראות את מעשיו של הנאשם באספקלריה של משתמש "כבד" בסמים, המתמודד עם מימון והשגת מנות הסם הבאות, דבר שלטענת הסנגור מצדיק הקלה בעונשו של הנאשם.  לתמיכה בטענה הנ"ל הגיש הסנגור פסיקה מטעמו(ת/4). הסנגור ציין שכמות הסם הגדולה הוחזקה על ידי הנאשם על רקע היותו משתמש בכמות גדולה של סמים ובתדירות גבוהה. </w:t>
      </w:r>
    </w:p>
    <w:p w14:paraId="4235DADD" w14:textId="77777777" w:rsidR="00B60C1A" w:rsidRDefault="00B60C1A" w:rsidP="007B6006">
      <w:pPr>
        <w:pStyle w:val="normal-p"/>
        <w:bidi/>
        <w:spacing w:line="360" w:lineRule="auto"/>
        <w:ind w:left="1440" w:hanging="720"/>
        <w:jc w:val="both"/>
        <w:rPr>
          <w:rFonts w:cs="David"/>
          <w:rtl/>
        </w:rPr>
      </w:pPr>
      <w:r>
        <w:rPr>
          <w:rFonts w:cs="David"/>
          <w:rtl/>
        </w:rPr>
        <w:t>10.</w:t>
      </w:r>
      <w:r>
        <w:rPr>
          <w:rFonts w:cs="David"/>
          <w:rtl/>
        </w:rPr>
        <w:tab/>
        <w:t xml:space="preserve">הסנגור ביקש ללמוד מעובדות כתב האישום, כי הנאשם רכש את הסמים ממש בסמוך למקום בו נתפס על ידי השוטרים, זאת מגורם שלא נתפס על ידי המשטרה. הסנגור הלין על כך שסוחרי הסמים האמיתיים בעכו העתיקה לא נתפסים והגיש שני פרוטוקולים של הוועדה למאבק בנגע הסמים במגזר הערבי (נ/5), מהם עולה בעיית הסמים החמורה במגזר הערבי, לרבות בעכו העתיקה, בעיה אשר אינה מטופלת כראוי על ידי המשטרה. </w:t>
      </w:r>
    </w:p>
    <w:p w14:paraId="271A2B8D" w14:textId="77777777" w:rsidR="00B60C1A" w:rsidRDefault="00B60C1A" w:rsidP="007B6006">
      <w:pPr>
        <w:shd w:val="clear" w:color="auto" w:fill="FFFFFF"/>
        <w:spacing w:line="360" w:lineRule="auto"/>
        <w:ind w:left="1440" w:hanging="720"/>
        <w:jc w:val="both"/>
      </w:pPr>
      <w:r>
        <w:rPr>
          <w:rtl/>
        </w:rPr>
        <w:t>11.</w:t>
      </w:r>
      <w:r>
        <w:rPr>
          <w:rtl/>
        </w:rPr>
        <w:tab/>
        <w:t xml:space="preserve">הסנגור הוסיף והדגיש את תיקונו של כתב האישום, באופן שכלל מחיקת עבירות חמורות. הסנגור ביקש ליתן את הדעת לכך  שבשקית אחת היה ריכוז נמוך של סם ההרואין, דבר המלמד, לטענת הסנגור, כי יש לראות את כמות הסם במקרה דנן ככמות של 19 גרם בלבד, שהינה הכמות בשקית בה ריכוז הסם לא היה נמוך, מה גם שלטענת הסנגור,  התעתד הנאשם להשתמש בעצמו בחלק ניכר מהסמים שנתפסו ברשותו. הסנגור העריך את שווי הסמים שנתפסו ברשות הנאשם בסכום של 2,000 ₪ בלבד. </w:t>
      </w:r>
    </w:p>
    <w:p w14:paraId="32057CD7" w14:textId="77777777" w:rsidR="00B60C1A" w:rsidRDefault="00B60C1A" w:rsidP="007B6006">
      <w:pPr>
        <w:shd w:val="clear" w:color="auto" w:fill="FFFFFF"/>
        <w:spacing w:line="360" w:lineRule="auto"/>
        <w:jc w:val="both"/>
      </w:pPr>
    </w:p>
    <w:p w14:paraId="17931BED" w14:textId="77777777" w:rsidR="00B60C1A" w:rsidRDefault="00B60C1A" w:rsidP="007B6006">
      <w:pPr>
        <w:shd w:val="clear" w:color="auto" w:fill="FFFFFF"/>
        <w:spacing w:line="360" w:lineRule="auto"/>
        <w:ind w:left="1440" w:hanging="720"/>
        <w:jc w:val="both"/>
      </w:pPr>
      <w:r>
        <w:rPr>
          <w:rtl/>
        </w:rPr>
        <w:t>12.</w:t>
      </w:r>
      <w:r>
        <w:rPr>
          <w:rtl/>
        </w:rPr>
        <w:tab/>
        <w:t xml:space="preserve">הסנגור ביקש לזקוף לטובת הנאשם את נכונותו להשתלב בהליך של גמילה, עובר למעצרו, כפי שעלה בעדותו של רשיד בפניי. </w:t>
      </w:r>
    </w:p>
    <w:p w14:paraId="01A30215" w14:textId="77777777" w:rsidR="00B60C1A" w:rsidRDefault="00B60C1A" w:rsidP="007B6006">
      <w:pPr>
        <w:shd w:val="clear" w:color="auto" w:fill="FFFFFF"/>
        <w:spacing w:line="360" w:lineRule="auto"/>
        <w:ind w:left="1440" w:hanging="720"/>
        <w:jc w:val="both"/>
        <w:rPr>
          <w:rtl/>
        </w:rPr>
      </w:pPr>
    </w:p>
    <w:p w14:paraId="65938ED5" w14:textId="77777777" w:rsidR="00B60C1A" w:rsidRDefault="00B60C1A" w:rsidP="007B6006">
      <w:pPr>
        <w:shd w:val="clear" w:color="auto" w:fill="FFFFFF"/>
        <w:spacing w:line="360" w:lineRule="auto"/>
        <w:ind w:left="1440" w:hanging="720"/>
        <w:jc w:val="both"/>
        <w:rPr>
          <w:rtl/>
        </w:rPr>
      </w:pPr>
      <w:r>
        <w:rPr>
          <w:rtl/>
        </w:rPr>
        <w:t>13.</w:t>
      </w:r>
      <w:r>
        <w:rPr>
          <w:rtl/>
        </w:rPr>
        <w:tab/>
        <w:t xml:space="preserve">הסנגור ביקר את מתחם הענישה לו טוענת המאשימה בתיק זה, לרבות את הפסיקה אליה הפנתה המאשימה, בציינו כי היה על המאשימה להמציא פסיקה לגבי החזקת סם מסוג הרואין במשקל של כ-19 גרם, זאת על רקע העובדה שקושי ראייתי הביא את המאשימה להסכים לריכוז נמוך של סמים באחת מהשקיות בהן החזיק הנאשם. </w:t>
      </w:r>
    </w:p>
    <w:p w14:paraId="68DB6BDA" w14:textId="77777777" w:rsidR="00B60C1A" w:rsidRDefault="00B60C1A" w:rsidP="007B6006">
      <w:pPr>
        <w:shd w:val="clear" w:color="auto" w:fill="FFFFFF"/>
        <w:spacing w:line="360" w:lineRule="auto"/>
        <w:ind w:left="1440" w:hanging="720"/>
        <w:jc w:val="both"/>
        <w:rPr>
          <w:rtl/>
        </w:rPr>
      </w:pPr>
    </w:p>
    <w:p w14:paraId="44C573C5" w14:textId="77777777" w:rsidR="00B60C1A" w:rsidRDefault="00B60C1A" w:rsidP="007B6006">
      <w:pPr>
        <w:shd w:val="clear" w:color="auto" w:fill="FFFFFF"/>
        <w:spacing w:line="360" w:lineRule="auto"/>
        <w:ind w:left="1440" w:hanging="720"/>
        <w:jc w:val="both"/>
        <w:rPr>
          <w:rtl/>
        </w:rPr>
      </w:pPr>
      <w:r>
        <w:rPr>
          <w:rtl/>
        </w:rPr>
        <w:t>14.</w:t>
      </w:r>
      <w:r>
        <w:rPr>
          <w:rtl/>
        </w:rPr>
        <w:tab/>
        <w:t>לסיכום, ונוכח לקיחת האחריות על ידי הנאשם והודאתו בעודות כתב האישום, ביקש הסנגור להתחשב בדינו של הנאשם והגיש אסופת פסיקה מטעם ההגנה (נ/6).</w:t>
      </w:r>
    </w:p>
    <w:p w14:paraId="65F723C8" w14:textId="77777777" w:rsidR="00B60C1A" w:rsidRDefault="00B60C1A" w:rsidP="007B6006">
      <w:pPr>
        <w:shd w:val="clear" w:color="auto" w:fill="FFFFFF"/>
        <w:spacing w:line="360" w:lineRule="auto"/>
        <w:ind w:left="1440" w:hanging="720"/>
        <w:jc w:val="both"/>
        <w:rPr>
          <w:rtl/>
        </w:rPr>
      </w:pPr>
    </w:p>
    <w:p w14:paraId="552499FB" w14:textId="77777777" w:rsidR="00B60C1A" w:rsidRDefault="00B60C1A" w:rsidP="007B6006">
      <w:pPr>
        <w:shd w:val="clear" w:color="auto" w:fill="FFFFFF"/>
        <w:spacing w:line="360" w:lineRule="auto"/>
        <w:ind w:left="1440" w:hanging="720"/>
        <w:jc w:val="both"/>
        <w:rPr>
          <w:rtl/>
        </w:rPr>
      </w:pPr>
      <w:r>
        <w:rPr>
          <w:rtl/>
        </w:rPr>
        <w:t>15.</w:t>
      </w:r>
      <w:r>
        <w:rPr>
          <w:rtl/>
        </w:rPr>
        <w:tab/>
        <w:t xml:space="preserve">הנאשם, בדבריו בפני ביהמ"ש, ביקש מביהמ"ש להתחשב בו. </w:t>
      </w:r>
    </w:p>
    <w:p w14:paraId="7834025B" w14:textId="77777777" w:rsidR="00B60C1A" w:rsidRDefault="00DF2E69" w:rsidP="007B6006">
      <w:pPr>
        <w:pStyle w:val="david-p-p"/>
        <w:bidi/>
        <w:spacing w:line="360" w:lineRule="auto"/>
        <w:rPr>
          <w:rStyle w:val="david-p-h1"/>
          <w:rFonts w:cs="David"/>
          <w:rtl/>
        </w:rPr>
      </w:pPr>
      <w:r>
        <w:rPr>
          <w:rStyle w:val="normal-h"/>
          <w:rFonts w:cs="David"/>
          <w:rtl/>
        </w:rPr>
        <w:t xml:space="preserve"> </w:t>
      </w:r>
    </w:p>
    <w:p w14:paraId="7E4B4488" w14:textId="77777777" w:rsidR="00B60C1A" w:rsidRDefault="00B60C1A" w:rsidP="007B6006">
      <w:pPr>
        <w:pStyle w:val="david-p-p"/>
        <w:bidi/>
        <w:spacing w:line="360" w:lineRule="auto"/>
        <w:rPr>
          <w:rStyle w:val="david-p-h1"/>
          <w:rFonts w:cs="David"/>
          <w:b/>
          <w:bCs/>
          <w:sz w:val="28"/>
          <w:szCs w:val="28"/>
          <w:u w:val="single"/>
        </w:rPr>
      </w:pPr>
      <w:r>
        <w:rPr>
          <w:rStyle w:val="david-p-h1"/>
          <w:rFonts w:cs="David"/>
          <w:b/>
          <w:bCs/>
          <w:sz w:val="28"/>
          <w:szCs w:val="28"/>
          <w:rtl/>
        </w:rPr>
        <w:t>ו.</w:t>
      </w:r>
      <w:r>
        <w:rPr>
          <w:rStyle w:val="david-p-h1"/>
          <w:rFonts w:cs="David"/>
          <w:sz w:val="28"/>
          <w:szCs w:val="28"/>
          <w:rtl/>
        </w:rPr>
        <w:tab/>
      </w:r>
      <w:r>
        <w:rPr>
          <w:rStyle w:val="david-p-h1"/>
          <w:rFonts w:cs="David"/>
          <w:b/>
          <w:bCs/>
          <w:sz w:val="28"/>
          <w:szCs w:val="28"/>
          <w:u w:val="single"/>
          <w:rtl/>
        </w:rPr>
        <w:t>דיון והכרעה</w:t>
      </w:r>
    </w:p>
    <w:p w14:paraId="28910FC4" w14:textId="77777777" w:rsidR="00B60C1A" w:rsidRDefault="00B60C1A" w:rsidP="007B6006">
      <w:pPr>
        <w:pStyle w:val="david-p-p"/>
        <w:bidi/>
        <w:spacing w:line="360" w:lineRule="auto"/>
        <w:ind w:left="1440" w:hanging="720"/>
        <w:rPr>
          <w:rStyle w:val="david-p-h1"/>
          <w:rFonts w:cs="David"/>
          <w:sz w:val="24"/>
          <w:szCs w:val="24"/>
          <w:rtl/>
        </w:rPr>
      </w:pPr>
      <w:r>
        <w:rPr>
          <w:rStyle w:val="david-p-h1"/>
          <w:rFonts w:cs="David"/>
          <w:sz w:val="24"/>
          <w:szCs w:val="24"/>
          <w:rtl/>
        </w:rPr>
        <w:t>16.</w:t>
      </w:r>
      <w:r>
        <w:rPr>
          <w:rStyle w:val="david-p-h1"/>
          <w:rFonts w:cs="David"/>
          <w:sz w:val="24"/>
          <w:szCs w:val="24"/>
          <w:rtl/>
        </w:rPr>
        <w:tab/>
        <w:t xml:space="preserve">לחובת הנאשם יש לציין, בראש ובראשונה,  את חומרת עבירת הסמים בה הורשע בתיק זה. ודוק, הנאשם הורשע בביצוע עבירה של החזקת סם מסוג הרואין שלא לצריכה עצמית, זאת בכמות נכבדה, כפי שטען ב"כ המאשימה בנקודה זו, ובצדק. יובהר, כי אין חולק שהנאשם החזיק ברשותו שקית ובה סם מסוג הרואין במשקל של כ-19 גרם וכי הנאשם החזיק שקית נוספת ובה סם מסוג הרואין במשקל דומה, אם כי ריכוז סם ההרואין בשקית הנוספת היה נמוך. אף אם נראה את הנאשם כמי שהחזיק סם מסוכן מסוג הרואין במשקל של כ-20 גרם בלבד, הרי שעסקינן בנאשם שהחזיק כמות גדולה של סמים, כל שכן כאשר מדובר בסם שבפנינו, הנמנה עם הסמים הקשים. סם ההרואין ידוע, ולא בכדי, בכינוי "סם המוות הלבן" והפצתו בחברה זורעת הרס ומפילה קורבנות רבים, דבר המצדיק החמרה בדינו של מי שהחזיק סם זה שלא לצריכתו העצמית. </w:t>
      </w:r>
    </w:p>
    <w:p w14:paraId="60169D81" w14:textId="77777777" w:rsidR="00B60C1A" w:rsidRDefault="00B60C1A" w:rsidP="007B6006">
      <w:pPr>
        <w:pStyle w:val="david-p-p"/>
        <w:bidi/>
        <w:spacing w:line="360" w:lineRule="auto"/>
        <w:ind w:left="1440" w:hanging="525"/>
        <w:rPr>
          <w:rStyle w:val="david-p-h1"/>
          <w:rFonts w:cs="David"/>
          <w:sz w:val="24"/>
          <w:szCs w:val="24"/>
          <w:rtl/>
        </w:rPr>
      </w:pPr>
    </w:p>
    <w:p w14:paraId="5EA54CC1" w14:textId="77777777" w:rsidR="00B60C1A" w:rsidRDefault="00B60C1A" w:rsidP="007B6006">
      <w:pPr>
        <w:pStyle w:val="david-p-p"/>
        <w:bidi/>
        <w:spacing w:line="360" w:lineRule="auto"/>
        <w:ind w:left="1440" w:hanging="525"/>
        <w:rPr>
          <w:rStyle w:val="david-p-h1"/>
          <w:rFonts w:cs="David"/>
          <w:sz w:val="24"/>
          <w:szCs w:val="24"/>
          <w:rtl/>
        </w:rPr>
      </w:pPr>
      <w:r>
        <w:rPr>
          <w:rStyle w:val="david-p-h1"/>
          <w:rFonts w:cs="David"/>
          <w:sz w:val="24"/>
          <w:szCs w:val="24"/>
          <w:rtl/>
        </w:rPr>
        <w:t>17.</w:t>
      </w:r>
      <w:r>
        <w:rPr>
          <w:rStyle w:val="david-p-h1"/>
          <w:rFonts w:cs="David"/>
          <w:sz w:val="24"/>
          <w:szCs w:val="24"/>
          <w:rtl/>
        </w:rPr>
        <w:tab/>
        <w:t>להמחשת חומרת העבירה של החזקת סמים שלא לצריכה עצמית, יפים דבריה הבאים של כב' השופטת פרוקצ'יה ב</w:t>
      </w:r>
      <w:r w:rsidRPr="00F034B4">
        <w:rPr>
          <w:rFonts w:cs="David"/>
          <w:color w:val="000000"/>
          <w:sz w:val="24"/>
          <w:szCs w:val="24"/>
          <w:rtl/>
        </w:rPr>
        <w:t>ע.פ. 211/09</w:t>
      </w:r>
      <w:r>
        <w:rPr>
          <w:rStyle w:val="david-p-h1"/>
          <w:rFonts w:cs="David"/>
          <w:b/>
          <w:bCs/>
          <w:sz w:val="24"/>
          <w:szCs w:val="24"/>
          <w:rtl/>
        </w:rPr>
        <w:t>שמעון אזולאי נ' מדינת ישראל:</w:t>
      </w:r>
    </w:p>
    <w:p w14:paraId="067E81BA" w14:textId="77777777" w:rsidR="00B60C1A" w:rsidRDefault="00B60C1A" w:rsidP="007B6006">
      <w:pPr>
        <w:pStyle w:val="david-p-p"/>
        <w:bidi/>
        <w:spacing w:line="360" w:lineRule="auto"/>
        <w:ind w:left="1440" w:hanging="525"/>
        <w:rPr>
          <w:rStyle w:val="david-p-h1"/>
          <w:rFonts w:cs="David"/>
          <w:b/>
          <w:bCs/>
          <w:sz w:val="24"/>
          <w:szCs w:val="24"/>
          <w:rtl/>
        </w:rPr>
      </w:pPr>
    </w:p>
    <w:p w14:paraId="3E43687B" w14:textId="77777777" w:rsidR="00B60C1A" w:rsidRDefault="00B60C1A" w:rsidP="007B6006">
      <w:pPr>
        <w:pStyle w:val="david-p-p"/>
        <w:bidi/>
        <w:spacing w:line="360" w:lineRule="auto"/>
        <w:ind w:left="2160" w:firstLine="720"/>
        <w:rPr>
          <w:rStyle w:val="david-p-h1"/>
          <w:rFonts w:cs="David"/>
          <w:sz w:val="24"/>
          <w:szCs w:val="24"/>
          <w:rtl/>
        </w:rPr>
      </w:pPr>
      <w:r>
        <w:rPr>
          <w:rStyle w:val="david-p-h1"/>
          <w:rFonts w:cs="David"/>
          <w:b/>
          <w:bCs/>
          <w:sz w:val="24"/>
          <w:szCs w:val="24"/>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הסם. ההחמרה בענישה בגין עבירות סמים משרתת את מטרות הגמול וההרתעה, שהן היעדים העיקריים של הענישה בתחום הסמים"</w:t>
      </w:r>
      <w:r>
        <w:rPr>
          <w:rStyle w:val="david-p-h1"/>
          <w:rFonts w:cs="David"/>
          <w:sz w:val="24"/>
          <w:szCs w:val="24"/>
          <w:rtl/>
        </w:rPr>
        <w:t xml:space="preserve"> (לא פורסם).</w:t>
      </w:r>
    </w:p>
    <w:p w14:paraId="3B0BFB18" w14:textId="77777777" w:rsidR="00B60C1A" w:rsidRDefault="00B60C1A" w:rsidP="007B6006">
      <w:pPr>
        <w:pStyle w:val="david-p-p"/>
        <w:bidi/>
        <w:spacing w:line="360" w:lineRule="auto"/>
        <w:rPr>
          <w:rStyle w:val="david-p-h1"/>
          <w:rFonts w:cs="David"/>
          <w:sz w:val="24"/>
          <w:szCs w:val="24"/>
          <w:rtl/>
        </w:rPr>
      </w:pPr>
      <w:r>
        <w:rPr>
          <w:rStyle w:val="david-p-h1"/>
          <w:rtl/>
        </w:rPr>
        <w:tab/>
      </w:r>
    </w:p>
    <w:p w14:paraId="55AC9B56" w14:textId="77777777" w:rsidR="00B60C1A" w:rsidRDefault="00B60C1A" w:rsidP="007B6006">
      <w:pPr>
        <w:pStyle w:val="david-p-p"/>
        <w:bidi/>
        <w:spacing w:line="360" w:lineRule="auto"/>
        <w:ind w:left="1440" w:hanging="720"/>
        <w:rPr>
          <w:rStyle w:val="david-p-h1"/>
          <w:rFonts w:cs="David"/>
          <w:sz w:val="24"/>
          <w:szCs w:val="24"/>
          <w:rtl/>
        </w:rPr>
      </w:pPr>
      <w:r>
        <w:rPr>
          <w:rStyle w:val="david-p-h1"/>
          <w:rFonts w:cs="David"/>
          <w:sz w:val="24"/>
          <w:szCs w:val="24"/>
          <w:rtl/>
        </w:rPr>
        <w:t>18.</w:t>
      </w:r>
      <w:r>
        <w:rPr>
          <w:rStyle w:val="david-p-h1"/>
          <w:rFonts w:cs="David"/>
          <w:sz w:val="24"/>
          <w:szCs w:val="24"/>
          <w:rtl/>
        </w:rPr>
        <w:tab/>
        <w:t>תיקון מס' 113 ל</w:t>
      </w:r>
      <w:hyperlink r:id="rId13" w:history="1">
        <w:r w:rsidR="00E13D28" w:rsidRPr="00E13D28">
          <w:rPr>
            <w:rStyle w:val="Hyperlink"/>
            <w:rFonts w:cs="David"/>
            <w:sz w:val="24"/>
            <w:szCs w:val="24"/>
            <w:rtl/>
          </w:rPr>
          <w:t>חוק העונשין</w:t>
        </w:r>
      </w:hyperlink>
      <w:r>
        <w:rPr>
          <w:rStyle w:val="david-p-h1"/>
          <w:rFonts w:cs="David"/>
          <w:sz w:val="24"/>
          <w:szCs w:val="24"/>
          <w:rtl/>
        </w:rPr>
        <w:t xml:space="preserve"> המבנה את שיקול הדעת השיפוטי בענישה קובע כעקרון מנחה בענישה את עיקרון ההלימה, המוגדר בסעיף 40 ב' לחוק העונשין, בהאי לישנא:</w:t>
      </w:r>
    </w:p>
    <w:p w14:paraId="59D0275B" w14:textId="77777777" w:rsidR="00B60C1A" w:rsidRDefault="00B60C1A" w:rsidP="007B6006">
      <w:pPr>
        <w:pStyle w:val="david-p-p"/>
        <w:bidi/>
        <w:spacing w:line="360" w:lineRule="auto"/>
        <w:ind w:left="1440" w:hanging="720"/>
        <w:rPr>
          <w:rStyle w:val="david-p-h1"/>
          <w:rFonts w:cs="David"/>
          <w:sz w:val="24"/>
          <w:szCs w:val="24"/>
          <w:rtl/>
        </w:rPr>
      </w:pPr>
    </w:p>
    <w:p w14:paraId="2182A43A" w14:textId="77777777" w:rsidR="00B60C1A" w:rsidRDefault="00B60C1A" w:rsidP="007B6006">
      <w:pPr>
        <w:spacing w:line="360" w:lineRule="auto"/>
        <w:ind w:left="2160" w:firstLine="720"/>
        <w:jc w:val="both"/>
        <w:rPr>
          <w:b/>
          <w:bCs/>
          <w:rtl/>
        </w:rPr>
      </w:pPr>
      <w:r>
        <w:rPr>
          <w:b/>
          <w:bCs/>
          <w:rtl/>
        </w:rPr>
        <w:t>"העיקרון המנחה בענישה  הוא קיומו של יחס הולם בין חומרת מעשה העבירה, בנסיבותיו ומידת אשמו של הנאשם ובין סוג ומידת העונש המוטל עליו".</w:t>
      </w:r>
    </w:p>
    <w:p w14:paraId="2BE31A91" w14:textId="77777777" w:rsidR="00B60C1A" w:rsidRDefault="00B60C1A" w:rsidP="007B6006">
      <w:pPr>
        <w:spacing w:line="360" w:lineRule="auto"/>
        <w:jc w:val="both"/>
        <w:rPr>
          <w:b/>
          <w:bCs/>
          <w:rtl/>
        </w:rPr>
      </w:pPr>
    </w:p>
    <w:p w14:paraId="427EE9D1" w14:textId="77777777" w:rsidR="00B60C1A" w:rsidRDefault="00B60C1A" w:rsidP="007B6006">
      <w:pPr>
        <w:spacing w:line="360" w:lineRule="auto"/>
        <w:ind w:left="1440"/>
        <w:jc w:val="both"/>
        <w:rPr>
          <w:rtl/>
        </w:rPr>
      </w:pPr>
      <w:r>
        <w:rPr>
          <w:rtl/>
        </w:rPr>
        <w:t>לצורך יישום העיקרון המנחה בענישה, על ביהמ"ש לקבוע מתחם עונש הולם למעשה העבירה שביצע הנאשם, ולשם כך יתחשב ביהמ"ש בערך החברתי שנפגע מביצוע העבירה, במידת הפגיעה בו, במדיניות הענישה הנהוגה ובנסיבות הקשורות בביצוע העבירה (סעיף 40 ג' ל</w:t>
      </w:r>
      <w:hyperlink r:id="rId14" w:history="1">
        <w:r w:rsidR="00E13D28" w:rsidRPr="00E13D28">
          <w:rPr>
            <w:rStyle w:val="Hyperlink"/>
            <w:rFonts w:cs="David"/>
            <w:rtl/>
          </w:rPr>
          <w:t>חוק העונשין</w:t>
        </w:r>
      </w:hyperlink>
      <w:r>
        <w:rPr>
          <w:rtl/>
        </w:rPr>
        <w:t>).</w:t>
      </w:r>
    </w:p>
    <w:p w14:paraId="19DCD929" w14:textId="77777777" w:rsidR="00B60C1A" w:rsidRDefault="00B60C1A" w:rsidP="007B6006">
      <w:pPr>
        <w:spacing w:line="360" w:lineRule="auto"/>
        <w:jc w:val="both"/>
        <w:rPr>
          <w:rtl/>
        </w:rPr>
      </w:pPr>
    </w:p>
    <w:p w14:paraId="4883B264" w14:textId="77777777" w:rsidR="00B60C1A" w:rsidRDefault="00B60C1A" w:rsidP="007B6006">
      <w:pPr>
        <w:spacing w:line="360" w:lineRule="auto"/>
        <w:ind w:firstLine="720"/>
        <w:jc w:val="both"/>
        <w:rPr>
          <w:rtl/>
        </w:rPr>
      </w:pPr>
      <w:r>
        <w:rPr>
          <w:rtl/>
        </w:rPr>
        <w:t>19.</w:t>
      </w:r>
      <w:r>
        <w:rPr>
          <w:rtl/>
        </w:rPr>
        <w:tab/>
      </w:r>
      <w:r>
        <w:rPr>
          <w:b/>
          <w:bCs/>
          <w:rtl/>
        </w:rPr>
        <w:t>ומהתם להכא:</w:t>
      </w:r>
    </w:p>
    <w:p w14:paraId="7F5F7E84" w14:textId="77777777" w:rsidR="00B60C1A" w:rsidRDefault="00B60C1A" w:rsidP="007B6006">
      <w:pPr>
        <w:spacing w:line="360" w:lineRule="auto"/>
        <w:ind w:left="1440"/>
        <w:jc w:val="both"/>
        <w:rPr>
          <w:rtl/>
        </w:rPr>
      </w:pPr>
      <w:r>
        <w:rPr>
          <w:rtl/>
        </w:rPr>
        <w:t>הערך החברתי שנפגע כתוצאה מביצוע העבירה של החזקת סם מסוכן שלא לצריכה עצמית הינו ביטחונו ושלומו  של הציבור, שכן הסמים המופצים בחברה, כל שכן כאשר עסקינן בסמים "קשים", משחיתים כל חלקה טובה ופוגעים בכל אשר נקרה בדרכם. כל גורם בשרשרת הפצת הסמים תורם את תרומתו השלילית להתמכרותם של תושבי המדינה לסמים ולהרחבת הפשיעה, על גווניה השונים, כתוצאה מכך, זאת אף אם מדובר בסוחר סמים שאינו נמנה עם גדולי סוחרי הסמים, כפי שטען הסנגור לגבי הנאשם שבפנינו. יודגש, כי כאשר עסקינן בהחזקת סם מסוג הרואין בכמות גדולה, הרי שמידת הפגיעה בפרט ובחברה כתוצאה מהפצתו הפוטנציאלית של סם זה, הינה גדולה ביותר, ומשכך ראוי להחמיר בדינו של עבריין זה, דבר שישרת את מטרת הגמול בענישה ויהווה משום גורם של הרתעה אם לא לנאשם שבפנינו, אזי למצער לעבריינים אחרים בכוח. בנקודה זו יצוין, כי סעיפים 40 ו' ו-40 ז' ל</w:t>
      </w:r>
      <w:hyperlink r:id="rId15" w:history="1">
        <w:r w:rsidR="00E13D28" w:rsidRPr="00E13D28">
          <w:rPr>
            <w:rStyle w:val="Hyperlink"/>
            <w:rFonts w:cs="David"/>
            <w:rtl/>
          </w:rPr>
          <w:t>חוק העונשין</w:t>
        </w:r>
      </w:hyperlink>
      <w:r>
        <w:rPr>
          <w:rtl/>
        </w:rPr>
        <w:t xml:space="preserve">, הנכללים בגדרו של תיקון מס' 113, מביאים לידי ביטוי את חשיבות אלמנט ההרתעה האישית ואלמנט הרתעת הרבים, ובלבד שלא יחרוג העונש שיושת ממתחם העונש ההולם. </w:t>
      </w:r>
    </w:p>
    <w:p w14:paraId="0D858624" w14:textId="77777777" w:rsidR="00B60C1A" w:rsidRDefault="00B60C1A" w:rsidP="007B6006">
      <w:pPr>
        <w:spacing w:line="360" w:lineRule="auto"/>
        <w:ind w:left="720" w:hanging="720"/>
        <w:jc w:val="both"/>
        <w:rPr>
          <w:rtl/>
        </w:rPr>
      </w:pPr>
    </w:p>
    <w:p w14:paraId="5677D40A" w14:textId="77777777" w:rsidR="00B60C1A" w:rsidRDefault="00B60C1A" w:rsidP="007B6006">
      <w:pPr>
        <w:spacing w:line="360" w:lineRule="auto"/>
        <w:ind w:left="1440" w:hanging="720"/>
        <w:jc w:val="both"/>
        <w:rPr>
          <w:rtl/>
        </w:rPr>
      </w:pPr>
      <w:r>
        <w:rPr>
          <w:rtl/>
        </w:rPr>
        <w:t>20.</w:t>
      </w:r>
      <w:r>
        <w:rPr>
          <w:rtl/>
        </w:rPr>
        <w:tab/>
        <w:t>בקביעת מתחם העונש ההולם שומה על ביהמ"ש, מכוח סעיף 40 ט' ל</w:t>
      </w:r>
      <w:hyperlink r:id="rId16" w:history="1">
        <w:r w:rsidR="00E13D28" w:rsidRPr="00E13D28">
          <w:rPr>
            <w:rStyle w:val="Hyperlink"/>
            <w:rFonts w:cs="David"/>
            <w:rtl/>
          </w:rPr>
          <w:t>חוק העונשין</w:t>
        </w:r>
      </w:hyperlink>
      <w:r>
        <w:rPr>
          <w:rtl/>
        </w:rPr>
        <w:t>,  ליתן את הדעת לנסיבות הקשורות בביצוע העבירה. במסגרת זו ציינתי לעיל, לחומרא, את הנזק הצפוי להיגרם מביצוע העבירה במקרה שבפנינו. לטובת הנאשם, עם זאת, מנגד, יש ליתן את הדעת, במידת מה, לכך שעסקינן בנאשם שהונע, כפי הנראה, לבצע את העבירה, על רקע היותו מכור לסמים, כפי שהובהר על ידי הסנגור במסגרת טיעוניו לעונש בפניי.</w:t>
      </w:r>
    </w:p>
    <w:p w14:paraId="4E0E6FFB" w14:textId="77777777" w:rsidR="00B60C1A" w:rsidRDefault="00B60C1A" w:rsidP="007B6006">
      <w:pPr>
        <w:spacing w:line="360" w:lineRule="auto"/>
        <w:ind w:left="360"/>
        <w:jc w:val="both"/>
      </w:pPr>
    </w:p>
    <w:p w14:paraId="1AEABCB0" w14:textId="77777777" w:rsidR="00B60C1A" w:rsidRDefault="00B60C1A" w:rsidP="00A4603E">
      <w:pPr>
        <w:spacing w:line="360" w:lineRule="auto"/>
        <w:ind w:left="1440" w:hanging="720"/>
        <w:jc w:val="both"/>
      </w:pPr>
      <w:r>
        <w:rPr>
          <w:rtl/>
        </w:rPr>
        <w:t>21.</w:t>
      </w:r>
      <w:r>
        <w:rPr>
          <w:rtl/>
        </w:rPr>
        <w:tab/>
        <w:t>לצורך בחינת מדיניות הענישה הנהוגה, יובאו להלן דוגמאות מפסקי דין של ביהמ"ש העליון, שעניינם עבירה שבפנינו (עבירה של החזקת סם מסוג הרואין שלא לצריכה עצמית):</w:t>
      </w:r>
    </w:p>
    <w:p w14:paraId="3A5570DF" w14:textId="77777777" w:rsidR="00B60C1A" w:rsidRDefault="00B60C1A" w:rsidP="007B6006">
      <w:pPr>
        <w:spacing w:line="360" w:lineRule="auto"/>
        <w:jc w:val="both"/>
      </w:pPr>
    </w:p>
    <w:p w14:paraId="7AD7F90B" w14:textId="77777777" w:rsidR="00B60C1A" w:rsidRDefault="00B60C1A" w:rsidP="007B6006">
      <w:pPr>
        <w:spacing w:line="360" w:lineRule="auto"/>
        <w:ind w:left="2160" w:hanging="720"/>
        <w:jc w:val="both"/>
        <w:rPr>
          <w:rtl/>
        </w:rPr>
      </w:pPr>
      <w:r>
        <w:rPr>
          <w:rtl/>
        </w:rPr>
        <w:t>-</w:t>
      </w:r>
      <w:r>
        <w:rPr>
          <w:rtl/>
        </w:rPr>
        <w:tab/>
      </w:r>
      <w:hyperlink r:id="rId17" w:history="1">
        <w:r w:rsidR="00E13D28" w:rsidRPr="00E13D28">
          <w:rPr>
            <w:rStyle w:val="Hyperlink"/>
            <w:rFonts w:cs="David"/>
            <w:rtl/>
          </w:rPr>
          <w:t>ע.פ. 6977/94</w:t>
        </w:r>
      </w:hyperlink>
      <w:r>
        <w:rPr>
          <w:rtl/>
        </w:rPr>
        <w:t xml:space="preserve"> </w:t>
      </w:r>
      <w:r>
        <w:rPr>
          <w:b/>
          <w:bCs/>
          <w:rtl/>
        </w:rPr>
        <w:t>סבג נ' מדינת ישראל</w:t>
      </w:r>
      <w:r>
        <w:rPr>
          <w:rtl/>
        </w:rPr>
        <w:t xml:space="preserve"> (פורסם בנבו, ניתן ביום 21/8/1995) – בגין החזקה של למעלה מ-15 גרם הרואין (כך במקור), הוטלו 3 שנות מאסר בפועל והערעור על העונש נדחה. </w:t>
      </w:r>
    </w:p>
    <w:p w14:paraId="4A7A19A0" w14:textId="77777777" w:rsidR="00B60C1A" w:rsidRDefault="00B60C1A" w:rsidP="007B6006">
      <w:pPr>
        <w:spacing w:line="360" w:lineRule="auto"/>
        <w:jc w:val="both"/>
      </w:pPr>
    </w:p>
    <w:p w14:paraId="4935E811" w14:textId="77777777" w:rsidR="00B60C1A" w:rsidRDefault="00B60C1A" w:rsidP="007B6006">
      <w:pPr>
        <w:spacing w:line="360" w:lineRule="auto"/>
        <w:ind w:left="2160" w:hanging="720"/>
        <w:jc w:val="both"/>
        <w:rPr>
          <w:rtl/>
        </w:rPr>
      </w:pPr>
      <w:r>
        <w:rPr>
          <w:rtl/>
        </w:rPr>
        <w:t>-</w:t>
      </w:r>
      <w:r>
        <w:rPr>
          <w:rtl/>
        </w:rPr>
        <w:tab/>
      </w:r>
      <w:hyperlink r:id="rId18" w:history="1">
        <w:r w:rsidR="00E13D28" w:rsidRPr="00E13D28">
          <w:rPr>
            <w:rStyle w:val="Hyperlink"/>
            <w:rFonts w:cs="David"/>
            <w:rtl/>
          </w:rPr>
          <w:t>ע.פ. 1594/96</w:t>
        </w:r>
      </w:hyperlink>
      <w:r>
        <w:rPr>
          <w:rtl/>
        </w:rPr>
        <w:t xml:space="preserve"> </w:t>
      </w:r>
      <w:r>
        <w:rPr>
          <w:b/>
          <w:bCs/>
          <w:rtl/>
        </w:rPr>
        <w:t>עקול נ' מדינת ישראל</w:t>
      </w:r>
      <w:r>
        <w:rPr>
          <w:rtl/>
        </w:rPr>
        <w:t xml:space="preserve"> (פורסם בנבו, ניתן ביום 2/4/1997) – בגין החזקה של 18 גרם הרואין, נדון הנאשם, שהיה מכור לסמים, ל-5 שנות מאסר בפועל וערעורו על חומרת העונש נדחה. </w:t>
      </w:r>
    </w:p>
    <w:p w14:paraId="34149EF5" w14:textId="77777777" w:rsidR="00B60C1A" w:rsidRDefault="00B60C1A" w:rsidP="007B6006">
      <w:pPr>
        <w:spacing w:line="360" w:lineRule="auto"/>
        <w:ind w:left="720"/>
        <w:jc w:val="both"/>
        <w:rPr>
          <w:rtl/>
        </w:rPr>
      </w:pPr>
    </w:p>
    <w:p w14:paraId="1622DB1F" w14:textId="77777777" w:rsidR="00B60C1A" w:rsidRDefault="00B60C1A" w:rsidP="007B6006">
      <w:pPr>
        <w:spacing w:line="360" w:lineRule="auto"/>
        <w:ind w:left="2160" w:hanging="720"/>
        <w:jc w:val="both"/>
        <w:rPr>
          <w:rtl/>
        </w:rPr>
      </w:pPr>
      <w:r>
        <w:rPr>
          <w:rtl/>
        </w:rPr>
        <w:t>-</w:t>
      </w:r>
      <w:r>
        <w:rPr>
          <w:rtl/>
        </w:rPr>
        <w:tab/>
      </w:r>
      <w:hyperlink r:id="rId19" w:history="1">
        <w:r w:rsidR="00E13D28" w:rsidRPr="00E13D28">
          <w:rPr>
            <w:rStyle w:val="Hyperlink"/>
            <w:rFonts w:cs="David"/>
            <w:rtl/>
          </w:rPr>
          <w:t>ע.פ. 5045/98</w:t>
        </w:r>
      </w:hyperlink>
      <w:r>
        <w:rPr>
          <w:rtl/>
        </w:rPr>
        <w:t xml:space="preserve"> </w:t>
      </w:r>
      <w:r>
        <w:rPr>
          <w:b/>
          <w:bCs/>
          <w:rtl/>
        </w:rPr>
        <w:t xml:space="preserve">מגדלאני נ' מדינת ישראל </w:t>
      </w:r>
      <w:r>
        <w:rPr>
          <w:rtl/>
        </w:rPr>
        <w:t>(פורסם בנבו, ניתן ביום 12/6/2000 – ראה ת/5) – בגין החזקה של 24 גרם הרואין, נגזר על הנאשם עונש של 3 שנות מאסר בפועל, במצטבר לעונש של מאסר על תנאי בן שנתיים שהופעל (סה"כ 5 שנות מאסר בפועל). במקרה הנ"ל דובר בנאשם בעל עבר פלילי בתחום הסמים, ואשר ביצע את העבירה לאחר שחרורו ממאסר קודם. ערעורו על העונש נדחה.</w:t>
      </w:r>
    </w:p>
    <w:p w14:paraId="523CFDFE" w14:textId="77777777" w:rsidR="00B60C1A" w:rsidRDefault="00B60C1A" w:rsidP="007B6006">
      <w:pPr>
        <w:spacing w:line="360" w:lineRule="auto"/>
        <w:ind w:left="2160" w:hanging="720"/>
        <w:jc w:val="both"/>
        <w:rPr>
          <w:rtl/>
        </w:rPr>
      </w:pPr>
    </w:p>
    <w:p w14:paraId="08E8C8ED" w14:textId="77777777" w:rsidR="00B60C1A" w:rsidRDefault="00B60C1A" w:rsidP="007B6006">
      <w:pPr>
        <w:pStyle w:val="ListParagraph"/>
        <w:numPr>
          <w:ilvl w:val="0"/>
          <w:numId w:val="19"/>
        </w:numPr>
        <w:spacing w:line="360" w:lineRule="auto"/>
        <w:jc w:val="both"/>
        <w:rPr>
          <w:rtl/>
        </w:rPr>
      </w:pPr>
      <w:r>
        <w:rPr>
          <w:rtl/>
        </w:rPr>
        <w:t xml:space="preserve">      </w:t>
      </w:r>
      <w:hyperlink r:id="rId20" w:history="1">
        <w:r w:rsidR="00E13D28" w:rsidRPr="00E13D28">
          <w:rPr>
            <w:rStyle w:val="Hyperlink"/>
            <w:rFonts w:cs="David"/>
            <w:rtl/>
          </w:rPr>
          <w:t>ע.פ. 4938/00</w:t>
        </w:r>
      </w:hyperlink>
      <w:r>
        <w:rPr>
          <w:rtl/>
        </w:rPr>
        <w:t xml:space="preserve"> </w:t>
      </w:r>
      <w:r>
        <w:rPr>
          <w:b/>
          <w:bCs/>
          <w:rtl/>
        </w:rPr>
        <w:t xml:space="preserve">כרים זידאן נ' מדינת ישראל </w:t>
      </w:r>
      <w:r>
        <w:rPr>
          <w:rtl/>
        </w:rPr>
        <w:t xml:space="preserve">(צורף ל-ת/5) – בגין החזקת סם   </w:t>
      </w:r>
    </w:p>
    <w:p w14:paraId="6570E2CB" w14:textId="77777777" w:rsidR="00B60C1A" w:rsidRDefault="00B60C1A" w:rsidP="007B6006">
      <w:pPr>
        <w:pStyle w:val="ListParagraph"/>
        <w:spacing w:line="360" w:lineRule="auto"/>
        <w:ind w:left="1800"/>
        <w:jc w:val="both"/>
        <w:rPr>
          <w:rtl/>
        </w:rPr>
      </w:pPr>
      <w:r>
        <w:rPr>
          <w:rtl/>
        </w:rPr>
        <w:t xml:space="preserve">     מסוכן מסוג הרואין במשקל של 52.41 גרם וכן החזקת מאזניים       </w:t>
      </w:r>
    </w:p>
    <w:p w14:paraId="36B97684" w14:textId="77777777" w:rsidR="00B60C1A" w:rsidRDefault="00B60C1A" w:rsidP="007B6006">
      <w:pPr>
        <w:pStyle w:val="ListParagraph"/>
        <w:spacing w:line="360" w:lineRule="auto"/>
        <w:ind w:left="1800"/>
        <w:jc w:val="both"/>
        <w:rPr>
          <w:rtl/>
        </w:rPr>
      </w:pPr>
      <w:r>
        <w:rPr>
          <w:rtl/>
        </w:rPr>
        <w:t xml:space="preserve">      אלקטרוניים  לצורך שקילת הסם, הושת על הנאשם עונש של 4 שנות מאסר </w:t>
      </w:r>
    </w:p>
    <w:p w14:paraId="04046798" w14:textId="77777777" w:rsidR="00B60C1A" w:rsidRDefault="00B60C1A" w:rsidP="007B6006">
      <w:pPr>
        <w:pStyle w:val="ListParagraph"/>
        <w:spacing w:line="360" w:lineRule="auto"/>
        <w:ind w:left="1800"/>
        <w:jc w:val="both"/>
        <w:rPr>
          <w:rtl/>
        </w:rPr>
      </w:pPr>
      <w:r>
        <w:rPr>
          <w:rtl/>
        </w:rPr>
        <w:t xml:space="preserve">     לריצוי בפועל, כאשר דובר בנאשם צעיר שעברו נקי. ערעורו של הנאשם   </w:t>
      </w:r>
    </w:p>
    <w:p w14:paraId="3806EA31" w14:textId="77777777" w:rsidR="00B60C1A" w:rsidRDefault="00B60C1A" w:rsidP="007B6006">
      <w:pPr>
        <w:pStyle w:val="ListParagraph"/>
        <w:spacing w:line="360" w:lineRule="auto"/>
        <w:ind w:left="1800"/>
        <w:jc w:val="both"/>
        <w:rPr>
          <w:rtl/>
        </w:rPr>
      </w:pPr>
      <w:r>
        <w:rPr>
          <w:rtl/>
        </w:rPr>
        <w:t xml:space="preserve">     נדחה. </w:t>
      </w:r>
    </w:p>
    <w:p w14:paraId="7C532793" w14:textId="77777777" w:rsidR="00B60C1A" w:rsidRDefault="00B60C1A" w:rsidP="007B6006">
      <w:pPr>
        <w:spacing w:line="360" w:lineRule="auto"/>
        <w:jc w:val="both"/>
        <w:rPr>
          <w:rtl/>
        </w:rPr>
      </w:pPr>
    </w:p>
    <w:p w14:paraId="1D222113" w14:textId="77777777" w:rsidR="00B60C1A" w:rsidRDefault="00B60C1A" w:rsidP="007B6006">
      <w:pPr>
        <w:spacing w:line="360" w:lineRule="auto"/>
        <w:ind w:left="1440" w:hanging="720"/>
        <w:jc w:val="both"/>
        <w:rPr>
          <w:rtl/>
        </w:rPr>
      </w:pPr>
      <w:r>
        <w:rPr>
          <w:rtl/>
        </w:rPr>
        <w:t>22.</w:t>
      </w:r>
      <w:r>
        <w:rPr>
          <w:rtl/>
        </w:rPr>
        <w:tab/>
        <w:t xml:space="preserve">סקירת פסקי הדין השונים מלמדת, כי אין קורלציה בין כמות הסם בה החזיק הנאשם לבין תקופת המאסר שהושתה עליו, וכי קיימים גזרי דין לכאן ולכאן, אם כי תמונת הפסיקה מלמדת באופן ברור, כי דינו של מי שהחזיק סם מסוכן מסוג הרואין שלא לצריכה עצמית בכמות לא מבוטלת, הינו – למאסר בפועל לתקופה משמעותית. לדידי, מתחם הענישה ההולם, בנסיבותיו של תיק זה, תוך תיתי את הדעת לכך שהנאשם ביצע, בנוסף, במסגרת אותו אירוע, גם עבירה של הפרעה לשוטר בעת מילוי תפקידו כדין, נע בין עונש של שנתיים מאסר בפועל ל-4 שנות מאסר בפועל. </w:t>
      </w:r>
    </w:p>
    <w:p w14:paraId="415B9451" w14:textId="77777777" w:rsidR="00B60C1A" w:rsidRDefault="00B60C1A" w:rsidP="007B6006">
      <w:pPr>
        <w:spacing w:line="360" w:lineRule="auto"/>
        <w:ind w:left="360"/>
        <w:jc w:val="both"/>
        <w:rPr>
          <w:rtl/>
        </w:rPr>
      </w:pPr>
    </w:p>
    <w:p w14:paraId="7155CD07" w14:textId="77777777" w:rsidR="00B60C1A" w:rsidRDefault="00B60C1A" w:rsidP="007B6006">
      <w:pPr>
        <w:spacing w:line="360" w:lineRule="auto"/>
        <w:ind w:left="1440" w:hanging="525"/>
        <w:jc w:val="both"/>
        <w:rPr>
          <w:rtl/>
        </w:rPr>
      </w:pPr>
      <w:r>
        <w:rPr>
          <w:rtl/>
        </w:rPr>
        <w:t>23.</w:t>
      </w:r>
      <w:r>
        <w:rPr>
          <w:rtl/>
        </w:rPr>
        <w:tab/>
        <w:t>לחובת הנאשם, במסגרת קביעת העונש המתאים, יש לציין את עברו הפלילי המכביד,  לרבות  את העובדה   שנגד הנאשם תלויים ועומדים שני מאסרים על תנאי, אשר יש להפעילם בתיק זה, ואשר לא הרתיעו את הנאשם מלשוב ולבצע עבירת סמים חמורה. עוד יש לציין בנקודה זו, לחומרא, את העובדה שעסקינן בנאשם אשר ריצה בעבר עונשי מאסר בפועל ממושכים וסה"כ ריצה הנאשם עונש כולל של 152 חודשי מאסר בפועל, וכן את העבירות שבפנינו ביצע 8 חודשים לאחר שחרורו ממאסר קודם.</w:t>
      </w:r>
    </w:p>
    <w:p w14:paraId="03A76B13" w14:textId="77777777" w:rsidR="00B60C1A" w:rsidRDefault="00B60C1A" w:rsidP="007B6006">
      <w:pPr>
        <w:spacing w:line="360" w:lineRule="auto"/>
        <w:ind w:left="720" w:hanging="360"/>
        <w:jc w:val="both"/>
        <w:rPr>
          <w:rtl/>
        </w:rPr>
      </w:pPr>
    </w:p>
    <w:p w14:paraId="48C3702C" w14:textId="77777777" w:rsidR="00B60C1A" w:rsidRDefault="00B60C1A" w:rsidP="007B6006">
      <w:pPr>
        <w:spacing w:line="360" w:lineRule="auto"/>
        <w:ind w:left="1440" w:hanging="525"/>
        <w:jc w:val="both"/>
        <w:rPr>
          <w:rtl/>
        </w:rPr>
      </w:pPr>
      <w:r>
        <w:rPr>
          <w:rtl/>
        </w:rPr>
        <w:t>24.</w:t>
      </w:r>
      <w:r>
        <w:rPr>
          <w:rtl/>
        </w:rPr>
        <w:tab/>
        <w:t>לטובת הנאשם, במסגרת קביעת העונש המתאים, יש לציין את הודאת הנאשם בהזדמנות הראשונה בעובדות כתב האישום, לאחר תיקונו של כתב האישום, המקל עם הנאשם ביחס לכתב האישום המקורי. עוד יש לציין, לקולא, במסגרת קביעת העונש המתאים את נסיבותיו האישיות הקשות של הנאשם, כנטען על ידי הסנגור, וכפי שעלה מעדותו של אחיו של הנאשם בפניי, גאזי. עוד יש להוסיף לאמור לעיל, כי הנאשם, המכור כאמור לסמים קשים, ביקש עובר למעצרו להשתלב בהליך של גמילה מסמים, כפי שעלה מעדותו של רשיד בפניי. ברם, מנגד, יש ליתן את הדעת, לכך שהנאשם ביצע את העבירות בתיק זה לאחר שביקש להיקלט במוסד האשפוזית בטמרה.</w:t>
      </w:r>
    </w:p>
    <w:p w14:paraId="0CB331A3" w14:textId="77777777" w:rsidR="00B60C1A" w:rsidRDefault="00B60C1A" w:rsidP="007B6006">
      <w:pPr>
        <w:spacing w:line="360" w:lineRule="auto"/>
        <w:jc w:val="both"/>
        <w:rPr>
          <w:rtl/>
        </w:rPr>
      </w:pPr>
    </w:p>
    <w:p w14:paraId="5183F209" w14:textId="77777777" w:rsidR="00B60C1A" w:rsidRDefault="00B60C1A" w:rsidP="007B6006">
      <w:pPr>
        <w:spacing w:line="360" w:lineRule="auto"/>
        <w:ind w:left="1440" w:hanging="720"/>
        <w:jc w:val="both"/>
        <w:rPr>
          <w:rtl/>
        </w:rPr>
      </w:pPr>
      <w:r>
        <w:rPr>
          <w:rtl/>
        </w:rPr>
        <w:t>25.</w:t>
      </w:r>
      <w:r>
        <w:rPr>
          <w:rtl/>
        </w:rPr>
        <w:tab/>
        <w:t xml:space="preserve">לאחר ששקללתי את הטעמים לחומרא ואת הטעמים לקולא, הנזכרים לעיל, במסגרת קביעת העונש המתאים, הגעתי לכלל מסקנה כי העונש המתאים בתיק זה הינו עונש של 30 חודשי  מאסר בפועל, זאת תוך הפעלת עונשי המאסר על תנאי התלויים ועומדים נגד הנאשם, בחופף האחד לשני, ובמצטבר לעונש המאסר בפועל הנ"ל, כך שסה"כ ירצה הנאשם מאסר בפועל לתקופה כוללת של 3.5 שנים, בניכוי ימי מעצרו, זאת בצד עונש של מאסר על תנאי שיושת על הנאשם. </w:t>
      </w:r>
    </w:p>
    <w:p w14:paraId="4DE92979" w14:textId="77777777" w:rsidR="00B60C1A" w:rsidRDefault="00B60C1A" w:rsidP="007B6006">
      <w:pPr>
        <w:spacing w:line="360" w:lineRule="auto"/>
        <w:jc w:val="both"/>
        <w:rPr>
          <w:rtl/>
        </w:rPr>
      </w:pPr>
    </w:p>
    <w:p w14:paraId="04E8D782" w14:textId="77777777" w:rsidR="00B60C1A" w:rsidRDefault="00B60C1A" w:rsidP="007B6006">
      <w:pPr>
        <w:spacing w:line="360" w:lineRule="auto"/>
        <w:jc w:val="both"/>
        <w:rPr>
          <w:b/>
          <w:bCs/>
          <w:sz w:val="28"/>
          <w:szCs w:val="28"/>
          <w:rtl/>
        </w:rPr>
      </w:pPr>
      <w:r>
        <w:rPr>
          <w:b/>
          <w:bCs/>
          <w:sz w:val="28"/>
          <w:szCs w:val="28"/>
          <w:rtl/>
        </w:rPr>
        <w:t>ז.</w:t>
      </w:r>
      <w:r>
        <w:rPr>
          <w:b/>
          <w:bCs/>
          <w:sz w:val="28"/>
          <w:szCs w:val="28"/>
          <w:rtl/>
        </w:rPr>
        <w:tab/>
      </w:r>
      <w:r>
        <w:rPr>
          <w:b/>
          <w:bCs/>
          <w:sz w:val="28"/>
          <w:szCs w:val="28"/>
          <w:u w:val="single"/>
          <w:rtl/>
        </w:rPr>
        <w:t>אחרית דבר</w:t>
      </w:r>
    </w:p>
    <w:p w14:paraId="73A053D1" w14:textId="77777777" w:rsidR="00B60C1A" w:rsidRDefault="00B60C1A" w:rsidP="007B6006">
      <w:pPr>
        <w:spacing w:line="360" w:lineRule="auto"/>
        <w:ind w:left="720" w:hanging="360"/>
        <w:jc w:val="both"/>
        <w:rPr>
          <w:rtl/>
        </w:rPr>
      </w:pPr>
      <w:r>
        <w:rPr>
          <w:rtl/>
        </w:rPr>
        <w:tab/>
        <w:t>26.</w:t>
      </w:r>
      <w:r>
        <w:rPr>
          <w:rtl/>
        </w:rPr>
        <w:tab/>
        <w:t>לסיכום, אני דנה את הנאשם כדלקמן:</w:t>
      </w:r>
    </w:p>
    <w:p w14:paraId="68BC5E9A" w14:textId="77777777" w:rsidR="00B60C1A" w:rsidRDefault="00B60C1A" w:rsidP="007B6006">
      <w:pPr>
        <w:spacing w:line="360" w:lineRule="auto"/>
        <w:ind w:left="720" w:hanging="360"/>
        <w:jc w:val="both"/>
        <w:rPr>
          <w:rtl/>
        </w:rPr>
      </w:pPr>
    </w:p>
    <w:p w14:paraId="1D862685" w14:textId="77777777" w:rsidR="00B60C1A" w:rsidRDefault="00B60C1A" w:rsidP="007B6006">
      <w:pPr>
        <w:pStyle w:val="ListParagraph"/>
        <w:numPr>
          <w:ilvl w:val="0"/>
          <w:numId w:val="19"/>
        </w:numPr>
        <w:spacing w:line="360" w:lineRule="auto"/>
        <w:jc w:val="both"/>
        <w:rPr>
          <w:rtl/>
        </w:rPr>
      </w:pPr>
      <w:r>
        <w:rPr>
          <w:rtl/>
        </w:rPr>
        <w:t>למאסר בפועל לתקופה של 30 חודש.</w:t>
      </w:r>
    </w:p>
    <w:p w14:paraId="3E80775C" w14:textId="77777777" w:rsidR="00B60C1A" w:rsidRDefault="00B60C1A" w:rsidP="007B6006">
      <w:pPr>
        <w:spacing w:line="360" w:lineRule="auto"/>
        <w:ind w:left="720" w:hanging="360"/>
        <w:jc w:val="both"/>
        <w:rPr>
          <w:rtl/>
        </w:rPr>
      </w:pPr>
    </w:p>
    <w:p w14:paraId="616FE35B" w14:textId="77777777" w:rsidR="00B60C1A" w:rsidRDefault="00B60C1A" w:rsidP="007B6006">
      <w:pPr>
        <w:pStyle w:val="ListParagraph"/>
        <w:numPr>
          <w:ilvl w:val="0"/>
          <w:numId w:val="19"/>
        </w:numPr>
        <w:spacing w:line="360" w:lineRule="auto"/>
        <w:jc w:val="both"/>
        <w:rPr>
          <w:rtl/>
        </w:rPr>
      </w:pPr>
      <w:r>
        <w:rPr>
          <w:rtl/>
        </w:rPr>
        <w:t>הנני מורה בדבר הפעלת המאסר על תנאי בן ה-12 חודש, שהושת על הנאשם ב</w:t>
      </w:r>
      <w:hyperlink r:id="rId21" w:history="1">
        <w:r w:rsidR="00E13D28" w:rsidRPr="00E13D28">
          <w:rPr>
            <w:rStyle w:val="Hyperlink"/>
            <w:rFonts w:cs="David"/>
            <w:rtl/>
          </w:rPr>
          <w:t>ת.פ. 36298-06-11</w:t>
        </w:r>
      </w:hyperlink>
      <w:r>
        <w:rPr>
          <w:rtl/>
        </w:rPr>
        <w:t xml:space="preserve"> בבימ"ש השלום בעכו, ובדבר הפעלת המאסר על תנאי בין ה-10 חודשים, שהושת על הנאשם ב</w:t>
      </w:r>
      <w:hyperlink r:id="rId22" w:history="1">
        <w:r w:rsidR="00E13D28" w:rsidRPr="00E13D28">
          <w:rPr>
            <w:rStyle w:val="Hyperlink"/>
            <w:rFonts w:cs="David"/>
            <w:rtl/>
          </w:rPr>
          <w:t>ת.פ. 48440-08-10</w:t>
        </w:r>
      </w:hyperlink>
      <w:r>
        <w:rPr>
          <w:rtl/>
        </w:rPr>
        <w:t xml:space="preserve"> בבימ"ש השלום בקריות, זאת בחופף האחד לשני, נוכח הטעמים לקולא הנזכרים בסעיף 24 לעיל, ובמצטבר לעונש המאסר בפועל הנ"ל.</w:t>
      </w:r>
    </w:p>
    <w:p w14:paraId="1C71F938" w14:textId="77777777" w:rsidR="00B60C1A" w:rsidRDefault="00B60C1A" w:rsidP="007B6006">
      <w:pPr>
        <w:spacing w:line="360" w:lineRule="auto"/>
        <w:ind w:left="1440"/>
        <w:jc w:val="both"/>
        <w:rPr>
          <w:rtl/>
        </w:rPr>
      </w:pPr>
    </w:p>
    <w:p w14:paraId="5B72A70B" w14:textId="77777777" w:rsidR="00B60C1A" w:rsidRDefault="00B60C1A" w:rsidP="007B6006">
      <w:pPr>
        <w:spacing w:line="360" w:lineRule="auto"/>
        <w:ind w:left="1440" w:firstLine="360"/>
        <w:jc w:val="both"/>
        <w:rPr>
          <w:b/>
          <w:bCs/>
          <w:u w:val="single"/>
          <w:rtl/>
        </w:rPr>
      </w:pPr>
      <w:r>
        <w:rPr>
          <w:b/>
          <w:bCs/>
          <w:u w:val="single"/>
          <w:rtl/>
        </w:rPr>
        <w:t>סה"כ ירצה הנאשם מאסר בפועל לתקופה של 42 חודש מיום מעצרו.</w:t>
      </w:r>
      <w:bookmarkStart w:id="8" w:name="_GoBack"/>
      <w:bookmarkEnd w:id="8"/>
    </w:p>
    <w:p w14:paraId="587F38B2" w14:textId="77777777" w:rsidR="00B60C1A" w:rsidRDefault="00B60C1A" w:rsidP="007B6006">
      <w:pPr>
        <w:spacing w:line="360" w:lineRule="auto"/>
        <w:ind w:left="720" w:hanging="360"/>
        <w:jc w:val="both"/>
        <w:rPr>
          <w:rtl/>
        </w:rPr>
      </w:pPr>
    </w:p>
    <w:p w14:paraId="23AEED7E" w14:textId="77777777" w:rsidR="00B60C1A" w:rsidRDefault="00B60C1A" w:rsidP="007B6006">
      <w:pPr>
        <w:pStyle w:val="ListParagraph"/>
        <w:numPr>
          <w:ilvl w:val="0"/>
          <w:numId w:val="19"/>
        </w:numPr>
        <w:spacing w:line="360" w:lineRule="auto"/>
        <w:jc w:val="both"/>
        <w:rPr>
          <w:rtl/>
        </w:rPr>
      </w:pPr>
      <w:r>
        <w:rPr>
          <w:rtl/>
        </w:rPr>
        <w:t xml:space="preserve">כמו כן, אני דנה את הנאשם למאסר על תנאי לתקופה של 12 חודש למשך 3 שנים, והתנאי הוא כי לא יעבור עבירה מסוג פשע, לפי </w:t>
      </w:r>
      <w:hyperlink r:id="rId23" w:history="1">
        <w:r w:rsidR="00E13D28" w:rsidRPr="00E13D28">
          <w:rPr>
            <w:rStyle w:val="Hyperlink"/>
            <w:rFonts w:cs="David"/>
            <w:rtl/>
          </w:rPr>
          <w:t>פקודת הסמים המסוכנים</w:t>
        </w:r>
      </w:hyperlink>
      <w:r>
        <w:rPr>
          <w:rtl/>
        </w:rPr>
        <w:t xml:space="preserve"> [נוסח חדש], התשל"ג-1973, ויורשע בגינה. </w:t>
      </w:r>
    </w:p>
    <w:p w14:paraId="08D9B2AC" w14:textId="77777777" w:rsidR="00B60C1A" w:rsidRDefault="00B60C1A" w:rsidP="007B6006">
      <w:pPr>
        <w:rPr>
          <w:rtl/>
        </w:rPr>
      </w:pPr>
      <w:r>
        <w:rPr>
          <w:rtl/>
        </w:rPr>
        <w:tab/>
      </w:r>
      <w:r>
        <w:rPr>
          <w:rtl/>
        </w:rPr>
        <w:tab/>
      </w:r>
    </w:p>
    <w:p w14:paraId="22A8374B" w14:textId="77777777" w:rsidR="00B60C1A" w:rsidRDefault="00B60C1A" w:rsidP="007B6006">
      <w:pPr>
        <w:pStyle w:val="ListParagraph"/>
        <w:numPr>
          <w:ilvl w:val="0"/>
          <w:numId w:val="19"/>
        </w:numPr>
        <w:spacing w:line="360" w:lineRule="auto"/>
        <w:jc w:val="both"/>
        <w:rPr>
          <w:rtl/>
        </w:rPr>
      </w:pPr>
      <w:r>
        <w:rPr>
          <w:rtl/>
        </w:rPr>
        <w:t xml:space="preserve">בנוסף, אני דנה את הנאשם למאסר על תנאי לתקופה של 6 חודשים למשך 3 שנים, והתנאי הוא כי לא יעבור עבירה מסוג עוון, לפי </w:t>
      </w:r>
      <w:hyperlink r:id="rId24" w:history="1">
        <w:r w:rsidR="00E13D28" w:rsidRPr="00E13D28">
          <w:rPr>
            <w:rStyle w:val="Hyperlink"/>
            <w:rFonts w:cs="David"/>
            <w:rtl/>
          </w:rPr>
          <w:t>פקודת הסמים המסוכנים</w:t>
        </w:r>
      </w:hyperlink>
      <w:r>
        <w:rPr>
          <w:rtl/>
        </w:rPr>
        <w:t xml:space="preserve"> [נוסח חדש], התשל"ג-1973, או עבירה לפי סימן ג' לפרק ט' ל</w:t>
      </w:r>
      <w:hyperlink r:id="rId25" w:history="1">
        <w:r w:rsidR="00E13D28" w:rsidRPr="00E13D28">
          <w:rPr>
            <w:rStyle w:val="Hyperlink"/>
            <w:rFonts w:cs="David"/>
            <w:rtl/>
          </w:rPr>
          <w:t>חוק העונשין</w:t>
        </w:r>
      </w:hyperlink>
      <w:r>
        <w:rPr>
          <w:rtl/>
        </w:rPr>
        <w:t xml:space="preserve">, התשל"ז-1977 ויורשע בגין אחת מהן. </w:t>
      </w:r>
    </w:p>
    <w:p w14:paraId="2A5E04AD" w14:textId="77777777" w:rsidR="00B60C1A" w:rsidRDefault="00B60C1A" w:rsidP="007B6006">
      <w:pPr>
        <w:spacing w:line="360" w:lineRule="auto"/>
        <w:ind w:left="1440"/>
        <w:jc w:val="both"/>
        <w:rPr>
          <w:rtl/>
        </w:rPr>
      </w:pPr>
    </w:p>
    <w:p w14:paraId="73E61ECF" w14:textId="77777777" w:rsidR="00B60C1A" w:rsidRDefault="00B60C1A" w:rsidP="007B6006">
      <w:pPr>
        <w:spacing w:line="360" w:lineRule="auto"/>
        <w:ind w:left="1440"/>
        <w:jc w:val="both"/>
        <w:rPr>
          <w:b/>
          <w:bCs/>
          <w:rtl/>
        </w:rPr>
      </w:pPr>
      <w:r w:rsidRPr="00A4603E">
        <w:rPr>
          <w:b/>
          <w:bCs/>
          <w:rtl/>
        </w:rPr>
        <w:t xml:space="preserve">בשולי גזר הדין, מובאת בזה המלצתי לשרות בתי הסוהר לשקול את שילובו של הנאשם במסגרת של הליך גמילה מסמים בין כתלי בית הסוהר, זאת נוכח נכונותו של הנאשם להיקלט בהליך של גמילה עובר למעצרו. </w:t>
      </w:r>
    </w:p>
    <w:p w14:paraId="5E38F3B8" w14:textId="77777777" w:rsidR="00B60C1A" w:rsidRDefault="00B60C1A" w:rsidP="007B6006">
      <w:pPr>
        <w:spacing w:line="360" w:lineRule="auto"/>
        <w:ind w:left="1440"/>
        <w:jc w:val="both"/>
        <w:rPr>
          <w:b/>
          <w:bCs/>
          <w:rtl/>
        </w:rPr>
      </w:pPr>
    </w:p>
    <w:p w14:paraId="49EAB1E2" w14:textId="77777777" w:rsidR="00B60C1A" w:rsidRPr="00A4603E" w:rsidRDefault="00B60C1A" w:rsidP="007B6006">
      <w:pPr>
        <w:spacing w:line="360" w:lineRule="auto"/>
        <w:ind w:left="1440"/>
        <w:jc w:val="both"/>
        <w:rPr>
          <w:b/>
          <w:bCs/>
          <w:rtl/>
        </w:rPr>
      </w:pPr>
      <w:r>
        <w:rPr>
          <w:b/>
          <w:bCs/>
          <w:rtl/>
        </w:rPr>
        <w:t xml:space="preserve">זכות ערעור תוך 45 יום. </w:t>
      </w:r>
    </w:p>
    <w:p w14:paraId="4BB71559" w14:textId="77777777" w:rsidR="00B60C1A" w:rsidRPr="00A4603E" w:rsidRDefault="00B60C1A" w:rsidP="007B6006">
      <w:pPr>
        <w:spacing w:line="360" w:lineRule="auto"/>
        <w:jc w:val="both"/>
        <w:rPr>
          <w:b/>
          <w:bCs/>
          <w:sz w:val="6"/>
          <w:szCs w:val="6"/>
          <w:rtl/>
        </w:rPr>
      </w:pPr>
      <w:r w:rsidRPr="00A4603E">
        <w:rPr>
          <w:b/>
          <w:bCs/>
          <w:sz w:val="6"/>
          <w:szCs w:val="6"/>
          <w:rtl/>
        </w:rPr>
        <w:t>&lt;#4#&gt;</w:t>
      </w:r>
    </w:p>
    <w:p w14:paraId="49BAE6E6" w14:textId="77777777" w:rsidR="00B60C1A" w:rsidRDefault="00B60C1A">
      <w:pPr>
        <w:jc w:val="right"/>
        <w:rPr>
          <w:rtl/>
        </w:rPr>
      </w:pPr>
    </w:p>
    <w:p w14:paraId="2238F127" w14:textId="77777777" w:rsidR="00B60C1A" w:rsidRDefault="00B60C1A" w:rsidP="007B6006">
      <w:pPr>
        <w:spacing w:line="360" w:lineRule="auto"/>
        <w:rPr>
          <w:rtl/>
        </w:rPr>
      </w:pPr>
      <w:r>
        <w:rPr>
          <w:b/>
          <w:bCs/>
          <w:rtl/>
        </w:rPr>
        <w:t>ניתנה והודעה היום י"ח סיון תשע"ג, 27/05/2013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786"/>
      </w:tblGrid>
      <w:tr w:rsidR="00B60C1A" w14:paraId="59B5C0C7" w14:textId="77777777">
        <w:trPr>
          <w:trHeight w:val="364"/>
          <w:jc w:val="right"/>
        </w:trPr>
        <w:tc>
          <w:tcPr>
            <w:tcW w:w="4786" w:type="dxa"/>
            <w:tcBorders>
              <w:bottom w:val="single" w:sz="4" w:space="0" w:color="auto"/>
            </w:tcBorders>
          </w:tcPr>
          <w:p w14:paraId="7D8838B6" w14:textId="77777777" w:rsidR="00B60C1A" w:rsidRPr="00956890" w:rsidRDefault="00B60C1A" w:rsidP="00956890">
            <w:pPr>
              <w:jc w:val="center"/>
              <w:rPr>
                <w:rFonts w:ascii="Times New Roman" w:hAnsi="Times New Roman" w:cs="Times New Roman"/>
              </w:rPr>
            </w:pPr>
            <w:r w:rsidRPr="00956890">
              <w:rPr>
                <w:rFonts w:ascii="Times New Roman" w:hAnsi="Times New Roman" w:cs="Times New Roman"/>
                <w:noProof/>
              </w:rPr>
              <w:pict w14:anchorId="298D7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8.75pt;height:48pt;visibility:visible">
                  <v:imagedata r:id="rId26" o:title=""/>
                </v:shape>
              </w:pict>
            </w:r>
          </w:p>
          <w:p w14:paraId="6DF48C42" w14:textId="77777777" w:rsidR="00B60C1A" w:rsidRPr="00956890" w:rsidRDefault="00B60C1A" w:rsidP="00956890">
            <w:pPr>
              <w:jc w:val="center"/>
              <w:rPr>
                <w:rFonts w:ascii="Times New Roman" w:hAnsi="Times New Roman" w:cs="Times New Roman"/>
              </w:rPr>
            </w:pPr>
          </w:p>
        </w:tc>
      </w:tr>
      <w:tr w:rsidR="00B60C1A" w14:paraId="2B70D803" w14:textId="77777777">
        <w:trPr>
          <w:trHeight w:val="415"/>
          <w:jc w:val="right"/>
        </w:trPr>
        <w:tc>
          <w:tcPr>
            <w:tcW w:w="4786" w:type="dxa"/>
            <w:tcBorders>
              <w:top w:val="single" w:sz="4" w:space="0" w:color="auto"/>
            </w:tcBorders>
          </w:tcPr>
          <w:p w14:paraId="2CB1756D" w14:textId="77777777" w:rsidR="00B60C1A" w:rsidRPr="00956890" w:rsidRDefault="00B60C1A" w:rsidP="00956890">
            <w:pPr>
              <w:jc w:val="center"/>
              <w:rPr>
                <w:rFonts w:ascii="Times New Roman" w:hAnsi="Times New Roman"/>
                <w:rtl/>
              </w:rPr>
            </w:pPr>
            <w:r w:rsidRPr="00956890">
              <w:rPr>
                <w:rFonts w:ascii="Times New Roman" w:hAnsi="Times New Roman"/>
                <w:b/>
                <w:bCs/>
                <w:rtl/>
              </w:rPr>
              <w:t>כב' השופטת</w:t>
            </w:r>
            <w:r w:rsidR="00134B60">
              <w:rPr>
                <w:rFonts w:ascii="Times New Roman" w:hAnsi="Times New Roman" w:hint="cs"/>
                <w:b/>
                <w:bCs/>
                <w:rtl/>
              </w:rPr>
              <w:t xml:space="preserve"> </w:t>
            </w:r>
            <w:r w:rsidRPr="00956890">
              <w:rPr>
                <w:rFonts w:ascii="Times New Roman" w:hAnsi="Times New Roman"/>
                <w:b/>
                <w:bCs/>
                <w:rtl/>
              </w:rPr>
              <w:t>רונית</w:t>
            </w:r>
            <w:r w:rsidR="00134B60">
              <w:rPr>
                <w:rFonts w:ascii="Times New Roman" w:hAnsi="Times New Roman" w:hint="cs"/>
                <w:b/>
                <w:bCs/>
                <w:rtl/>
              </w:rPr>
              <w:t xml:space="preserve"> </w:t>
            </w:r>
            <w:r w:rsidRPr="00956890">
              <w:rPr>
                <w:rFonts w:ascii="Times New Roman" w:hAnsi="Times New Roman"/>
                <w:b/>
                <w:bCs/>
                <w:rtl/>
              </w:rPr>
              <w:t>בש</w:t>
            </w:r>
          </w:p>
          <w:p w14:paraId="2EF295FD" w14:textId="77777777" w:rsidR="00B60C1A" w:rsidRPr="00956890" w:rsidRDefault="00B60C1A" w:rsidP="00956890">
            <w:pPr>
              <w:jc w:val="center"/>
              <w:rPr>
                <w:rFonts w:ascii="Times New Roman" w:hAnsi="Times New Roman"/>
                <w:b/>
                <w:bCs/>
              </w:rPr>
            </w:pPr>
            <w:r w:rsidRPr="00956890">
              <w:rPr>
                <w:rFonts w:ascii="Times New Roman" w:hAnsi="Times New Roman"/>
                <w:b/>
                <w:bCs/>
                <w:rtl/>
              </w:rPr>
              <w:t>סגנית נשיא</w:t>
            </w:r>
          </w:p>
        </w:tc>
      </w:tr>
    </w:tbl>
    <w:p w14:paraId="231BC169" w14:textId="77777777" w:rsidR="00B60C1A" w:rsidRPr="00A4603E" w:rsidRDefault="00B60C1A" w:rsidP="007B6006">
      <w:pPr>
        <w:spacing w:line="360" w:lineRule="auto"/>
        <w:jc w:val="both"/>
        <w:rPr>
          <w:b/>
          <w:bCs/>
          <w:u w:val="single"/>
          <w:rtl/>
        </w:rPr>
      </w:pPr>
      <w:r w:rsidRPr="00A4603E">
        <w:rPr>
          <w:b/>
          <w:bCs/>
          <w:u w:val="single"/>
          <w:rtl/>
        </w:rPr>
        <w:t>ב"כ המאשימה:</w:t>
      </w:r>
    </w:p>
    <w:p w14:paraId="7AD79635" w14:textId="77777777" w:rsidR="00B60C1A" w:rsidRDefault="00B60C1A" w:rsidP="007B6006">
      <w:pPr>
        <w:spacing w:line="360" w:lineRule="auto"/>
        <w:jc w:val="both"/>
        <w:rPr>
          <w:rtl/>
        </w:rPr>
      </w:pPr>
      <w:r>
        <w:rPr>
          <w:rtl/>
        </w:rPr>
        <w:t xml:space="preserve">אבקש צו להשמדת מוצגי הסמים. </w:t>
      </w:r>
    </w:p>
    <w:p w14:paraId="3BAA70E1" w14:textId="77777777" w:rsidR="00B60C1A" w:rsidRPr="00A4603E" w:rsidRDefault="00B60C1A" w:rsidP="00A4603E">
      <w:pPr>
        <w:spacing w:line="360" w:lineRule="auto"/>
        <w:jc w:val="both"/>
        <w:rPr>
          <w:rtl/>
        </w:rPr>
      </w:pPr>
      <w:r>
        <w:rPr>
          <w:sz w:val="6"/>
          <w:szCs w:val="6"/>
          <w:rtl/>
        </w:rPr>
        <w:t>&lt;#5#&gt;</w:t>
      </w:r>
    </w:p>
    <w:p w14:paraId="14B94ADF" w14:textId="77777777" w:rsidR="00B60C1A" w:rsidRDefault="00B60C1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37A0C67" w14:textId="77777777" w:rsidR="00B60C1A" w:rsidRDefault="00B60C1A">
      <w:pPr>
        <w:spacing w:line="360" w:lineRule="auto"/>
        <w:jc w:val="both"/>
        <w:rPr>
          <w:rtl/>
        </w:rPr>
      </w:pPr>
    </w:p>
    <w:p w14:paraId="1C3A9886" w14:textId="77777777" w:rsidR="00B60C1A" w:rsidRDefault="00B60C1A" w:rsidP="00A4603E">
      <w:pPr>
        <w:spacing w:line="360" w:lineRule="auto"/>
        <w:jc w:val="both"/>
        <w:rPr>
          <w:rtl/>
        </w:rPr>
      </w:pPr>
      <w:r>
        <w:rPr>
          <w:rtl/>
        </w:rPr>
        <w:t xml:space="preserve">כמבוקש. </w:t>
      </w:r>
    </w:p>
    <w:p w14:paraId="0EF9FCA3" w14:textId="77777777" w:rsidR="00B60C1A" w:rsidRDefault="00B60C1A" w:rsidP="00A4603E">
      <w:pPr>
        <w:spacing w:line="360" w:lineRule="auto"/>
        <w:jc w:val="both"/>
        <w:rPr>
          <w:rtl/>
        </w:rPr>
      </w:pPr>
    </w:p>
    <w:p w14:paraId="275DB649" w14:textId="77777777" w:rsidR="00B60C1A" w:rsidRDefault="00B60C1A" w:rsidP="00A4603E">
      <w:pPr>
        <w:spacing w:line="360" w:lineRule="auto"/>
        <w:jc w:val="both"/>
        <w:rPr>
          <w:sz w:val="6"/>
          <w:szCs w:val="6"/>
          <w:rtl/>
        </w:rPr>
      </w:pPr>
      <w:r>
        <w:rPr>
          <w:sz w:val="6"/>
          <w:szCs w:val="6"/>
          <w:rtl/>
        </w:rPr>
        <w:t>&lt;#6#&gt;</w:t>
      </w:r>
    </w:p>
    <w:p w14:paraId="5126C36B" w14:textId="77777777" w:rsidR="00DF2E69" w:rsidRPr="00DF2E69" w:rsidRDefault="00DF2E69" w:rsidP="00DF2E69">
      <w:pPr>
        <w:keepNext/>
        <w:rPr>
          <w:color w:val="000000"/>
          <w:sz w:val="22"/>
          <w:szCs w:val="22"/>
          <w:rtl/>
        </w:rPr>
      </w:pPr>
    </w:p>
    <w:p w14:paraId="5723C2DA" w14:textId="77777777" w:rsidR="00DF2E69" w:rsidRPr="00DF2E69" w:rsidRDefault="00DF2E69" w:rsidP="00DF2E69">
      <w:pPr>
        <w:keepNext/>
        <w:rPr>
          <w:color w:val="000000"/>
          <w:sz w:val="22"/>
          <w:szCs w:val="22"/>
          <w:rtl/>
        </w:rPr>
      </w:pPr>
      <w:r w:rsidRPr="00DF2E69">
        <w:rPr>
          <w:color w:val="000000"/>
          <w:sz w:val="22"/>
          <w:szCs w:val="22"/>
          <w:rtl/>
        </w:rPr>
        <w:t>רונית בש 54678313</w:t>
      </w:r>
    </w:p>
    <w:p w14:paraId="11F6FD04" w14:textId="77777777" w:rsidR="00B60C1A" w:rsidRPr="00DF2E69" w:rsidRDefault="00DF2E69">
      <w:pPr>
        <w:jc w:val="right"/>
        <w:rPr>
          <w:color w:val="FFFFFF"/>
          <w:sz w:val="2"/>
          <w:szCs w:val="2"/>
          <w:rtl/>
        </w:rPr>
      </w:pPr>
      <w:r w:rsidRPr="00DF2E6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786"/>
      </w:tblGrid>
      <w:tr w:rsidR="00B60C1A" w14:paraId="6E9DC94C" w14:textId="77777777">
        <w:trPr>
          <w:trHeight w:val="364"/>
          <w:jc w:val="right"/>
        </w:trPr>
        <w:tc>
          <w:tcPr>
            <w:tcW w:w="4786" w:type="dxa"/>
            <w:tcBorders>
              <w:bottom w:val="single" w:sz="4" w:space="0" w:color="auto"/>
            </w:tcBorders>
          </w:tcPr>
          <w:p w14:paraId="4B55316F" w14:textId="77777777" w:rsidR="00B60C1A" w:rsidRPr="00956890" w:rsidRDefault="00DF2E69" w:rsidP="00956890">
            <w:pPr>
              <w:jc w:val="center"/>
              <w:rPr>
                <w:rFonts w:ascii="Times New Roman" w:hAnsi="Times New Roman" w:cs="Times New Roman"/>
              </w:rPr>
            </w:pPr>
            <w:r w:rsidRPr="00DF2E69">
              <w:rPr>
                <w:b/>
                <w:bCs/>
                <w:color w:val="FFFFFF"/>
                <w:sz w:val="2"/>
                <w:szCs w:val="2"/>
                <w:rtl/>
              </w:rPr>
              <w:t>54678313</w:t>
            </w:r>
            <w:r>
              <w:rPr>
                <w:b/>
                <w:bCs/>
                <w:rtl/>
              </w:rPr>
              <w:t xml:space="preserve">ניתנה והודעה היום י"ח סיון תשע"ג, 27/05/2013 במעמד הנוכחים. </w:t>
            </w:r>
            <w:r w:rsidR="00B60C1A" w:rsidRPr="00956890">
              <w:rPr>
                <w:rFonts w:ascii="Times New Roman" w:hAnsi="Times New Roman" w:cs="Times New Roman"/>
                <w:noProof/>
              </w:rPr>
              <w:pict w14:anchorId="33729CAB">
                <v:shape id="_x0000_i1027" type="#_x0000_t75" style="width:108.75pt;height:48pt;visibility:visible">
                  <v:imagedata r:id="rId26" o:title=""/>
                </v:shape>
              </w:pict>
            </w:r>
          </w:p>
          <w:p w14:paraId="1E5644E5" w14:textId="77777777" w:rsidR="00B60C1A" w:rsidRPr="00956890" w:rsidRDefault="00B60C1A" w:rsidP="00956890">
            <w:pPr>
              <w:jc w:val="center"/>
              <w:rPr>
                <w:rFonts w:ascii="Times New Roman" w:hAnsi="Times New Roman" w:cs="Times New Roman"/>
              </w:rPr>
            </w:pPr>
          </w:p>
        </w:tc>
      </w:tr>
      <w:tr w:rsidR="00B60C1A" w14:paraId="4CA5FBF4" w14:textId="77777777">
        <w:trPr>
          <w:trHeight w:val="415"/>
          <w:jc w:val="right"/>
        </w:trPr>
        <w:tc>
          <w:tcPr>
            <w:tcW w:w="4786" w:type="dxa"/>
            <w:tcBorders>
              <w:top w:val="single" w:sz="4" w:space="0" w:color="auto"/>
            </w:tcBorders>
          </w:tcPr>
          <w:p w14:paraId="36406D15" w14:textId="77777777" w:rsidR="00B60C1A" w:rsidRPr="00956890" w:rsidRDefault="00B60C1A" w:rsidP="00956890">
            <w:pPr>
              <w:jc w:val="center"/>
              <w:rPr>
                <w:rFonts w:ascii="Times New Roman" w:hAnsi="Times New Roman"/>
                <w:rtl/>
              </w:rPr>
            </w:pPr>
            <w:r w:rsidRPr="00956890">
              <w:rPr>
                <w:rFonts w:ascii="Times New Roman" w:hAnsi="Times New Roman"/>
                <w:b/>
                <w:bCs/>
                <w:rtl/>
              </w:rPr>
              <w:t>כב' השופטתרוניתבש</w:t>
            </w:r>
          </w:p>
          <w:p w14:paraId="60A59DDC" w14:textId="77777777" w:rsidR="00B60C1A" w:rsidRPr="00956890" w:rsidRDefault="00B60C1A" w:rsidP="00956890">
            <w:pPr>
              <w:jc w:val="center"/>
              <w:rPr>
                <w:rFonts w:ascii="Times New Roman" w:hAnsi="Times New Roman"/>
                <w:b/>
                <w:bCs/>
              </w:rPr>
            </w:pPr>
            <w:r w:rsidRPr="00956890">
              <w:rPr>
                <w:rFonts w:ascii="Times New Roman" w:hAnsi="Times New Roman"/>
                <w:b/>
                <w:bCs/>
                <w:rtl/>
              </w:rPr>
              <w:t>סגנית נשיא</w:t>
            </w:r>
          </w:p>
        </w:tc>
      </w:tr>
    </w:tbl>
    <w:p w14:paraId="16BFA339" w14:textId="77777777" w:rsidR="00B60C1A" w:rsidRDefault="00B60C1A">
      <w:pPr>
        <w:jc w:val="right"/>
        <w:rPr>
          <w:rtl/>
        </w:rPr>
      </w:pPr>
    </w:p>
    <w:p w14:paraId="50E5848B" w14:textId="77777777" w:rsidR="00B60C1A" w:rsidRDefault="00B60C1A">
      <w:pPr>
        <w:jc w:val="center"/>
        <w:rPr>
          <w:rtl/>
        </w:rPr>
      </w:pPr>
    </w:p>
    <w:p w14:paraId="101AA33D" w14:textId="77777777" w:rsidR="00B60C1A" w:rsidRDefault="00B60C1A" w:rsidP="00A4603E">
      <w:pPr>
        <w:spacing w:line="360" w:lineRule="auto"/>
        <w:jc w:val="center"/>
        <w:rPr>
          <w:rtl/>
        </w:rPr>
      </w:pPr>
    </w:p>
    <w:p w14:paraId="68F50D5C" w14:textId="77777777" w:rsidR="00B60C1A" w:rsidRPr="00914F0A" w:rsidRDefault="00B60C1A" w:rsidP="00914F0A">
      <w:pPr>
        <w:spacing w:line="360" w:lineRule="auto"/>
        <w:jc w:val="both"/>
        <w:rPr>
          <w:rtl/>
        </w:rPr>
      </w:pPr>
    </w:p>
    <w:p w14:paraId="1C0E7716" w14:textId="77777777" w:rsidR="00DF2E69" w:rsidRPr="00DF2E69" w:rsidRDefault="00B60C1A" w:rsidP="00DF2E69">
      <w:pPr>
        <w:rPr>
          <w:color w:val="000000"/>
        </w:rPr>
      </w:pPr>
      <w:r>
        <w:rPr>
          <w:rFonts w:hint="eastAsia"/>
          <w:rtl/>
        </w:rPr>
        <w:t>הוקלד</w:t>
      </w:r>
      <w:r>
        <w:t xml:space="preserve"> </w:t>
      </w:r>
      <w:r>
        <w:rPr>
          <w:rFonts w:hint="eastAsia"/>
          <w:rtl/>
        </w:rPr>
        <w:t>על</w:t>
      </w:r>
      <w:r>
        <w:t xml:space="preserve"> </w:t>
      </w:r>
      <w:r>
        <w:rPr>
          <w:rFonts w:hint="eastAsia"/>
          <w:rtl/>
        </w:rPr>
        <w:t>ידי</w:t>
      </w:r>
      <w:r>
        <w:t xml:space="preserve"> </w:t>
      </w:r>
      <w:r>
        <w:rPr>
          <w:rFonts w:hint="eastAsia"/>
          <w:rtl/>
        </w:rPr>
        <w:t>לילך</w:t>
      </w:r>
      <w:r>
        <w:t xml:space="preserve">  </w:t>
      </w:r>
      <w:r>
        <w:rPr>
          <w:rFonts w:hint="eastAsia"/>
          <w:rtl/>
        </w:rPr>
        <w:t>וקנין</w:t>
      </w:r>
    </w:p>
    <w:p w14:paraId="71FB59B6" w14:textId="77777777" w:rsidR="00DF2E69" w:rsidRDefault="00DF2E69" w:rsidP="00DF2E69">
      <w:r w:rsidRPr="00DF2E69">
        <w:rPr>
          <w:color w:val="000000"/>
          <w:rtl/>
        </w:rPr>
        <w:t>נוסח מסמך זה כפוף לשינויי ניסוח ועריכה</w:t>
      </w:r>
    </w:p>
    <w:p w14:paraId="52AD8956" w14:textId="77777777" w:rsidR="00DF2E69" w:rsidRDefault="00DF2E69" w:rsidP="00DF2E69">
      <w:pPr>
        <w:rPr>
          <w:rtl/>
        </w:rPr>
      </w:pPr>
    </w:p>
    <w:p w14:paraId="667A8992" w14:textId="77777777" w:rsidR="00DF2E69" w:rsidRDefault="00DF2E69" w:rsidP="00DF2E69">
      <w:pPr>
        <w:jc w:val="center"/>
        <w:rPr>
          <w:color w:val="0000FF"/>
          <w:u w:val="single"/>
        </w:rPr>
      </w:pPr>
      <w:r w:rsidRPr="00F034B4">
        <w:rPr>
          <w:color w:val="000000"/>
          <w:rtl/>
        </w:rPr>
        <w:t>בעניין עריכה ושינויים במסמכי פסיקה, חקיקה ועוד באתר נבו – הקש כאן</w:t>
      </w:r>
    </w:p>
    <w:p w14:paraId="05FCA45F" w14:textId="77777777" w:rsidR="00B60C1A" w:rsidRPr="00DF2E69" w:rsidRDefault="00B60C1A" w:rsidP="00DF2E69">
      <w:pPr>
        <w:jc w:val="center"/>
        <w:rPr>
          <w:color w:val="0000FF"/>
          <w:u w:val="single"/>
        </w:rPr>
      </w:pPr>
    </w:p>
    <w:sectPr w:rsidR="00B60C1A" w:rsidRPr="00DF2E69" w:rsidSect="00DF2E69">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6A02E" w14:textId="77777777" w:rsidR="002A4915" w:rsidRDefault="002A4915">
      <w:r>
        <w:separator/>
      </w:r>
    </w:p>
  </w:endnote>
  <w:endnote w:type="continuationSeparator" w:id="0">
    <w:p w14:paraId="5147D0E0" w14:textId="77777777" w:rsidR="002A4915" w:rsidRDefault="002A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2EA35" w14:textId="77777777" w:rsidR="002A4915" w:rsidRDefault="002A4915" w:rsidP="00DF2E6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34</w:t>
    </w:r>
    <w:r>
      <w:rPr>
        <w:rFonts w:ascii="FrankRuehl" w:hAnsi="FrankRuehl" w:cs="FrankRuehl"/>
        <w:rtl/>
      </w:rPr>
      <w:fldChar w:fldCharType="end"/>
    </w:r>
  </w:p>
  <w:p w14:paraId="2F2FD2DD" w14:textId="77777777" w:rsidR="002A4915" w:rsidRPr="00DF2E69" w:rsidRDefault="002A4915" w:rsidP="00DF2E69">
    <w:pPr>
      <w:pStyle w:val="a4"/>
      <w:pBdr>
        <w:top w:val="single" w:sz="4" w:space="1" w:color="auto"/>
        <w:between w:val="single" w:sz="4" w:space="0" w:color="auto"/>
      </w:pBdr>
      <w:spacing w:after="60"/>
      <w:jc w:val="center"/>
      <w:rPr>
        <w:rFonts w:ascii="FrankRuehl" w:hAnsi="FrankRuehl" w:cs="FrankRuehl"/>
        <w:color w:val="000000"/>
      </w:rPr>
    </w:pPr>
    <w:r w:rsidRPr="00DF2E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D264C" w14:textId="77777777" w:rsidR="002A4915" w:rsidRDefault="002A4915" w:rsidP="00DF2E6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22A7C">
      <w:rPr>
        <w:rFonts w:ascii="FrankRuehl" w:hAnsi="FrankRuehl" w:cs="FrankRuehl"/>
        <w:noProof/>
        <w:rtl/>
      </w:rPr>
      <w:t>1</w:t>
    </w:r>
    <w:r>
      <w:rPr>
        <w:rFonts w:ascii="FrankRuehl" w:hAnsi="FrankRuehl" w:cs="FrankRuehl"/>
        <w:rtl/>
      </w:rPr>
      <w:fldChar w:fldCharType="end"/>
    </w:r>
  </w:p>
  <w:p w14:paraId="43131CAF" w14:textId="77777777" w:rsidR="002A4915" w:rsidRPr="00DF2E69" w:rsidRDefault="002A4915" w:rsidP="00DF2E69">
    <w:pPr>
      <w:pStyle w:val="a4"/>
      <w:pBdr>
        <w:top w:val="single" w:sz="4" w:space="1" w:color="auto"/>
        <w:between w:val="single" w:sz="4" w:space="0" w:color="auto"/>
      </w:pBdr>
      <w:spacing w:after="60"/>
      <w:jc w:val="center"/>
      <w:rPr>
        <w:rFonts w:ascii="FrankRuehl" w:hAnsi="FrankRuehl" w:cs="FrankRuehl" w:hint="cs"/>
        <w:color w:val="000000"/>
        <w:rtl/>
      </w:rPr>
    </w:pPr>
    <w:r w:rsidRPr="00DF2E69">
      <w:rPr>
        <w:rFonts w:ascii="FrankRuehl" w:hAnsi="FrankRuehl" w:cs="FrankRuehl" w:hint="cs"/>
        <w:color w:val="000000"/>
      </w:rPr>
      <w:pict w14:anchorId="50D75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0824A" w14:textId="77777777" w:rsidR="002A4915" w:rsidRDefault="002A4915">
      <w:r>
        <w:separator/>
      </w:r>
    </w:p>
  </w:footnote>
  <w:footnote w:type="continuationSeparator" w:id="0">
    <w:p w14:paraId="3B85F117" w14:textId="77777777" w:rsidR="002A4915" w:rsidRDefault="002A4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928EC" w14:textId="77777777" w:rsidR="002A4915" w:rsidRPr="00DF2E69" w:rsidRDefault="002A4915" w:rsidP="00DF2E6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8696-08-12</w:t>
    </w:r>
    <w:r>
      <w:rPr>
        <w:color w:val="000000"/>
        <w:sz w:val="22"/>
        <w:szCs w:val="22"/>
        <w:rtl/>
      </w:rPr>
      <w:tab/>
      <w:t xml:space="preserve"> מדינת ישראל נ' חוסאם סיאח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BDBC" w14:textId="77777777" w:rsidR="002A4915" w:rsidRPr="00DF2E69" w:rsidRDefault="002A4915" w:rsidP="00DF2E6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8696-08-12</w:t>
    </w:r>
    <w:r>
      <w:rPr>
        <w:color w:val="000000"/>
        <w:sz w:val="22"/>
        <w:szCs w:val="22"/>
        <w:rtl/>
      </w:rPr>
      <w:tab/>
      <w:t xml:space="preserve"> מדינת ישראל נ' חוסאם סיאח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3ECE2FBA"/>
    <w:multiLevelType w:val="hybridMultilevel"/>
    <w:tmpl w:val="B3D684F2"/>
    <w:lvl w:ilvl="0" w:tplc="72A227A2">
      <w:start w:val="19"/>
      <w:numFmt w:val="bullet"/>
      <w:lvlText w:val="-"/>
      <w:lvlJc w:val="left"/>
      <w:pPr>
        <w:ind w:left="1800" w:hanging="360"/>
      </w:pPr>
      <w:rPr>
        <w:rFonts w:ascii="Times New Roman" w:eastAsia="Times New Roman" w:hAnsi="Times New Roman"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47D4EC2"/>
    <w:multiLevelType w:val="hybridMultilevel"/>
    <w:tmpl w:val="441084DC"/>
    <w:lvl w:ilvl="0" w:tplc="6D78284C">
      <w:start w:val="1"/>
      <w:numFmt w:val="decimal"/>
      <w:lvlText w:val="%1."/>
      <w:lvlJc w:val="left"/>
      <w:pPr>
        <w:tabs>
          <w:tab w:val="num" w:pos="1452"/>
        </w:tabs>
        <w:ind w:left="1452" w:hanging="360"/>
      </w:pPr>
      <w:rPr>
        <w:rFonts w:cs="Times New Roman"/>
        <w:sz w:val="24"/>
      </w:rPr>
    </w:lvl>
    <w:lvl w:ilvl="1" w:tplc="04090019">
      <w:start w:val="1"/>
      <w:numFmt w:val="decimal"/>
      <w:lvlText w:val="%2."/>
      <w:lvlJc w:val="left"/>
      <w:pPr>
        <w:tabs>
          <w:tab w:val="num" w:pos="2172"/>
        </w:tabs>
        <w:ind w:left="2172" w:hanging="360"/>
      </w:pPr>
      <w:rPr>
        <w:rFonts w:cs="Times New Roman"/>
      </w:rPr>
    </w:lvl>
    <w:lvl w:ilvl="2" w:tplc="0409001B">
      <w:start w:val="1"/>
      <w:numFmt w:val="decimal"/>
      <w:lvlText w:val="%3."/>
      <w:lvlJc w:val="left"/>
      <w:pPr>
        <w:tabs>
          <w:tab w:val="num" w:pos="2892"/>
        </w:tabs>
        <w:ind w:left="2892" w:hanging="360"/>
      </w:pPr>
      <w:rPr>
        <w:rFonts w:cs="Times New Roman"/>
      </w:rPr>
    </w:lvl>
    <w:lvl w:ilvl="3" w:tplc="0409000F">
      <w:start w:val="1"/>
      <w:numFmt w:val="decimal"/>
      <w:lvlText w:val="%4."/>
      <w:lvlJc w:val="left"/>
      <w:pPr>
        <w:tabs>
          <w:tab w:val="num" w:pos="3612"/>
        </w:tabs>
        <w:ind w:left="3612" w:hanging="360"/>
      </w:pPr>
      <w:rPr>
        <w:rFonts w:cs="Times New Roman"/>
      </w:rPr>
    </w:lvl>
    <w:lvl w:ilvl="4" w:tplc="04090019">
      <w:start w:val="1"/>
      <w:numFmt w:val="decimal"/>
      <w:lvlText w:val="%5."/>
      <w:lvlJc w:val="left"/>
      <w:pPr>
        <w:tabs>
          <w:tab w:val="num" w:pos="4332"/>
        </w:tabs>
        <w:ind w:left="4332" w:hanging="360"/>
      </w:pPr>
      <w:rPr>
        <w:rFonts w:cs="Times New Roman"/>
      </w:rPr>
    </w:lvl>
    <w:lvl w:ilvl="5" w:tplc="0409001B">
      <w:start w:val="1"/>
      <w:numFmt w:val="decimal"/>
      <w:lvlText w:val="%6."/>
      <w:lvlJc w:val="left"/>
      <w:pPr>
        <w:tabs>
          <w:tab w:val="num" w:pos="5052"/>
        </w:tabs>
        <w:ind w:left="5052" w:hanging="360"/>
      </w:pPr>
      <w:rPr>
        <w:rFonts w:cs="Times New Roman"/>
      </w:rPr>
    </w:lvl>
    <w:lvl w:ilvl="6" w:tplc="0409000F">
      <w:start w:val="1"/>
      <w:numFmt w:val="decimal"/>
      <w:lvlText w:val="%7."/>
      <w:lvlJc w:val="left"/>
      <w:pPr>
        <w:tabs>
          <w:tab w:val="num" w:pos="5772"/>
        </w:tabs>
        <w:ind w:left="5772" w:hanging="360"/>
      </w:pPr>
      <w:rPr>
        <w:rFonts w:cs="Times New Roman"/>
      </w:rPr>
    </w:lvl>
    <w:lvl w:ilvl="7" w:tplc="04090019">
      <w:start w:val="1"/>
      <w:numFmt w:val="decimal"/>
      <w:lvlText w:val="%8."/>
      <w:lvlJc w:val="left"/>
      <w:pPr>
        <w:tabs>
          <w:tab w:val="num" w:pos="6492"/>
        </w:tabs>
        <w:ind w:left="6492" w:hanging="360"/>
      </w:pPr>
      <w:rPr>
        <w:rFonts w:cs="Times New Roman"/>
      </w:rPr>
    </w:lvl>
    <w:lvl w:ilvl="8" w:tplc="0409001B">
      <w:start w:val="1"/>
      <w:numFmt w:val="decimal"/>
      <w:lvlText w:val="%9."/>
      <w:lvlJc w:val="left"/>
      <w:pPr>
        <w:tabs>
          <w:tab w:val="num" w:pos="7212"/>
        </w:tabs>
        <w:ind w:left="7212" w:hanging="360"/>
      </w:pPr>
      <w:rPr>
        <w:rFonts w:cs="Times New Roman"/>
      </w:r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920143075">
    <w:abstractNumId w:val="15"/>
  </w:num>
  <w:num w:numId="2" w16cid:durableId="175271070">
    <w:abstractNumId w:val="6"/>
  </w:num>
  <w:num w:numId="3" w16cid:durableId="953095119">
    <w:abstractNumId w:val="13"/>
  </w:num>
  <w:num w:numId="4" w16cid:durableId="608974215">
    <w:abstractNumId w:val="12"/>
  </w:num>
  <w:num w:numId="5" w16cid:durableId="817301961">
    <w:abstractNumId w:val="4"/>
  </w:num>
  <w:num w:numId="6" w16cid:durableId="539974426">
    <w:abstractNumId w:val="7"/>
  </w:num>
  <w:num w:numId="7" w16cid:durableId="923954807">
    <w:abstractNumId w:val="18"/>
  </w:num>
  <w:num w:numId="8" w16cid:durableId="357006471">
    <w:abstractNumId w:val="0"/>
  </w:num>
  <w:num w:numId="9" w16cid:durableId="140662124">
    <w:abstractNumId w:val="11"/>
  </w:num>
  <w:num w:numId="10" w16cid:durableId="1670868034">
    <w:abstractNumId w:val="9"/>
  </w:num>
  <w:num w:numId="11" w16cid:durableId="2059166593">
    <w:abstractNumId w:val="3"/>
  </w:num>
  <w:num w:numId="12" w16cid:durableId="154346067">
    <w:abstractNumId w:val="17"/>
  </w:num>
  <w:num w:numId="13" w16cid:durableId="9718478">
    <w:abstractNumId w:val="10"/>
  </w:num>
  <w:num w:numId="14" w16cid:durableId="36510811">
    <w:abstractNumId w:val="2"/>
  </w:num>
  <w:num w:numId="15" w16cid:durableId="307516014">
    <w:abstractNumId w:val="14"/>
  </w:num>
  <w:num w:numId="16" w16cid:durableId="92287333">
    <w:abstractNumId w:val="1"/>
  </w:num>
  <w:num w:numId="17" w16cid:durableId="864172881">
    <w:abstractNumId w:val="8"/>
  </w:num>
  <w:num w:numId="18" w16cid:durableId="11002986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92627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8696-08-12"/>
    <w:docVar w:name="caseId" w:val="70467741"/>
    <w:docVar w:name="deriveClass" w:val="NGCS.Protocol.BL.Client.ProtocolBLClientCriminal"/>
    <w:docVar w:name="firstPageNumber" w:val="27"/>
    <w:docVar w:name="MyInfo" w:val="This document was extracted from Nevo's site"/>
    <w:docVar w:name="NGCS.caseTypeID" w:val="-1"/>
    <w:docVar w:name="NGCS.courtID" w:val="27"/>
    <w:docVar w:name="NGCS.isReservedAddressPlace" w:val="0"/>
    <w:docVar w:name="NGCS.isReservedVoucherPlace" w:val="0"/>
    <w:docVar w:name="NGCS.proceedingID" w:val="-1"/>
    <w:docVar w:name="NGCS.TemplateCategoryID" w:val="14"/>
    <w:docVar w:name="NGCS.userUPN" w:val="058894064@GOV.IL"/>
    <w:docVar w:name="privellegeId" w:val="1"/>
    <w:docVar w:name="protocolId" w:val="3860490"/>
    <w:docVar w:name="releaseSign" w:val="0"/>
    <w:docVar w:name="sittingDateTime" w:val="27/05/2013 12:30     "/>
    <w:docVar w:name="sittingId" w:val="75116086"/>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2A68"/>
    <w:rsid w:val="00053909"/>
    <w:rsid w:val="000555F0"/>
    <w:rsid w:val="000608AB"/>
    <w:rsid w:val="000C3D5F"/>
    <w:rsid w:val="000C7499"/>
    <w:rsid w:val="000E37CD"/>
    <w:rsid w:val="00100FD9"/>
    <w:rsid w:val="00115104"/>
    <w:rsid w:val="00131385"/>
    <w:rsid w:val="00134B60"/>
    <w:rsid w:val="0014434E"/>
    <w:rsid w:val="001526FC"/>
    <w:rsid w:val="0016231B"/>
    <w:rsid w:val="00163279"/>
    <w:rsid w:val="001666D0"/>
    <w:rsid w:val="001705B8"/>
    <w:rsid w:val="00174C6C"/>
    <w:rsid w:val="00180BD9"/>
    <w:rsid w:val="001A63A4"/>
    <w:rsid w:val="001D399C"/>
    <w:rsid w:val="00227A15"/>
    <w:rsid w:val="00237F64"/>
    <w:rsid w:val="00245547"/>
    <w:rsid w:val="00296868"/>
    <w:rsid w:val="002A1C94"/>
    <w:rsid w:val="002A266A"/>
    <w:rsid w:val="002A4915"/>
    <w:rsid w:val="002E24EE"/>
    <w:rsid w:val="002F455E"/>
    <w:rsid w:val="002F5A82"/>
    <w:rsid w:val="00322A7C"/>
    <w:rsid w:val="00347ACF"/>
    <w:rsid w:val="00364B48"/>
    <w:rsid w:val="003F6EFC"/>
    <w:rsid w:val="00442655"/>
    <w:rsid w:val="004473FE"/>
    <w:rsid w:val="004752AF"/>
    <w:rsid w:val="00476A67"/>
    <w:rsid w:val="00477FAC"/>
    <w:rsid w:val="00486DEE"/>
    <w:rsid w:val="00494C2F"/>
    <w:rsid w:val="004C0CA7"/>
    <w:rsid w:val="004F4B4A"/>
    <w:rsid w:val="00517073"/>
    <w:rsid w:val="00532A9F"/>
    <w:rsid w:val="00551705"/>
    <w:rsid w:val="00560CB1"/>
    <w:rsid w:val="00564AAC"/>
    <w:rsid w:val="00577444"/>
    <w:rsid w:val="005859B0"/>
    <w:rsid w:val="00594F89"/>
    <w:rsid w:val="005B47A4"/>
    <w:rsid w:val="005D47FD"/>
    <w:rsid w:val="005D6EC0"/>
    <w:rsid w:val="005D6FD9"/>
    <w:rsid w:val="005E1AB1"/>
    <w:rsid w:val="00600219"/>
    <w:rsid w:val="006110FD"/>
    <w:rsid w:val="0061652F"/>
    <w:rsid w:val="00620E3F"/>
    <w:rsid w:val="00631222"/>
    <w:rsid w:val="00633BA9"/>
    <w:rsid w:val="0063721D"/>
    <w:rsid w:val="006424C7"/>
    <w:rsid w:val="006A4D3D"/>
    <w:rsid w:val="006B639D"/>
    <w:rsid w:val="006D72D1"/>
    <w:rsid w:val="006F0E02"/>
    <w:rsid w:val="00701199"/>
    <w:rsid w:val="00712A32"/>
    <w:rsid w:val="007378FE"/>
    <w:rsid w:val="00770F7C"/>
    <w:rsid w:val="007B6006"/>
    <w:rsid w:val="007C0D02"/>
    <w:rsid w:val="007D71BF"/>
    <w:rsid w:val="007F4959"/>
    <w:rsid w:val="008100EF"/>
    <w:rsid w:val="008138D1"/>
    <w:rsid w:val="0083639D"/>
    <w:rsid w:val="0085535F"/>
    <w:rsid w:val="0088228B"/>
    <w:rsid w:val="008943BD"/>
    <w:rsid w:val="008D15AB"/>
    <w:rsid w:val="008D7896"/>
    <w:rsid w:val="00914F0A"/>
    <w:rsid w:val="00934BA1"/>
    <w:rsid w:val="0094049A"/>
    <w:rsid w:val="0094092B"/>
    <w:rsid w:val="00943E5D"/>
    <w:rsid w:val="009521C7"/>
    <w:rsid w:val="00956890"/>
    <w:rsid w:val="00966439"/>
    <w:rsid w:val="009857E4"/>
    <w:rsid w:val="009D7934"/>
    <w:rsid w:val="009E6E0A"/>
    <w:rsid w:val="00A04531"/>
    <w:rsid w:val="00A233E5"/>
    <w:rsid w:val="00A25356"/>
    <w:rsid w:val="00A4603E"/>
    <w:rsid w:val="00A47DE3"/>
    <w:rsid w:val="00A548EC"/>
    <w:rsid w:val="00A67D1A"/>
    <w:rsid w:val="00A910BF"/>
    <w:rsid w:val="00A9385E"/>
    <w:rsid w:val="00AA3C0A"/>
    <w:rsid w:val="00AD1366"/>
    <w:rsid w:val="00B01690"/>
    <w:rsid w:val="00B30584"/>
    <w:rsid w:val="00B60C1A"/>
    <w:rsid w:val="00B6568E"/>
    <w:rsid w:val="00B66459"/>
    <w:rsid w:val="00B97A0D"/>
    <w:rsid w:val="00BA3141"/>
    <w:rsid w:val="00BD13A0"/>
    <w:rsid w:val="00BF00B0"/>
    <w:rsid w:val="00C471D1"/>
    <w:rsid w:val="00C50277"/>
    <w:rsid w:val="00C518EA"/>
    <w:rsid w:val="00C8613B"/>
    <w:rsid w:val="00CA022A"/>
    <w:rsid w:val="00CB4639"/>
    <w:rsid w:val="00CB6B34"/>
    <w:rsid w:val="00D0615F"/>
    <w:rsid w:val="00D2736A"/>
    <w:rsid w:val="00D338AE"/>
    <w:rsid w:val="00D84715"/>
    <w:rsid w:val="00D86190"/>
    <w:rsid w:val="00DC4526"/>
    <w:rsid w:val="00DD3644"/>
    <w:rsid w:val="00DD4926"/>
    <w:rsid w:val="00DF2E69"/>
    <w:rsid w:val="00DF69AA"/>
    <w:rsid w:val="00E13D28"/>
    <w:rsid w:val="00E37759"/>
    <w:rsid w:val="00E4581A"/>
    <w:rsid w:val="00E620AB"/>
    <w:rsid w:val="00E679BB"/>
    <w:rsid w:val="00E766C8"/>
    <w:rsid w:val="00EB1D9D"/>
    <w:rsid w:val="00EC281B"/>
    <w:rsid w:val="00F034B4"/>
    <w:rsid w:val="00F24B4E"/>
    <w:rsid w:val="00F53B32"/>
    <w:rsid w:val="00F861D3"/>
    <w:rsid w:val="00F91F7D"/>
    <w:rsid w:val="00F965EA"/>
    <w:rsid w:val="00FA2034"/>
    <w:rsid w:val="00FA308E"/>
    <w:rsid w:val="00FA615F"/>
    <w:rsid w:val="00FD12D3"/>
    <w:rsid w:val="00FF1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975DEB0"/>
  <w15:chartTrackingRefBased/>
  <w15:docId w15:val="{22922D99-E47B-4246-92A0-BB485C35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basedOn w:val="a0"/>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basedOn w:val="a0"/>
    <w:rPr>
      <w:rFonts w:cs="Times New Roman"/>
    </w:rPr>
  </w:style>
  <w:style w:type="character" w:styleId="aa">
    <w:name w:val="line number"/>
    <w:basedOn w:val="a0"/>
    <w:rPr>
      <w:rFonts w:cs="Arial"/>
      <w:sz w:val="20"/>
      <w:szCs w:val="20"/>
    </w:rPr>
  </w:style>
  <w:style w:type="character" w:customStyle="1" w:styleId="TimesNewRomanTimesNewRoman">
    <w:name w:val="סגנון (לטיני) Times New Roman (עברית ושפות אחרות) Times New Roman..."/>
    <w:basedOn w:val="a0"/>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basedOn w:val="a0"/>
    <w:semiHidden/>
    <w:rsid w:val="005B47A4"/>
    <w:rPr>
      <w:rFonts w:cs="Times New Roman"/>
      <w:color w:val="808080"/>
    </w:rPr>
  </w:style>
  <w:style w:type="paragraph" w:customStyle="1" w:styleId="12">
    <w:name w:val="רגיל + ‏12 נק'"/>
    <w:aliases w:val="מיושר לשני הצדדים,מרווח בין שורות:  שורה וחצי"/>
    <w:basedOn w:val="a"/>
    <w:rsid w:val="00B97A0D"/>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B97A0D"/>
    <w:pPr>
      <w:spacing w:line="360" w:lineRule="auto"/>
      <w:jc w:val="both"/>
    </w:pPr>
    <w:rPr>
      <w:rFonts w:ascii="Times New Roman" w:eastAsia="David" w:hAnsi="Times New Roman"/>
    </w:rPr>
  </w:style>
  <w:style w:type="character" w:styleId="Hyperlink">
    <w:name w:val="Hyperlink"/>
    <w:basedOn w:val="a0"/>
    <w:rsid w:val="007B6006"/>
    <w:rPr>
      <w:rFonts w:cs="Times New Roman"/>
      <w:color w:val="0000FF"/>
      <w:u w:val="single"/>
    </w:rPr>
  </w:style>
  <w:style w:type="paragraph" w:customStyle="1" w:styleId="ListParagraph">
    <w:name w:val="List Paragraph"/>
    <w:basedOn w:val="a"/>
    <w:rsid w:val="007B6006"/>
    <w:pPr>
      <w:ind w:left="720"/>
    </w:pPr>
    <w:rPr>
      <w:rFonts w:ascii="Times New Roman" w:eastAsia="David" w:hAnsi="Times New Roman"/>
    </w:rPr>
  </w:style>
  <w:style w:type="paragraph" w:customStyle="1" w:styleId="david-p">
    <w:name w:val="david-p"/>
    <w:basedOn w:val="a"/>
    <w:rsid w:val="007B6006"/>
    <w:pPr>
      <w:bidi w:val="0"/>
      <w:jc w:val="both"/>
    </w:pPr>
    <w:rPr>
      <w:rFonts w:ascii="Times New Roman" w:eastAsia="David" w:hAnsi="Times New Roman" w:cs="Times New Roman"/>
      <w:sz w:val="20"/>
      <w:szCs w:val="20"/>
    </w:rPr>
  </w:style>
  <w:style w:type="paragraph" w:customStyle="1" w:styleId="normal-p">
    <w:name w:val="normal-p"/>
    <w:basedOn w:val="a"/>
    <w:rsid w:val="007B6006"/>
    <w:pPr>
      <w:bidi w:val="0"/>
      <w:spacing w:before="100" w:beforeAutospacing="1" w:after="100" w:afterAutospacing="1"/>
    </w:pPr>
    <w:rPr>
      <w:rFonts w:ascii="Times New Roman" w:eastAsia="David" w:hAnsi="Times New Roman" w:cs="Times New Roman"/>
    </w:rPr>
  </w:style>
  <w:style w:type="paragraph" w:customStyle="1" w:styleId="david-p-p">
    <w:name w:val="david-p-p"/>
    <w:basedOn w:val="a"/>
    <w:rsid w:val="007B6006"/>
    <w:pPr>
      <w:bidi w:val="0"/>
      <w:jc w:val="both"/>
    </w:pPr>
    <w:rPr>
      <w:rFonts w:ascii="Times New Roman" w:eastAsia="David" w:hAnsi="Times New Roman" w:cs="Times New Roman"/>
      <w:sz w:val="20"/>
      <w:szCs w:val="20"/>
    </w:rPr>
  </w:style>
  <w:style w:type="character" w:customStyle="1" w:styleId="normal-h">
    <w:name w:val="normal-h"/>
    <w:basedOn w:val="a0"/>
    <w:rsid w:val="007B6006"/>
    <w:rPr>
      <w:rFonts w:cs="Times New Roman"/>
    </w:rPr>
  </w:style>
  <w:style w:type="character" w:customStyle="1" w:styleId="david-p-h1">
    <w:name w:val="david-p-h1"/>
    <w:basedOn w:val="a0"/>
    <w:rsid w:val="007B600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779418"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nevo.co.il/case/5976578"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7930385"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98445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599080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05308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2665</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15963</CharactersWithSpaces>
  <SharedDoc>false</SharedDoc>
  <HLinks>
    <vt:vector size="114" baseType="variant">
      <vt:variant>
        <vt:i4>7995492</vt:i4>
      </vt:variant>
      <vt:variant>
        <vt:i4>54</vt:i4>
      </vt:variant>
      <vt:variant>
        <vt:i4>0</vt:i4>
      </vt:variant>
      <vt:variant>
        <vt:i4>5</vt:i4>
      </vt:variant>
      <vt:variant>
        <vt:lpwstr>http://www.nevo.co.il/law/70301</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3539071</vt:i4>
      </vt:variant>
      <vt:variant>
        <vt:i4>45</vt:i4>
      </vt:variant>
      <vt:variant>
        <vt:i4>0</vt:i4>
      </vt:variant>
      <vt:variant>
        <vt:i4>5</vt:i4>
      </vt:variant>
      <vt:variant>
        <vt:lpwstr>http://www.nevo.co.il/case/5053086</vt:lpwstr>
      </vt:variant>
      <vt:variant>
        <vt:lpwstr/>
      </vt:variant>
      <vt:variant>
        <vt:i4>4128892</vt:i4>
      </vt:variant>
      <vt:variant>
        <vt:i4>42</vt:i4>
      </vt:variant>
      <vt:variant>
        <vt:i4>0</vt:i4>
      </vt:variant>
      <vt:variant>
        <vt:i4>5</vt:i4>
      </vt:variant>
      <vt:variant>
        <vt:lpwstr>http://www.nevo.co.il/case/5976578</vt:lpwstr>
      </vt:variant>
      <vt:variant>
        <vt:lpwstr/>
      </vt:variant>
      <vt:variant>
        <vt:i4>3997820</vt:i4>
      </vt:variant>
      <vt:variant>
        <vt:i4>39</vt:i4>
      </vt:variant>
      <vt:variant>
        <vt:i4>0</vt:i4>
      </vt:variant>
      <vt:variant>
        <vt:i4>5</vt:i4>
      </vt:variant>
      <vt:variant>
        <vt:lpwstr>http://www.nevo.co.il/case/5984454</vt:lpwstr>
      </vt:variant>
      <vt:variant>
        <vt:lpwstr/>
      </vt:variant>
      <vt:variant>
        <vt:i4>3145853</vt:i4>
      </vt:variant>
      <vt:variant>
        <vt:i4>36</vt:i4>
      </vt:variant>
      <vt:variant>
        <vt:i4>0</vt:i4>
      </vt:variant>
      <vt:variant>
        <vt:i4>5</vt:i4>
      </vt:variant>
      <vt:variant>
        <vt:lpwstr>http://www.nevo.co.il/case/5990804</vt:lpwstr>
      </vt:variant>
      <vt:variant>
        <vt:lpwstr/>
      </vt:variant>
      <vt:variant>
        <vt:i4>4063355</vt:i4>
      </vt:variant>
      <vt:variant>
        <vt:i4>33</vt:i4>
      </vt:variant>
      <vt:variant>
        <vt:i4>0</vt:i4>
      </vt:variant>
      <vt:variant>
        <vt:i4>5</vt:i4>
      </vt:variant>
      <vt:variant>
        <vt:lpwstr>http://www.nevo.co.il/case/5779418</vt:lpwstr>
      </vt:variant>
      <vt:variant>
        <vt:lpwstr/>
      </vt:variant>
      <vt:variant>
        <vt:i4>3145843</vt:i4>
      </vt:variant>
      <vt:variant>
        <vt:i4>30</vt:i4>
      </vt:variant>
      <vt:variant>
        <vt:i4>0</vt:i4>
      </vt:variant>
      <vt:variant>
        <vt:i4>5</vt:i4>
      </vt:variant>
      <vt:variant>
        <vt:lpwstr>http://www.nevo.co.il/case/17930385</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8257637</vt:i4>
      </vt:variant>
      <vt:variant>
        <vt:i4>12</vt:i4>
      </vt:variant>
      <vt:variant>
        <vt:i4>0</vt:i4>
      </vt:variant>
      <vt:variant>
        <vt:i4>5</vt:i4>
      </vt:variant>
      <vt:variant>
        <vt:lpwstr>http://www.nevo.co.il/law/4216</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2013-05-27T09:24:00Z</cp:lastPrinted>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8696</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חוסאם סיאח</vt:lpwstr>
  </property>
  <property fmtid="{D5CDD505-2E9C-101B-9397-08002B2CF9AE}" pid="10" name="LAWYER">
    <vt:lpwstr>גדיר דיאב;מתמחה מפמ#ח</vt:lpwstr>
  </property>
  <property fmtid="{D5CDD505-2E9C-101B-9397-08002B2CF9AE}" pid="11" name="JUDGE">
    <vt:lpwstr>רונית בש</vt:lpwstr>
  </property>
  <property fmtid="{D5CDD505-2E9C-101B-9397-08002B2CF9AE}" pid="12" name="CITY">
    <vt:lpwstr>עכו</vt:lpwstr>
  </property>
  <property fmtid="{D5CDD505-2E9C-101B-9397-08002B2CF9AE}" pid="13" name="DATE">
    <vt:lpwstr>20130527</vt:lpwstr>
  </property>
  <property fmtid="{D5CDD505-2E9C-101B-9397-08002B2CF9AE}" pid="14" name="TYPE_N_DATE">
    <vt:lpwstr>38020130527</vt:lpwstr>
  </property>
  <property fmtid="{D5CDD505-2E9C-101B-9397-08002B2CF9AE}" pid="15" name="ISABSTRACT">
    <vt:lpwstr>Y</vt:lpwstr>
  </property>
  <property fmtid="{D5CDD505-2E9C-101B-9397-08002B2CF9AE}" pid="16" name="WORDNUMPAGES">
    <vt:lpwstr>9</vt:lpwstr>
  </property>
  <property fmtid="{D5CDD505-2E9C-101B-9397-08002B2CF9AE}" pid="17" name="TYPE_ABS_DATE">
    <vt:lpwstr>380020130527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17930385;5779418;5990804;5984454;5976578;5053086</vt:lpwstr>
  </property>
  <property fmtid="{D5CDD505-2E9C-101B-9397-08002B2CF9AE}" pid="36" name="LAWLISTTMP1">
    <vt:lpwstr>4216:4</vt:lpwstr>
  </property>
  <property fmtid="{D5CDD505-2E9C-101B-9397-08002B2CF9AE}" pid="37" name="LAWLISTTMP2">
    <vt:lpwstr>70301:7</vt:lpwstr>
  </property>
</Properties>
</file>