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911"/>
        <w:gridCol w:w="1809"/>
      </w:tblGrid>
      <w:tr w:rsidR="00FF63A1" w:rsidRPr="00491020" w14:paraId="1A585F25" w14:textId="77777777" w:rsidTr="00F61375">
        <w:trPr>
          <w:trHeight w:hRule="exact" w:val="418"/>
          <w:jc w:val="center"/>
        </w:trPr>
        <w:tc>
          <w:tcPr>
            <w:tcW w:w="8720" w:type="dxa"/>
            <w:gridSpan w:val="2"/>
          </w:tcPr>
          <w:p w14:paraId="088CBDC2" w14:textId="77777777" w:rsidR="00FF63A1" w:rsidRPr="00491020" w:rsidRDefault="00FF63A1" w:rsidP="00F61375">
            <w:pPr>
              <w:pStyle w:val="a3"/>
              <w:tabs>
                <w:tab w:val="clear" w:pos="8306"/>
              </w:tabs>
              <w:jc w:val="center"/>
              <w:rPr>
                <w:rFonts w:ascii="Tahoma" w:hAnsi="Tahoma" w:cs="Tahoma"/>
                <w:b/>
                <w:bCs/>
                <w:color w:val="000080"/>
                <w:sz w:val="20"/>
                <w:szCs w:val="20"/>
                <w:rtl/>
              </w:rPr>
            </w:pPr>
            <w:bookmarkStart w:id="0" w:name="LastJudge"/>
            <w:r w:rsidRPr="00491020">
              <w:rPr>
                <w:rFonts w:ascii="Tahoma" w:hAnsi="Tahoma" w:cs="Tahoma"/>
                <w:b/>
                <w:bCs/>
                <w:color w:val="000080"/>
                <w:sz w:val="20"/>
                <w:szCs w:val="20"/>
                <w:rtl/>
              </w:rPr>
              <w:t>בית משפט השלום בתל אביב - יפו</w:t>
            </w:r>
          </w:p>
        </w:tc>
      </w:tr>
      <w:tr w:rsidR="00FF63A1" w:rsidRPr="00491020" w14:paraId="1BCBEB96" w14:textId="77777777" w:rsidTr="00F61375">
        <w:trPr>
          <w:trHeight w:val="337"/>
          <w:jc w:val="center"/>
        </w:trPr>
        <w:tc>
          <w:tcPr>
            <w:tcW w:w="6911" w:type="dxa"/>
          </w:tcPr>
          <w:p w14:paraId="4B46D39A" w14:textId="77777777" w:rsidR="00FF63A1" w:rsidRPr="00491020" w:rsidRDefault="00FF63A1" w:rsidP="00F61375">
            <w:pPr>
              <w:rPr>
                <w:b/>
                <w:bCs/>
                <w:sz w:val="26"/>
                <w:szCs w:val="26"/>
                <w:rtl/>
              </w:rPr>
            </w:pPr>
            <w:r w:rsidRPr="00491020">
              <w:rPr>
                <w:b/>
                <w:bCs/>
                <w:sz w:val="26"/>
                <w:szCs w:val="26"/>
                <w:rtl/>
              </w:rPr>
              <w:t>ת"פ</w:t>
            </w:r>
            <w:r w:rsidRPr="00491020">
              <w:rPr>
                <w:rFonts w:hint="cs"/>
                <w:b/>
                <w:bCs/>
                <w:sz w:val="26"/>
                <w:szCs w:val="26"/>
                <w:rtl/>
              </w:rPr>
              <w:t xml:space="preserve"> </w:t>
            </w:r>
            <w:r w:rsidRPr="00491020">
              <w:rPr>
                <w:b/>
                <w:bCs/>
                <w:sz w:val="26"/>
                <w:szCs w:val="26"/>
                <w:rtl/>
              </w:rPr>
              <w:t>19601-09-12</w:t>
            </w:r>
            <w:r w:rsidRPr="00491020">
              <w:rPr>
                <w:rFonts w:hint="cs"/>
                <w:b/>
                <w:bCs/>
                <w:sz w:val="26"/>
                <w:szCs w:val="26"/>
                <w:rtl/>
              </w:rPr>
              <w:t xml:space="preserve"> </w:t>
            </w:r>
            <w:r w:rsidRPr="00491020">
              <w:rPr>
                <w:b/>
                <w:bCs/>
                <w:sz w:val="26"/>
                <w:szCs w:val="26"/>
                <w:rtl/>
              </w:rPr>
              <w:t>מדינת ישראל נ' אבו זאיד(עציר)</w:t>
            </w:r>
          </w:p>
        </w:tc>
        <w:tc>
          <w:tcPr>
            <w:tcW w:w="1809" w:type="dxa"/>
          </w:tcPr>
          <w:p w14:paraId="77308785" w14:textId="77777777" w:rsidR="00FF63A1" w:rsidRPr="00491020" w:rsidRDefault="00FF63A1" w:rsidP="00F61375">
            <w:pPr>
              <w:pStyle w:val="a3"/>
              <w:tabs>
                <w:tab w:val="clear" w:pos="4153"/>
              </w:tabs>
              <w:jc w:val="right"/>
              <w:rPr>
                <w:b/>
                <w:bCs/>
                <w:sz w:val="26"/>
                <w:szCs w:val="26"/>
                <w:rtl/>
              </w:rPr>
            </w:pPr>
            <w:r w:rsidRPr="00491020">
              <w:rPr>
                <w:b/>
                <w:bCs/>
                <w:sz w:val="26"/>
                <w:szCs w:val="26"/>
                <w:rtl/>
              </w:rPr>
              <w:t>12 מאי 2013</w:t>
            </w:r>
          </w:p>
        </w:tc>
      </w:tr>
    </w:tbl>
    <w:p w14:paraId="79198D1D" w14:textId="77777777" w:rsidR="00FF63A1" w:rsidRPr="00491020" w:rsidRDefault="00FF63A1" w:rsidP="00FF63A1">
      <w:pPr>
        <w:pStyle w:val="a3"/>
        <w:jc w:val="center"/>
        <w:rPr>
          <w:rFonts w:ascii="Tahoma" w:hAnsi="Tahoma" w:cs="Tahoma"/>
          <w:b/>
          <w:bCs/>
          <w:color w:val="000080"/>
          <w:sz w:val="20"/>
          <w:szCs w:val="20"/>
          <w:rtl/>
        </w:rPr>
      </w:pPr>
    </w:p>
    <w:p w14:paraId="64479781" w14:textId="77777777" w:rsidR="00FF63A1" w:rsidRPr="00491020" w:rsidRDefault="00FF63A1" w:rsidP="00FF63A1">
      <w:pPr>
        <w:jc w:val="both"/>
        <w:rPr>
          <w:sz w:val="28"/>
          <w:szCs w:val="28"/>
          <w:rtl/>
        </w:rPr>
      </w:pPr>
    </w:p>
    <w:tbl>
      <w:tblPr>
        <w:bidiVisual/>
        <w:tblW w:w="0" w:type="auto"/>
        <w:jc w:val="center"/>
        <w:tblLook w:val="0000" w:firstRow="0" w:lastRow="0" w:firstColumn="0" w:lastColumn="0" w:noHBand="0" w:noVBand="0"/>
      </w:tblPr>
      <w:tblGrid>
        <w:gridCol w:w="1592"/>
        <w:gridCol w:w="7128"/>
      </w:tblGrid>
      <w:tr w:rsidR="00FF63A1" w:rsidRPr="00491020" w14:paraId="2E29DBE8" w14:textId="77777777" w:rsidTr="00F61375">
        <w:trPr>
          <w:trHeight w:val="337"/>
          <w:jc w:val="center"/>
        </w:trPr>
        <w:tc>
          <w:tcPr>
            <w:tcW w:w="1592" w:type="dxa"/>
          </w:tcPr>
          <w:p w14:paraId="298C2760" w14:textId="77777777" w:rsidR="00FF63A1" w:rsidRPr="00491020" w:rsidRDefault="00FF63A1" w:rsidP="00F61375">
            <w:pPr>
              <w:pStyle w:val="a3"/>
              <w:bidi w:val="0"/>
              <w:jc w:val="both"/>
              <w:rPr>
                <w:rFonts w:ascii="Times New Roman" w:hAnsi="Times New Roman"/>
              </w:rPr>
            </w:pPr>
          </w:p>
        </w:tc>
        <w:tc>
          <w:tcPr>
            <w:tcW w:w="7128" w:type="dxa"/>
          </w:tcPr>
          <w:p w14:paraId="00CF5CDB" w14:textId="77777777" w:rsidR="00FF63A1" w:rsidRPr="00491020" w:rsidRDefault="00FF63A1" w:rsidP="00F61375">
            <w:pPr>
              <w:pStyle w:val="a3"/>
              <w:jc w:val="right"/>
              <w:rPr>
                <w:b/>
                <w:bCs/>
                <w:rtl/>
              </w:rPr>
            </w:pPr>
            <w:r w:rsidRPr="00491020">
              <w:rPr>
                <w:rtl/>
              </w:rPr>
              <w:t>19615-09-12</w:t>
            </w:r>
          </w:p>
        </w:tc>
      </w:tr>
    </w:tbl>
    <w:p w14:paraId="16E61C6A" w14:textId="77777777" w:rsidR="00FF63A1" w:rsidRPr="00491020" w:rsidRDefault="00FF63A1" w:rsidP="00FF63A1">
      <w:pPr>
        <w:jc w:val="both"/>
        <w:rPr>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F61375" w:rsidRPr="00491020" w14:paraId="7761DBBE" w14:textId="77777777" w:rsidTr="00FF63A1">
        <w:trPr>
          <w:gridAfter w:val="1"/>
          <w:wAfter w:w="55" w:type="dxa"/>
        </w:trPr>
        <w:tc>
          <w:tcPr>
            <w:tcW w:w="8719" w:type="dxa"/>
            <w:gridSpan w:val="2"/>
            <w:shd w:val="clear" w:color="auto" w:fill="auto"/>
          </w:tcPr>
          <w:p w14:paraId="14DCD847" w14:textId="77777777" w:rsidR="00FF63A1" w:rsidRPr="00491020" w:rsidRDefault="00FF63A1" w:rsidP="00FF63A1">
            <w:pPr>
              <w:spacing w:line="360" w:lineRule="auto"/>
              <w:jc w:val="both"/>
              <w:rPr>
                <w:b/>
                <w:bCs/>
                <w:rtl/>
              </w:rPr>
            </w:pPr>
            <w:r w:rsidRPr="00491020">
              <w:rPr>
                <w:rFonts w:hint="cs"/>
                <w:b/>
                <w:bCs/>
                <w:rtl/>
              </w:rPr>
              <w:t>בפני כב' ה</w:t>
            </w:r>
            <w:r w:rsidRPr="00491020">
              <w:rPr>
                <w:b/>
                <w:bCs/>
                <w:rtl/>
              </w:rPr>
              <w:t>שופט צחי עוזיאל</w:t>
            </w:r>
            <w:r w:rsidRPr="00491020">
              <w:rPr>
                <w:rStyle w:val="TimesNewRomanTimesNewRoman"/>
                <w:rtl/>
              </w:rPr>
              <w:t xml:space="preserve"> </w:t>
            </w:r>
          </w:p>
        </w:tc>
      </w:tr>
      <w:tr w:rsidR="00F61375" w:rsidRPr="00491020" w14:paraId="0C09A985" w14:textId="77777777" w:rsidTr="00FF63A1">
        <w:tc>
          <w:tcPr>
            <w:tcW w:w="2880" w:type="dxa"/>
            <w:shd w:val="clear" w:color="auto" w:fill="auto"/>
          </w:tcPr>
          <w:p w14:paraId="0037F636" w14:textId="77777777" w:rsidR="00FF63A1" w:rsidRPr="00491020" w:rsidRDefault="00FF63A1" w:rsidP="00FF63A1">
            <w:pPr>
              <w:ind w:left="26"/>
              <w:rPr>
                <w:b/>
                <w:bCs/>
                <w:rtl/>
              </w:rPr>
            </w:pPr>
            <w:bookmarkStart w:id="1" w:name="FirstAppellant"/>
            <w:r w:rsidRPr="00491020">
              <w:rPr>
                <w:rFonts w:hint="cs"/>
                <w:b/>
                <w:bCs/>
                <w:rtl/>
              </w:rPr>
              <w:t>ה</w:t>
            </w:r>
            <w:r w:rsidRPr="00491020">
              <w:rPr>
                <w:b/>
                <w:bCs/>
                <w:rtl/>
              </w:rPr>
              <w:t>מאשימה</w:t>
            </w:r>
          </w:p>
        </w:tc>
        <w:tc>
          <w:tcPr>
            <w:tcW w:w="5922" w:type="dxa"/>
            <w:gridSpan w:val="2"/>
            <w:shd w:val="clear" w:color="auto" w:fill="auto"/>
          </w:tcPr>
          <w:p w14:paraId="7DED19F4" w14:textId="77777777" w:rsidR="00FF63A1" w:rsidRPr="00491020" w:rsidRDefault="00FF63A1" w:rsidP="00F61375">
            <w:pPr>
              <w:rPr>
                <w:b/>
                <w:bCs/>
                <w:rtl/>
              </w:rPr>
            </w:pPr>
            <w:r w:rsidRPr="00491020">
              <w:rPr>
                <w:b/>
                <w:bCs/>
                <w:rtl/>
              </w:rPr>
              <w:t>מדינת ישראל</w:t>
            </w:r>
          </w:p>
        </w:tc>
      </w:tr>
      <w:bookmarkEnd w:id="1"/>
      <w:tr w:rsidR="00F61375" w:rsidRPr="00491020" w14:paraId="7AF3FC20" w14:textId="77777777" w:rsidTr="00FF63A1">
        <w:tc>
          <w:tcPr>
            <w:tcW w:w="8802" w:type="dxa"/>
            <w:gridSpan w:val="3"/>
            <w:shd w:val="clear" w:color="auto" w:fill="auto"/>
          </w:tcPr>
          <w:p w14:paraId="69B90930" w14:textId="77777777" w:rsidR="00FF63A1" w:rsidRPr="00491020" w:rsidRDefault="00FF63A1" w:rsidP="00FF63A1">
            <w:pPr>
              <w:jc w:val="both"/>
              <w:rPr>
                <w:rFonts w:ascii="Arial" w:hAnsi="Arial"/>
                <w:b/>
                <w:bCs/>
                <w:rtl/>
              </w:rPr>
            </w:pPr>
          </w:p>
          <w:p w14:paraId="7AA26747" w14:textId="77777777" w:rsidR="00FF63A1" w:rsidRPr="00491020" w:rsidRDefault="00FF63A1" w:rsidP="00FF63A1">
            <w:pPr>
              <w:jc w:val="center"/>
              <w:rPr>
                <w:rFonts w:ascii="Arial" w:hAnsi="Arial"/>
                <w:b/>
                <w:bCs/>
                <w:rtl/>
              </w:rPr>
            </w:pPr>
            <w:r w:rsidRPr="00491020">
              <w:rPr>
                <w:rFonts w:ascii="Arial" w:hAnsi="Arial"/>
                <w:b/>
                <w:bCs/>
                <w:rtl/>
              </w:rPr>
              <w:t>נגד</w:t>
            </w:r>
          </w:p>
          <w:p w14:paraId="4360FDC3" w14:textId="77777777" w:rsidR="00FF63A1" w:rsidRPr="00491020" w:rsidRDefault="00FF63A1" w:rsidP="00FF63A1">
            <w:pPr>
              <w:jc w:val="center"/>
              <w:rPr>
                <w:rFonts w:ascii="Arial" w:hAnsi="Arial"/>
                <w:b/>
                <w:bCs/>
              </w:rPr>
            </w:pPr>
          </w:p>
        </w:tc>
      </w:tr>
      <w:tr w:rsidR="00F61375" w:rsidRPr="00491020" w14:paraId="05C4F74B" w14:textId="77777777" w:rsidTr="00FF63A1">
        <w:tc>
          <w:tcPr>
            <w:tcW w:w="2880" w:type="dxa"/>
            <w:shd w:val="clear" w:color="auto" w:fill="auto"/>
          </w:tcPr>
          <w:p w14:paraId="7D1C531A" w14:textId="77777777" w:rsidR="00FF63A1" w:rsidRPr="00491020" w:rsidRDefault="00FF63A1" w:rsidP="00FF63A1">
            <w:pPr>
              <w:ind w:left="26"/>
              <w:rPr>
                <w:b/>
                <w:bCs/>
                <w:rtl/>
              </w:rPr>
            </w:pPr>
            <w:r w:rsidRPr="00491020">
              <w:rPr>
                <w:rFonts w:hint="cs"/>
                <w:b/>
                <w:bCs/>
                <w:rtl/>
              </w:rPr>
              <w:t>ה</w:t>
            </w:r>
            <w:r w:rsidRPr="00491020">
              <w:rPr>
                <w:b/>
                <w:bCs/>
                <w:rtl/>
              </w:rPr>
              <w:t>נאשם</w:t>
            </w:r>
          </w:p>
        </w:tc>
        <w:tc>
          <w:tcPr>
            <w:tcW w:w="5922" w:type="dxa"/>
            <w:gridSpan w:val="2"/>
            <w:shd w:val="clear" w:color="auto" w:fill="auto"/>
          </w:tcPr>
          <w:p w14:paraId="42AD19D6" w14:textId="77777777" w:rsidR="00FF63A1" w:rsidRPr="00491020" w:rsidRDefault="00FF63A1" w:rsidP="00F61375">
            <w:pPr>
              <w:rPr>
                <w:b/>
                <w:bCs/>
                <w:rtl/>
              </w:rPr>
            </w:pPr>
            <w:r w:rsidRPr="00491020">
              <w:rPr>
                <w:b/>
                <w:bCs/>
                <w:rtl/>
              </w:rPr>
              <w:t>חסן אבו זאיד (עציר)</w:t>
            </w:r>
          </w:p>
        </w:tc>
      </w:tr>
    </w:tbl>
    <w:p w14:paraId="704FB5D6" w14:textId="77777777" w:rsidR="00FF63A1" w:rsidRPr="00491020" w:rsidRDefault="00FF63A1" w:rsidP="00FF63A1">
      <w:pPr>
        <w:jc w:val="both"/>
        <w:rPr>
          <w:sz w:val="28"/>
          <w:szCs w:val="28"/>
          <w:rtl/>
        </w:rPr>
      </w:pPr>
    </w:p>
    <w:p w14:paraId="3CFFB86C" w14:textId="77777777" w:rsidR="00FF63A1" w:rsidRPr="00491020" w:rsidRDefault="00FF63A1" w:rsidP="00FF63A1">
      <w:pPr>
        <w:spacing w:line="360" w:lineRule="auto"/>
        <w:jc w:val="both"/>
        <w:rPr>
          <w:sz w:val="6"/>
          <w:szCs w:val="6"/>
          <w:rtl/>
        </w:rPr>
      </w:pPr>
      <w:r w:rsidRPr="00491020">
        <w:rPr>
          <w:sz w:val="6"/>
          <w:szCs w:val="6"/>
          <w:rtl/>
        </w:rPr>
        <w:t>&lt;#1#&gt;</w:t>
      </w:r>
    </w:p>
    <w:p w14:paraId="3952CD71" w14:textId="77777777" w:rsidR="00FF63A1" w:rsidRPr="00491020" w:rsidRDefault="00FF63A1" w:rsidP="00FF63A1">
      <w:pPr>
        <w:pStyle w:val="12"/>
        <w:rPr>
          <w:u w:val="none"/>
        </w:rPr>
      </w:pPr>
      <w:r w:rsidRPr="00491020">
        <w:rPr>
          <w:rFonts w:hint="cs"/>
          <w:u w:val="none"/>
          <w:rtl/>
        </w:rPr>
        <w:t>נוכחים:</w:t>
      </w:r>
    </w:p>
    <w:p w14:paraId="38A04975" w14:textId="77777777" w:rsidR="00FF63A1" w:rsidRPr="00491020" w:rsidRDefault="00FF63A1" w:rsidP="00FF63A1">
      <w:pPr>
        <w:pStyle w:val="12"/>
        <w:rPr>
          <w:b w:val="0"/>
          <w:bCs w:val="0"/>
          <w:u w:val="none"/>
          <w:rtl/>
        </w:rPr>
      </w:pPr>
      <w:bookmarkStart w:id="2" w:name="FirstLawyer"/>
      <w:r w:rsidRPr="00491020">
        <w:rPr>
          <w:rFonts w:hint="cs"/>
          <w:b w:val="0"/>
          <w:bCs w:val="0"/>
          <w:u w:val="none"/>
          <w:rtl/>
        </w:rPr>
        <w:t>ב"כ</w:t>
      </w:r>
      <w:bookmarkEnd w:id="2"/>
      <w:r w:rsidRPr="00491020">
        <w:rPr>
          <w:rFonts w:hint="cs"/>
          <w:b w:val="0"/>
          <w:bCs w:val="0"/>
          <w:u w:val="none"/>
          <w:rtl/>
        </w:rPr>
        <w:t xml:space="preserve"> מאשימה עו"ד יאנה מרוסיאק ודרור בוזגלו, מתמחה</w:t>
      </w:r>
    </w:p>
    <w:p w14:paraId="782EEC6F" w14:textId="77777777" w:rsidR="00FF63A1" w:rsidRPr="00491020" w:rsidRDefault="00FF63A1" w:rsidP="00FF63A1">
      <w:pPr>
        <w:pStyle w:val="12"/>
        <w:rPr>
          <w:b w:val="0"/>
          <w:bCs w:val="0"/>
          <w:u w:val="none"/>
          <w:rtl/>
        </w:rPr>
      </w:pPr>
      <w:r w:rsidRPr="00491020">
        <w:rPr>
          <w:rFonts w:hint="cs"/>
          <w:b w:val="0"/>
          <w:bCs w:val="0"/>
          <w:u w:val="none"/>
          <w:rtl/>
        </w:rPr>
        <w:t>ב"כ הנאשם עו"ד ישראל קליין</w:t>
      </w:r>
    </w:p>
    <w:p w14:paraId="3B3163D9" w14:textId="77777777" w:rsidR="00FF63A1" w:rsidRPr="00491020" w:rsidRDefault="00FF63A1" w:rsidP="00FF63A1">
      <w:pPr>
        <w:pStyle w:val="12"/>
        <w:rPr>
          <w:b w:val="0"/>
          <w:bCs w:val="0"/>
          <w:u w:val="none"/>
        </w:rPr>
      </w:pPr>
      <w:r w:rsidRPr="00491020">
        <w:rPr>
          <w:rFonts w:hint="cs"/>
          <w:b w:val="0"/>
          <w:bCs w:val="0"/>
          <w:u w:val="none"/>
          <w:rtl/>
        </w:rPr>
        <w:t>הנאשם הובא באמצעות השב"ס</w:t>
      </w:r>
    </w:p>
    <w:p w14:paraId="70D049AE" w14:textId="77777777" w:rsidR="00C524DF" w:rsidRDefault="00FF63A1" w:rsidP="00FF63A1">
      <w:pPr>
        <w:spacing w:line="360" w:lineRule="auto"/>
        <w:jc w:val="both"/>
        <w:rPr>
          <w:sz w:val="6"/>
          <w:szCs w:val="6"/>
          <w:rtl/>
        </w:rPr>
      </w:pPr>
      <w:r w:rsidRPr="00491020">
        <w:rPr>
          <w:sz w:val="6"/>
          <w:szCs w:val="6"/>
          <w:rtl/>
        </w:rPr>
        <w:t>&lt;#2#&gt;</w:t>
      </w:r>
      <w:bookmarkStart w:id="3" w:name="LawTable"/>
      <w:bookmarkEnd w:id="3"/>
    </w:p>
    <w:p w14:paraId="01A78DDA" w14:textId="77777777" w:rsidR="00C524DF" w:rsidRPr="00C524DF" w:rsidRDefault="00C524DF" w:rsidP="00C524DF">
      <w:pPr>
        <w:spacing w:after="120" w:line="240" w:lineRule="exact"/>
        <w:ind w:left="283" w:hanging="283"/>
        <w:jc w:val="both"/>
        <w:rPr>
          <w:rFonts w:ascii="FrankRuehl" w:hAnsi="FrankRuehl" w:cs="FrankRuehl"/>
          <w:rtl/>
        </w:rPr>
      </w:pPr>
    </w:p>
    <w:p w14:paraId="13F99E91" w14:textId="77777777" w:rsidR="00C524DF" w:rsidRPr="00C524DF" w:rsidRDefault="00C524DF" w:rsidP="00C524DF">
      <w:pPr>
        <w:spacing w:after="120" w:line="240" w:lineRule="exact"/>
        <w:ind w:left="283" w:hanging="283"/>
        <w:jc w:val="both"/>
        <w:rPr>
          <w:rFonts w:ascii="FrankRuehl" w:hAnsi="FrankRuehl" w:cs="FrankRuehl"/>
          <w:rtl/>
        </w:rPr>
      </w:pPr>
      <w:r w:rsidRPr="00C524DF">
        <w:rPr>
          <w:rFonts w:ascii="FrankRuehl" w:hAnsi="FrankRuehl" w:cs="FrankRuehl"/>
          <w:rtl/>
        </w:rPr>
        <w:t xml:space="preserve">חקיקה שאוזכרה: </w:t>
      </w:r>
    </w:p>
    <w:p w14:paraId="6A44E742" w14:textId="77777777" w:rsidR="00C524DF" w:rsidRPr="00C524DF" w:rsidRDefault="00C524DF" w:rsidP="00C524DF">
      <w:pPr>
        <w:spacing w:after="120" w:line="240" w:lineRule="exact"/>
        <w:ind w:left="283" w:hanging="283"/>
        <w:jc w:val="both"/>
        <w:rPr>
          <w:rFonts w:ascii="FrankRuehl" w:hAnsi="FrankRuehl" w:cs="FrankRuehl"/>
          <w:rtl/>
        </w:rPr>
      </w:pPr>
      <w:hyperlink r:id="rId7" w:history="1">
        <w:r w:rsidRPr="00C524DF">
          <w:rPr>
            <w:rFonts w:ascii="FrankRuehl" w:hAnsi="FrankRuehl" w:cs="FrankRuehl"/>
            <w:color w:val="0000FF"/>
            <w:u w:val="single"/>
            <w:rtl/>
          </w:rPr>
          <w:t>פקודת הסמים המסוכנים [נוסח חדש], תשל"ג-1973</w:t>
        </w:r>
      </w:hyperlink>
      <w:r w:rsidRPr="00C524DF">
        <w:rPr>
          <w:rFonts w:ascii="FrankRuehl" w:hAnsi="FrankRuehl" w:cs="FrankRuehl"/>
          <w:rtl/>
        </w:rPr>
        <w:t xml:space="preserve">: סע'  </w:t>
      </w:r>
      <w:hyperlink r:id="rId8" w:history="1">
        <w:r w:rsidRPr="00C524DF">
          <w:rPr>
            <w:rFonts w:ascii="FrankRuehl" w:hAnsi="FrankRuehl" w:cs="FrankRuehl"/>
            <w:color w:val="0000FF"/>
            <w:u w:val="single"/>
            <w:rtl/>
          </w:rPr>
          <w:t>7.א.</w:t>
        </w:r>
      </w:hyperlink>
      <w:r w:rsidRPr="00C524DF">
        <w:rPr>
          <w:rFonts w:ascii="FrankRuehl" w:hAnsi="FrankRuehl" w:cs="FrankRuehl"/>
          <w:rtl/>
        </w:rPr>
        <w:t xml:space="preserve">, </w:t>
      </w:r>
      <w:hyperlink r:id="rId9" w:history="1">
        <w:r w:rsidRPr="00C524DF">
          <w:rPr>
            <w:rFonts w:ascii="FrankRuehl" w:hAnsi="FrankRuehl" w:cs="FrankRuehl"/>
            <w:color w:val="0000FF"/>
            <w:u w:val="single"/>
            <w:rtl/>
          </w:rPr>
          <w:t>7.ג</w:t>
        </w:r>
      </w:hyperlink>
      <w:r w:rsidRPr="00C524DF">
        <w:rPr>
          <w:rFonts w:ascii="FrankRuehl" w:hAnsi="FrankRuehl" w:cs="FrankRuehl"/>
          <w:rtl/>
        </w:rPr>
        <w:t xml:space="preserve">, </w:t>
      </w:r>
      <w:hyperlink r:id="rId10" w:history="1">
        <w:r w:rsidRPr="00C524DF">
          <w:rPr>
            <w:rFonts w:ascii="FrankRuehl" w:hAnsi="FrankRuehl" w:cs="FrankRuehl"/>
            <w:color w:val="0000FF"/>
            <w:u w:val="single"/>
            <w:rtl/>
          </w:rPr>
          <w:t>13</w:t>
        </w:r>
      </w:hyperlink>
      <w:r w:rsidRPr="00C524DF">
        <w:rPr>
          <w:rFonts w:ascii="FrankRuehl" w:hAnsi="FrankRuehl" w:cs="FrankRuehl"/>
          <w:rtl/>
        </w:rPr>
        <w:t xml:space="preserve">, </w:t>
      </w:r>
      <w:hyperlink r:id="rId11" w:history="1">
        <w:r w:rsidRPr="00C524DF">
          <w:rPr>
            <w:rFonts w:ascii="FrankRuehl" w:hAnsi="FrankRuehl" w:cs="FrankRuehl"/>
            <w:color w:val="0000FF"/>
            <w:u w:val="single"/>
            <w:rtl/>
          </w:rPr>
          <w:t>40יא</w:t>
        </w:r>
      </w:hyperlink>
      <w:r w:rsidRPr="00C524DF">
        <w:rPr>
          <w:rFonts w:ascii="FrankRuehl" w:hAnsi="FrankRuehl" w:cs="FrankRuehl"/>
          <w:rtl/>
        </w:rPr>
        <w:t xml:space="preserve">, </w:t>
      </w:r>
      <w:hyperlink r:id="rId12" w:history="1">
        <w:r w:rsidRPr="00C524DF">
          <w:rPr>
            <w:rFonts w:ascii="FrankRuehl" w:hAnsi="FrankRuehl" w:cs="FrankRuehl"/>
            <w:color w:val="0000FF"/>
            <w:u w:val="single"/>
            <w:rtl/>
          </w:rPr>
          <w:t>40יב</w:t>
        </w:r>
      </w:hyperlink>
    </w:p>
    <w:p w14:paraId="7068B85C" w14:textId="77777777" w:rsidR="00C524DF" w:rsidRPr="00C524DF" w:rsidRDefault="00C524DF" w:rsidP="00C524DF">
      <w:pPr>
        <w:spacing w:after="120" w:line="240" w:lineRule="exact"/>
        <w:ind w:left="283" w:hanging="283"/>
        <w:jc w:val="both"/>
        <w:rPr>
          <w:rFonts w:ascii="FrankRuehl" w:hAnsi="FrankRuehl" w:cs="FrankRuehl"/>
          <w:rtl/>
        </w:rPr>
      </w:pPr>
      <w:hyperlink r:id="rId13" w:history="1">
        <w:r w:rsidRPr="00C524DF">
          <w:rPr>
            <w:rFonts w:ascii="FrankRuehl" w:hAnsi="FrankRuehl" w:cs="FrankRuehl"/>
            <w:color w:val="0000FF"/>
            <w:u w:val="single"/>
            <w:rtl/>
          </w:rPr>
          <w:t>חוק העונשין, תשל"ז-1977</w:t>
        </w:r>
      </w:hyperlink>
      <w:r w:rsidRPr="00C524DF">
        <w:rPr>
          <w:rFonts w:ascii="FrankRuehl" w:hAnsi="FrankRuehl" w:cs="FrankRuehl"/>
          <w:rtl/>
        </w:rPr>
        <w:t xml:space="preserve">: סע'  </w:t>
      </w:r>
      <w:hyperlink r:id="rId14" w:history="1">
        <w:r w:rsidRPr="00C524DF">
          <w:rPr>
            <w:rFonts w:ascii="FrankRuehl" w:hAnsi="FrankRuehl" w:cs="FrankRuehl"/>
            <w:color w:val="0000FF"/>
            <w:u w:val="single"/>
            <w:rtl/>
          </w:rPr>
          <w:t>287(א)</w:t>
        </w:r>
      </w:hyperlink>
      <w:r w:rsidRPr="00C524DF">
        <w:rPr>
          <w:rFonts w:ascii="FrankRuehl" w:hAnsi="FrankRuehl" w:cs="FrankRuehl"/>
          <w:rtl/>
        </w:rPr>
        <w:t xml:space="preserve">, </w:t>
      </w:r>
      <w:hyperlink r:id="rId15" w:history="1">
        <w:r w:rsidRPr="00C524DF">
          <w:rPr>
            <w:rFonts w:ascii="FrankRuehl" w:hAnsi="FrankRuehl" w:cs="FrankRuehl"/>
            <w:color w:val="0000FF"/>
            <w:u w:val="single"/>
            <w:rtl/>
          </w:rPr>
          <w:t>40יג(ב))</w:t>
        </w:r>
      </w:hyperlink>
    </w:p>
    <w:p w14:paraId="7C75A0CC" w14:textId="77777777" w:rsidR="00C524DF" w:rsidRPr="00C524DF" w:rsidRDefault="00C524DF" w:rsidP="00C524DF">
      <w:pPr>
        <w:spacing w:after="120" w:line="240" w:lineRule="exact"/>
        <w:ind w:left="283" w:hanging="283"/>
        <w:jc w:val="both"/>
        <w:rPr>
          <w:rFonts w:ascii="FrankRuehl" w:hAnsi="FrankRuehl" w:cs="FrankRuehl"/>
          <w:rtl/>
        </w:rPr>
      </w:pPr>
      <w:hyperlink r:id="rId16" w:history="1">
        <w:r w:rsidRPr="00C524DF">
          <w:rPr>
            <w:rFonts w:ascii="FrankRuehl" w:hAnsi="FrankRuehl" w:cs="FrankRuehl"/>
            <w:color w:val="0000FF"/>
            <w:u w:val="single"/>
            <w:rtl/>
          </w:rPr>
          <w:t>פקודת התעבורה [נוסח חדש]</w:t>
        </w:r>
      </w:hyperlink>
      <w:r w:rsidRPr="00C524DF">
        <w:rPr>
          <w:rFonts w:ascii="FrankRuehl" w:hAnsi="FrankRuehl" w:cs="FrankRuehl"/>
          <w:rtl/>
        </w:rPr>
        <w:t xml:space="preserve">: סע'  </w:t>
      </w:r>
      <w:hyperlink r:id="rId17" w:history="1">
        <w:r w:rsidRPr="00C524DF">
          <w:rPr>
            <w:rFonts w:ascii="FrankRuehl" w:hAnsi="FrankRuehl" w:cs="FrankRuehl"/>
            <w:color w:val="0000FF"/>
            <w:u w:val="single"/>
            <w:rtl/>
          </w:rPr>
          <w:t>10 (א)</w:t>
        </w:r>
      </w:hyperlink>
      <w:r w:rsidRPr="00C524DF">
        <w:rPr>
          <w:rFonts w:ascii="FrankRuehl" w:hAnsi="FrankRuehl" w:cs="FrankRuehl"/>
          <w:rtl/>
        </w:rPr>
        <w:t xml:space="preserve">, </w:t>
      </w:r>
      <w:hyperlink r:id="rId18" w:history="1">
        <w:r w:rsidRPr="00C524DF">
          <w:rPr>
            <w:rFonts w:ascii="FrankRuehl" w:hAnsi="FrankRuehl" w:cs="FrankRuehl"/>
            <w:color w:val="0000FF"/>
            <w:u w:val="single"/>
            <w:rtl/>
          </w:rPr>
          <w:t>39 א'</w:t>
        </w:r>
      </w:hyperlink>
      <w:r w:rsidRPr="00C524DF">
        <w:rPr>
          <w:rFonts w:ascii="FrankRuehl" w:hAnsi="FrankRuehl" w:cs="FrankRuehl"/>
          <w:rtl/>
        </w:rPr>
        <w:t xml:space="preserve">, </w:t>
      </w:r>
      <w:hyperlink r:id="rId19" w:history="1">
        <w:r w:rsidRPr="00C524DF">
          <w:rPr>
            <w:rFonts w:ascii="FrankRuehl" w:hAnsi="FrankRuehl" w:cs="FrankRuehl"/>
            <w:color w:val="0000FF"/>
            <w:u w:val="single"/>
            <w:rtl/>
          </w:rPr>
          <w:t>67</w:t>
        </w:r>
      </w:hyperlink>
    </w:p>
    <w:p w14:paraId="47A6AA38" w14:textId="77777777" w:rsidR="00C524DF" w:rsidRPr="00C524DF" w:rsidRDefault="00C524DF" w:rsidP="00C524DF">
      <w:pPr>
        <w:spacing w:after="120" w:line="240" w:lineRule="exact"/>
        <w:ind w:left="283" w:hanging="283"/>
        <w:jc w:val="both"/>
        <w:rPr>
          <w:rFonts w:ascii="FrankRuehl" w:hAnsi="FrankRuehl" w:cs="FrankRuehl"/>
          <w:rtl/>
        </w:rPr>
      </w:pPr>
      <w:hyperlink r:id="rId20" w:history="1">
        <w:r w:rsidRPr="00C524DF">
          <w:rPr>
            <w:rFonts w:ascii="FrankRuehl" w:hAnsi="FrankRuehl" w:cs="FrankRuehl"/>
            <w:color w:val="0000FF"/>
            <w:u w:val="single"/>
            <w:rtl/>
          </w:rPr>
          <w:t>פקודת ביטוח רכב מנועי [נוסח חדש], תש"ל-1970</w:t>
        </w:r>
      </w:hyperlink>
      <w:r w:rsidRPr="00C524DF">
        <w:rPr>
          <w:rFonts w:ascii="FrankRuehl" w:hAnsi="FrankRuehl" w:cs="FrankRuehl"/>
          <w:rtl/>
        </w:rPr>
        <w:t xml:space="preserve">: סע'  </w:t>
      </w:r>
      <w:hyperlink r:id="rId21" w:history="1">
        <w:r w:rsidRPr="00C524DF">
          <w:rPr>
            <w:rFonts w:ascii="FrankRuehl" w:hAnsi="FrankRuehl" w:cs="FrankRuehl"/>
            <w:color w:val="0000FF"/>
            <w:u w:val="single"/>
            <w:rtl/>
          </w:rPr>
          <w:t>2 (א)</w:t>
        </w:r>
      </w:hyperlink>
      <w:r w:rsidRPr="00C524DF">
        <w:rPr>
          <w:rFonts w:ascii="FrankRuehl" w:hAnsi="FrankRuehl" w:cs="FrankRuehl"/>
          <w:rtl/>
        </w:rPr>
        <w:t xml:space="preserve">, </w:t>
      </w:r>
      <w:hyperlink r:id="rId22" w:history="1">
        <w:r w:rsidRPr="00C524DF">
          <w:rPr>
            <w:rFonts w:ascii="FrankRuehl" w:hAnsi="FrankRuehl" w:cs="FrankRuehl"/>
            <w:color w:val="0000FF"/>
            <w:u w:val="single"/>
            <w:rtl/>
          </w:rPr>
          <w:t>62(3)</w:t>
        </w:r>
      </w:hyperlink>
      <w:r w:rsidRPr="00C524DF">
        <w:rPr>
          <w:rFonts w:ascii="FrankRuehl" w:hAnsi="FrankRuehl" w:cs="FrankRuehl"/>
          <w:rtl/>
        </w:rPr>
        <w:t xml:space="preserve">, </w:t>
      </w:r>
      <w:hyperlink r:id="rId23" w:history="1">
        <w:r w:rsidRPr="00C524DF">
          <w:rPr>
            <w:rFonts w:ascii="FrankRuehl" w:hAnsi="FrankRuehl" w:cs="FrankRuehl"/>
            <w:color w:val="0000FF"/>
            <w:u w:val="single"/>
            <w:rtl/>
          </w:rPr>
          <w:t>64 ב'</w:t>
        </w:r>
      </w:hyperlink>
    </w:p>
    <w:p w14:paraId="5FDD06C6" w14:textId="77777777" w:rsidR="00C524DF" w:rsidRPr="00C524DF" w:rsidRDefault="00C524DF" w:rsidP="00C524DF">
      <w:pPr>
        <w:spacing w:after="120" w:line="240" w:lineRule="exact"/>
        <w:ind w:left="283" w:hanging="283"/>
        <w:jc w:val="both"/>
        <w:rPr>
          <w:rFonts w:ascii="FrankRuehl" w:hAnsi="FrankRuehl" w:cs="FrankRuehl"/>
          <w:rtl/>
        </w:rPr>
      </w:pPr>
    </w:p>
    <w:p w14:paraId="3D59D15E" w14:textId="77777777" w:rsidR="00C524DF" w:rsidRPr="00C524DF" w:rsidRDefault="00C524DF" w:rsidP="00FF63A1">
      <w:pPr>
        <w:spacing w:line="360" w:lineRule="auto"/>
        <w:jc w:val="both"/>
        <w:rPr>
          <w:sz w:val="6"/>
          <w:szCs w:val="6"/>
          <w:rtl/>
        </w:rPr>
      </w:pPr>
      <w:bookmarkStart w:id="4" w:name="LawTable_End"/>
      <w:bookmarkEnd w:id="4"/>
    </w:p>
    <w:p w14:paraId="39C1CB28" w14:textId="77777777" w:rsidR="00C524DF" w:rsidRPr="00C524DF" w:rsidRDefault="00C524DF" w:rsidP="00FF63A1">
      <w:pPr>
        <w:spacing w:line="360" w:lineRule="auto"/>
        <w:jc w:val="both"/>
        <w:rPr>
          <w:sz w:val="6"/>
          <w:szCs w:val="6"/>
          <w:rtl/>
        </w:rPr>
      </w:pPr>
    </w:p>
    <w:p w14:paraId="5A9B865C" w14:textId="77777777" w:rsidR="00FF63A1" w:rsidRPr="00C524DF" w:rsidRDefault="00FF63A1" w:rsidP="00FF63A1">
      <w:pPr>
        <w:spacing w:line="360" w:lineRule="auto"/>
        <w:jc w:val="both"/>
        <w:rPr>
          <w:sz w:val="6"/>
          <w:szCs w:val="6"/>
          <w:rtl/>
        </w:rPr>
      </w:pPr>
    </w:p>
    <w:p w14:paraId="1B7E668B" w14:textId="77777777" w:rsidR="00491020" w:rsidRPr="00491020" w:rsidRDefault="00491020" w:rsidP="00FF63A1">
      <w:pPr>
        <w:spacing w:line="360" w:lineRule="auto"/>
        <w:jc w:val="center"/>
        <w:rPr>
          <w:rFonts w:ascii="Arial" w:hAnsi="Arial"/>
          <w:b/>
          <w:bCs/>
          <w:sz w:val="28"/>
          <w:szCs w:val="28"/>
          <w:rtl/>
        </w:rPr>
      </w:pPr>
    </w:p>
    <w:p w14:paraId="5B30A448" w14:textId="77777777" w:rsidR="00491020" w:rsidRPr="00491020" w:rsidRDefault="00491020" w:rsidP="00FF63A1">
      <w:pPr>
        <w:spacing w:line="360" w:lineRule="auto"/>
        <w:jc w:val="center"/>
        <w:rPr>
          <w:rFonts w:ascii="Arial" w:hAnsi="Arial"/>
          <w:b/>
          <w:bCs/>
          <w:sz w:val="28"/>
          <w:szCs w:val="28"/>
          <w:rtl/>
        </w:rPr>
      </w:pPr>
    </w:p>
    <w:p w14:paraId="741B4A6D" w14:textId="77777777" w:rsidR="00491020" w:rsidRPr="00491020" w:rsidRDefault="00491020" w:rsidP="00C524DF">
      <w:pPr>
        <w:spacing w:line="360" w:lineRule="auto"/>
        <w:ind w:left="720"/>
        <w:jc w:val="center"/>
        <w:rPr>
          <w:rFonts w:ascii="Arial" w:hAnsi="Arial"/>
          <w:b/>
          <w:bCs/>
          <w:sz w:val="28"/>
          <w:szCs w:val="28"/>
          <w:u w:val="single"/>
          <w:rtl/>
        </w:rPr>
      </w:pPr>
      <w:bookmarkStart w:id="5" w:name="PsakDin"/>
      <w:bookmarkEnd w:id="0"/>
      <w:r w:rsidRPr="00491020">
        <w:rPr>
          <w:rFonts w:ascii="Arial" w:hAnsi="Arial"/>
          <w:b/>
          <w:bCs/>
          <w:sz w:val="28"/>
          <w:szCs w:val="28"/>
          <w:u w:val="single"/>
          <w:rtl/>
        </w:rPr>
        <w:t>גזר דין</w:t>
      </w:r>
    </w:p>
    <w:p w14:paraId="5603237E" w14:textId="77777777" w:rsidR="00FF63A1" w:rsidRDefault="00FF63A1" w:rsidP="00FF63A1">
      <w:pPr>
        <w:numPr>
          <w:ilvl w:val="0"/>
          <w:numId w:val="1"/>
        </w:numPr>
        <w:spacing w:line="360" w:lineRule="auto"/>
        <w:jc w:val="both"/>
        <w:rPr>
          <w:rtl/>
        </w:rPr>
      </w:pPr>
      <w:bookmarkStart w:id="6" w:name="ABSTRACT_START"/>
      <w:bookmarkEnd w:id="5"/>
      <w:bookmarkEnd w:id="6"/>
      <w:r>
        <w:rPr>
          <w:rFonts w:hint="cs"/>
          <w:rtl/>
        </w:rPr>
        <w:t xml:space="preserve">הנאשם הורשע בהתאם להודאתו בעובדות כתב האישום המתוקן בתיק העיקרי ובכתבי אישום ותיק משטרה נוספים שביקש לצרף, בעבירות הבאות: </w:t>
      </w:r>
    </w:p>
    <w:p w14:paraId="51758831" w14:textId="77777777" w:rsidR="00FF63A1" w:rsidRDefault="00FF63A1" w:rsidP="00FF63A1">
      <w:pPr>
        <w:ind w:left="720"/>
      </w:pPr>
    </w:p>
    <w:p w14:paraId="24F69D77" w14:textId="77777777" w:rsidR="00FF63A1" w:rsidRDefault="00FF63A1" w:rsidP="00FF63A1">
      <w:pPr>
        <w:numPr>
          <w:ilvl w:val="1"/>
          <w:numId w:val="2"/>
        </w:numPr>
        <w:spacing w:line="360" w:lineRule="auto"/>
        <w:jc w:val="both"/>
      </w:pPr>
      <w:r>
        <w:rPr>
          <w:rFonts w:hint="cs"/>
          <w:b/>
          <w:bCs/>
          <w:rtl/>
        </w:rPr>
        <w:t>אישום ראשון בתיק העיקרי (19601-09-12)</w:t>
      </w:r>
      <w:r>
        <w:rPr>
          <w:rFonts w:hint="cs"/>
          <w:rtl/>
        </w:rPr>
        <w:t xml:space="preserve"> - עבירה של החזקת סם לצריכה עצמית, לפי </w:t>
      </w:r>
      <w:hyperlink r:id="rId24" w:history="1">
        <w:r w:rsidR="00C524DF" w:rsidRPr="00C524DF">
          <w:rPr>
            <w:color w:val="0000FF"/>
            <w:u w:val="single"/>
            <w:rtl/>
          </w:rPr>
          <w:t>סעיף 7(א)+(ג)</w:t>
        </w:r>
      </w:hyperlink>
      <w:r>
        <w:rPr>
          <w:rFonts w:hint="cs"/>
          <w:rtl/>
        </w:rPr>
        <w:t xml:space="preserve"> סיפא ל</w:t>
      </w:r>
      <w:hyperlink r:id="rId25" w:history="1">
        <w:r w:rsidR="00491020" w:rsidRPr="00491020">
          <w:rPr>
            <w:color w:val="0000FF"/>
            <w:u w:val="single"/>
            <w:rtl/>
          </w:rPr>
          <w:t>פקודת הסמים המסוכנים</w:t>
        </w:r>
      </w:hyperlink>
      <w:r>
        <w:rPr>
          <w:rFonts w:hint="cs"/>
          <w:rtl/>
        </w:rPr>
        <w:t xml:space="preserve"> [נוסח חדש], התשל"ג-1973 (להלן-</w:t>
      </w:r>
      <w:r>
        <w:rPr>
          <w:rFonts w:hint="cs"/>
          <w:b/>
          <w:bCs/>
          <w:rtl/>
        </w:rPr>
        <w:t>פקודת הסמים</w:t>
      </w:r>
      <w:r>
        <w:rPr>
          <w:rFonts w:hint="cs"/>
          <w:rtl/>
        </w:rPr>
        <w:t xml:space="preserve">). בהתאם לעובדות, ביום 28.8.12, החזיק הנאשם, על הקרקע בסמוך לבניין, חבילה עטופה בניילון ובה 10 שקיות סם מסוג קוקאין במשקל של </w:t>
      </w:r>
      <w:smartTag w:uri="urn:schemas-microsoft-com:office:smarttags" w:element="metricconverter">
        <w:smartTagPr>
          <w:attr w:name="ProductID" w:val="2.0540 גרם"/>
        </w:smartTagPr>
        <w:r>
          <w:rPr>
            <w:rFonts w:hint="cs"/>
            <w:rtl/>
          </w:rPr>
          <w:t>2.0540 גרם</w:t>
        </w:r>
      </w:smartTag>
      <w:r>
        <w:rPr>
          <w:rFonts w:hint="cs"/>
          <w:rtl/>
        </w:rPr>
        <w:t xml:space="preserve"> נטו (להלן- </w:t>
      </w:r>
      <w:r>
        <w:rPr>
          <w:rFonts w:hint="cs"/>
          <w:b/>
          <w:bCs/>
          <w:rtl/>
        </w:rPr>
        <w:t>האירוע הראשון</w:t>
      </w:r>
      <w:r>
        <w:rPr>
          <w:rFonts w:hint="cs"/>
          <w:rtl/>
        </w:rPr>
        <w:t xml:space="preserve">). </w:t>
      </w:r>
    </w:p>
    <w:p w14:paraId="240393A8" w14:textId="77777777" w:rsidR="00FF63A1" w:rsidRDefault="00FF63A1" w:rsidP="00FF63A1">
      <w:pPr>
        <w:numPr>
          <w:ilvl w:val="1"/>
          <w:numId w:val="2"/>
        </w:numPr>
        <w:spacing w:line="360" w:lineRule="auto"/>
        <w:jc w:val="both"/>
      </w:pPr>
      <w:bookmarkStart w:id="7" w:name="ABSTRACT_END"/>
      <w:bookmarkEnd w:id="7"/>
      <w:r>
        <w:rPr>
          <w:rFonts w:hint="cs"/>
          <w:b/>
          <w:bCs/>
          <w:rtl/>
        </w:rPr>
        <w:t>אישום שני בתיק העיקרי</w:t>
      </w:r>
      <w:r>
        <w:rPr>
          <w:rFonts w:hint="cs"/>
          <w:rtl/>
        </w:rPr>
        <w:t xml:space="preserve"> – עבירה של הפרת הוראה חוקית לפי </w:t>
      </w:r>
      <w:hyperlink r:id="rId26" w:history="1">
        <w:r w:rsidR="00C524DF" w:rsidRPr="00C524DF">
          <w:rPr>
            <w:color w:val="0000FF"/>
            <w:u w:val="single"/>
            <w:rtl/>
          </w:rPr>
          <w:t>סעיף 287(א)</w:t>
        </w:r>
      </w:hyperlink>
      <w:r>
        <w:rPr>
          <w:rFonts w:hint="cs"/>
          <w:rtl/>
        </w:rPr>
        <w:t xml:space="preserve"> ל</w:t>
      </w:r>
      <w:hyperlink r:id="rId27" w:history="1">
        <w:r w:rsidR="00491020" w:rsidRPr="00491020">
          <w:rPr>
            <w:color w:val="0000FF"/>
            <w:u w:val="single"/>
            <w:rtl/>
          </w:rPr>
          <w:t>חוק העונשין</w:t>
        </w:r>
      </w:hyperlink>
      <w:r>
        <w:rPr>
          <w:rFonts w:hint="cs"/>
          <w:rtl/>
        </w:rPr>
        <w:t xml:space="preserve">, התשל"ז – 1977 (להלן – </w:t>
      </w:r>
      <w:r>
        <w:rPr>
          <w:rFonts w:hint="cs"/>
          <w:b/>
          <w:bCs/>
          <w:rtl/>
        </w:rPr>
        <w:t>חוק העונשין</w:t>
      </w:r>
      <w:r>
        <w:rPr>
          <w:rFonts w:hint="cs"/>
          <w:rtl/>
        </w:rPr>
        <w:t xml:space="preserve">). בהתאם לעובדות, ביום 2.9.12, הפר הנאשם תנאי מעצר בית שנקבעו על-ידי קצין ממונה לאחר שחרורו בגין האירוע הראשון (להלן – </w:t>
      </w:r>
      <w:r>
        <w:rPr>
          <w:rFonts w:hint="cs"/>
          <w:b/>
          <w:bCs/>
          <w:rtl/>
        </w:rPr>
        <w:t>האירוע השני</w:t>
      </w:r>
      <w:r>
        <w:rPr>
          <w:rFonts w:hint="cs"/>
          <w:rtl/>
        </w:rPr>
        <w:t xml:space="preserve">). </w:t>
      </w:r>
    </w:p>
    <w:p w14:paraId="38445B10" w14:textId="77777777" w:rsidR="00FF63A1" w:rsidRDefault="00FF63A1" w:rsidP="00FF63A1">
      <w:pPr>
        <w:numPr>
          <w:ilvl w:val="1"/>
          <w:numId w:val="2"/>
        </w:numPr>
        <w:spacing w:line="360" w:lineRule="auto"/>
        <w:jc w:val="both"/>
      </w:pPr>
      <w:r>
        <w:rPr>
          <w:rFonts w:hint="cs"/>
          <w:b/>
          <w:bCs/>
          <w:rtl/>
        </w:rPr>
        <w:lastRenderedPageBreak/>
        <w:t>אישום שלישי בתיק העיקרי</w:t>
      </w:r>
      <w:r>
        <w:rPr>
          <w:rFonts w:hint="cs"/>
          <w:rtl/>
        </w:rPr>
        <w:t xml:space="preserve"> – עבירה של הפרת הוראה חוקית לפי </w:t>
      </w:r>
      <w:hyperlink r:id="rId28" w:history="1">
        <w:r w:rsidR="00C524DF" w:rsidRPr="00C524DF">
          <w:rPr>
            <w:color w:val="0000FF"/>
            <w:u w:val="single"/>
            <w:rtl/>
          </w:rPr>
          <w:t>סעיף 287(א)</w:t>
        </w:r>
      </w:hyperlink>
      <w:r>
        <w:rPr>
          <w:rFonts w:hint="cs"/>
          <w:rtl/>
        </w:rPr>
        <w:t xml:space="preserve"> ל</w:t>
      </w:r>
      <w:hyperlink r:id="rId29" w:history="1">
        <w:r w:rsidR="00491020" w:rsidRPr="00491020">
          <w:rPr>
            <w:color w:val="0000FF"/>
            <w:u w:val="single"/>
            <w:rtl/>
          </w:rPr>
          <w:t>חוק העונשין</w:t>
        </w:r>
      </w:hyperlink>
      <w:r>
        <w:rPr>
          <w:rFonts w:hint="cs"/>
          <w:rtl/>
        </w:rPr>
        <w:t xml:space="preserve">. בהתאם לעובדות, ביום 28.8.12 בשעה 10:45 לערך, הפר הנאשם תנאי מעצר בית שהוטלו עליו במסגרת החלטת בית משפט (להלן - </w:t>
      </w:r>
      <w:r>
        <w:rPr>
          <w:rFonts w:hint="cs"/>
          <w:b/>
          <w:bCs/>
          <w:rtl/>
        </w:rPr>
        <w:t>האירוע שלישי).</w:t>
      </w:r>
    </w:p>
    <w:p w14:paraId="31665625" w14:textId="77777777" w:rsidR="00FF63A1" w:rsidRDefault="00FF63A1" w:rsidP="00FF63A1">
      <w:pPr>
        <w:numPr>
          <w:ilvl w:val="1"/>
          <w:numId w:val="2"/>
        </w:numPr>
        <w:spacing w:line="360" w:lineRule="auto"/>
        <w:jc w:val="both"/>
      </w:pPr>
      <w:r>
        <w:rPr>
          <w:rFonts w:hint="cs"/>
          <w:b/>
          <w:bCs/>
          <w:rtl/>
        </w:rPr>
        <w:t>תיק צירוף 1733-12-12</w:t>
      </w:r>
      <w:r>
        <w:rPr>
          <w:rFonts w:hint="cs"/>
          <w:rtl/>
        </w:rPr>
        <w:t xml:space="preserve"> – עבירה של הפרת הוראה חוקית, עבירה לפי </w:t>
      </w:r>
      <w:hyperlink r:id="rId30" w:history="1">
        <w:r w:rsidR="00C524DF" w:rsidRPr="00C524DF">
          <w:rPr>
            <w:color w:val="0000FF"/>
            <w:u w:val="single"/>
            <w:rtl/>
          </w:rPr>
          <w:t>סעיף 287(א)</w:t>
        </w:r>
      </w:hyperlink>
      <w:r>
        <w:rPr>
          <w:rFonts w:hint="cs"/>
          <w:rtl/>
        </w:rPr>
        <w:t xml:space="preserve"> ל</w:t>
      </w:r>
      <w:hyperlink r:id="rId31" w:history="1">
        <w:r w:rsidR="00491020" w:rsidRPr="00491020">
          <w:rPr>
            <w:color w:val="0000FF"/>
            <w:u w:val="single"/>
            <w:rtl/>
          </w:rPr>
          <w:t>חוק העונשין</w:t>
        </w:r>
      </w:hyperlink>
      <w:r>
        <w:rPr>
          <w:rFonts w:hint="cs"/>
          <w:rtl/>
        </w:rPr>
        <w:t xml:space="preserve">. בהתאם לעובדות, ביום 30.11.12 בשעה 13:50 לערך, הפר הנאשם תנאי מעצר בית שהוטלו עליו על-ידי בית משפט (להלן – </w:t>
      </w:r>
      <w:r>
        <w:rPr>
          <w:rFonts w:hint="cs"/>
          <w:b/>
          <w:bCs/>
          <w:rtl/>
        </w:rPr>
        <w:t>האירוע הרביעי</w:t>
      </w:r>
      <w:r>
        <w:rPr>
          <w:rFonts w:hint="cs"/>
          <w:rtl/>
        </w:rPr>
        <w:t>).</w:t>
      </w:r>
    </w:p>
    <w:p w14:paraId="3E03A168" w14:textId="77777777" w:rsidR="00FF63A1" w:rsidRDefault="00FF63A1" w:rsidP="00FF63A1">
      <w:pPr>
        <w:numPr>
          <w:ilvl w:val="1"/>
          <w:numId w:val="2"/>
        </w:numPr>
        <w:spacing w:line="360" w:lineRule="auto"/>
        <w:jc w:val="both"/>
      </w:pPr>
      <w:r>
        <w:rPr>
          <w:rFonts w:hint="cs"/>
          <w:b/>
          <w:bCs/>
          <w:rtl/>
        </w:rPr>
        <w:t>תיק צירוף 3024/08 בבית משפט השלום ברמלה</w:t>
      </w:r>
      <w:r>
        <w:rPr>
          <w:rFonts w:hint="cs"/>
          <w:rtl/>
        </w:rPr>
        <w:t xml:space="preserve"> - עבירה של החזקת סם מסוכן שלא לצריכה עצמית בניגוד </w:t>
      </w:r>
      <w:hyperlink r:id="rId32" w:history="1">
        <w:r w:rsidR="00C524DF" w:rsidRPr="00C524DF">
          <w:rPr>
            <w:color w:val="0000FF"/>
            <w:u w:val="single"/>
            <w:rtl/>
          </w:rPr>
          <w:t>לסעיף 7(א)+7(ג)</w:t>
        </w:r>
      </w:hyperlink>
      <w:r>
        <w:rPr>
          <w:rFonts w:hint="cs"/>
          <w:rtl/>
        </w:rPr>
        <w:t xml:space="preserve"> רישא לפקודה. בהתאם לעובדות, ביום 08.08.05 בשעה 19:30 לערך, החזיק הנאשם בסמים מסוכנים שלא לצריכה עצמית, כדלקמן: 8 אריזות הרואין במשקל נטו של </w:t>
      </w:r>
      <w:smartTag w:uri="urn:schemas-microsoft-com:office:smarttags" w:element="metricconverter">
        <w:smartTagPr>
          <w:attr w:name="ProductID" w:val="3.74 גרם"/>
        </w:smartTagPr>
        <w:r>
          <w:rPr>
            <w:rFonts w:hint="cs"/>
            <w:rtl/>
          </w:rPr>
          <w:t>3.74 גרם</w:t>
        </w:r>
      </w:smartTag>
      <w:r>
        <w:rPr>
          <w:rFonts w:hint="cs"/>
          <w:rtl/>
        </w:rPr>
        <w:t xml:space="preserve">, 8 אריזות קוקאין במשקל נטו של </w:t>
      </w:r>
      <w:smartTag w:uri="urn:schemas-microsoft-com:office:smarttags" w:element="metricconverter">
        <w:smartTagPr>
          <w:attr w:name="ProductID" w:val="1.01 גרם"/>
        </w:smartTagPr>
        <w:r>
          <w:rPr>
            <w:rFonts w:hint="cs"/>
            <w:rtl/>
          </w:rPr>
          <w:t>1.01 גרם</w:t>
        </w:r>
      </w:smartTag>
      <w:r>
        <w:rPr>
          <w:rFonts w:hint="cs"/>
          <w:rtl/>
        </w:rPr>
        <w:t xml:space="preserve"> (להלן – </w:t>
      </w:r>
      <w:r>
        <w:rPr>
          <w:rFonts w:hint="cs"/>
          <w:b/>
          <w:bCs/>
          <w:rtl/>
        </w:rPr>
        <w:t>האירוע החמישי</w:t>
      </w:r>
      <w:r>
        <w:rPr>
          <w:rFonts w:hint="cs"/>
          <w:rtl/>
        </w:rPr>
        <w:t>).</w:t>
      </w:r>
    </w:p>
    <w:p w14:paraId="2C53F610" w14:textId="77777777" w:rsidR="00FF63A1" w:rsidRDefault="00FF63A1" w:rsidP="00FF63A1">
      <w:pPr>
        <w:numPr>
          <w:ilvl w:val="1"/>
          <w:numId w:val="2"/>
        </w:numPr>
        <w:spacing w:line="360" w:lineRule="auto"/>
        <w:jc w:val="both"/>
      </w:pPr>
      <w:r>
        <w:rPr>
          <w:rFonts w:hint="cs"/>
          <w:b/>
          <w:bCs/>
          <w:rtl/>
        </w:rPr>
        <w:t>תיק צירוף 2056-12-11 בבית משפט לתעבורה פתח-תקווה</w:t>
      </w:r>
      <w:r>
        <w:rPr>
          <w:rFonts w:hint="cs"/>
          <w:rtl/>
        </w:rPr>
        <w:t xml:space="preserve"> – עבירה של נהיגה בזמן פסילה לפי </w:t>
      </w:r>
      <w:hyperlink r:id="rId33" w:history="1">
        <w:r w:rsidR="00C524DF" w:rsidRPr="00C524DF">
          <w:rPr>
            <w:color w:val="0000FF"/>
            <w:u w:val="single"/>
            <w:rtl/>
          </w:rPr>
          <w:t>סעיף 67</w:t>
        </w:r>
      </w:hyperlink>
      <w:r>
        <w:rPr>
          <w:rFonts w:hint="cs"/>
          <w:rtl/>
        </w:rPr>
        <w:t xml:space="preserve"> ל</w:t>
      </w:r>
      <w:hyperlink r:id="rId34" w:history="1">
        <w:r w:rsidR="00491020" w:rsidRPr="00491020">
          <w:rPr>
            <w:color w:val="0000FF"/>
            <w:u w:val="single"/>
            <w:rtl/>
          </w:rPr>
          <w:t>פקודת התעבורה</w:t>
        </w:r>
      </w:hyperlink>
      <w:r>
        <w:rPr>
          <w:rFonts w:hint="cs"/>
          <w:rtl/>
        </w:rPr>
        <w:t xml:space="preserve"> [נוסח חדש], התשכ"א-1961 (להלן-</w:t>
      </w:r>
      <w:r>
        <w:rPr>
          <w:rFonts w:hint="cs"/>
          <w:b/>
          <w:bCs/>
          <w:rtl/>
        </w:rPr>
        <w:t>פקודת התעבורה</w:t>
      </w:r>
      <w:r>
        <w:rPr>
          <w:rFonts w:hint="cs"/>
          <w:rtl/>
        </w:rPr>
        <w:t xml:space="preserve">); עבירה של נהיגה ללא רישיון נהיגה תקף יותר מ-12 חודשים, לפי סעיף </w:t>
      </w:r>
      <w:hyperlink r:id="rId35" w:history="1">
        <w:r w:rsidR="00C524DF" w:rsidRPr="00C524DF">
          <w:rPr>
            <w:color w:val="0000FF"/>
            <w:u w:val="single"/>
            <w:rtl/>
          </w:rPr>
          <w:t>10 (א)</w:t>
        </w:r>
      </w:hyperlink>
      <w:r>
        <w:rPr>
          <w:rFonts w:hint="cs"/>
          <w:rtl/>
        </w:rPr>
        <w:t xml:space="preserve"> לפקודת התעבורה; עבירה של שימוש ברכב ללא פוליסת ביטוח בת תוקף לפי סעיף </w:t>
      </w:r>
      <w:hyperlink r:id="rId36" w:history="1">
        <w:r w:rsidR="00C524DF" w:rsidRPr="00C524DF">
          <w:rPr>
            <w:color w:val="0000FF"/>
            <w:u w:val="single"/>
            <w:rtl/>
          </w:rPr>
          <w:t>2 (א)</w:t>
        </w:r>
      </w:hyperlink>
      <w:r>
        <w:rPr>
          <w:rFonts w:hint="cs"/>
          <w:rtl/>
        </w:rPr>
        <w:t xml:space="preserve"> ל</w:t>
      </w:r>
      <w:hyperlink r:id="rId37" w:history="1">
        <w:r w:rsidR="00491020" w:rsidRPr="00491020">
          <w:rPr>
            <w:color w:val="0000FF"/>
            <w:u w:val="single"/>
            <w:rtl/>
          </w:rPr>
          <w:t>פקודת ביטוח רכב מנועי</w:t>
        </w:r>
      </w:hyperlink>
      <w:r>
        <w:rPr>
          <w:rFonts w:hint="cs"/>
          <w:rtl/>
        </w:rPr>
        <w:t xml:space="preserve"> [נוסח חדש],תש"ל-1970; עבירה של נהיגה בשכרות (סמים) לפי </w:t>
      </w:r>
      <w:hyperlink r:id="rId38" w:history="1">
        <w:r w:rsidR="00C524DF" w:rsidRPr="00C524DF">
          <w:rPr>
            <w:color w:val="0000FF"/>
            <w:u w:val="single"/>
            <w:rtl/>
          </w:rPr>
          <w:t>סעיף 62(3)</w:t>
        </w:r>
      </w:hyperlink>
      <w:r>
        <w:rPr>
          <w:rFonts w:hint="cs"/>
          <w:rtl/>
        </w:rPr>
        <w:t xml:space="preserve"> יחד עם סעיף </w:t>
      </w:r>
      <w:hyperlink r:id="rId39" w:history="1">
        <w:r w:rsidR="00C524DF" w:rsidRPr="00C524DF">
          <w:rPr>
            <w:color w:val="0000FF"/>
            <w:u w:val="single"/>
            <w:rtl/>
          </w:rPr>
          <w:t>64 ב'</w:t>
        </w:r>
      </w:hyperlink>
      <w:r>
        <w:rPr>
          <w:rFonts w:hint="cs"/>
          <w:rtl/>
        </w:rPr>
        <w:t xml:space="preserve"> וסעיף </w:t>
      </w:r>
      <w:hyperlink r:id="rId40" w:history="1">
        <w:r w:rsidR="00C524DF" w:rsidRPr="00C524DF">
          <w:rPr>
            <w:color w:val="0000FF"/>
            <w:u w:val="single"/>
            <w:rtl/>
          </w:rPr>
          <w:t>39 א'</w:t>
        </w:r>
      </w:hyperlink>
      <w:r>
        <w:rPr>
          <w:rFonts w:hint="cs"/>
          <w:rtl/>
        </w:rPr>
        <w:t xml:space="preserve"> לפקודת התעבורה. בהתאם לעובדות, ביום 20.8.10 בשעה 23:00 לערך, נהג הנאשם ברכב פרטי ללא רישיון נהיגה בתוקף, ללא ביטוח תקף ובשכרות, כשבבדיקת שתן נתגלו בגופו ממצאים המעידים על שימוש בהרואין וקוקאין (להלן – </w:t>
      </w:r>
      <w:r>
        <w:rPr>
          <w:rFonts w:hint="cs"/>
          <w:b/>
          <w:bCs/>
          <w:rtl/>
        </w:rPr>
        <w:t>האירוע השישי</w:t>
      </w:r>
      <w:r>
        <w:rPr>
          <w:rFonts w:hint="cs"/>
          <w:rtl/>
        </w:rPr>
        <w:t>).</w:t>
      </w:r>
    </w:p>
    <w:p w14:paraId="2C139124" w14:textId="77777777" w:rsidR="00FF63A1" w:rsidRDefault="00FF63A1" w:rsidP="00FF63A1">
      <w:pPr>
        <w:numPr>
          <w:ilvl w:val="1"/>
          <w:numId w:val="2"/>
        </w:numPr>
        <w:spacing w:line="360" w:lineRule="auto"/>
        <w:jc w:val="both"/>
      </w:pPr>
      <w:r>
        <w:rPr>
          <w:rFonts w:hint="cs"/>
          <w:b/>
          <w:bCs/>
          <w:rtl/>
        </w:rPr>
        <w:t>תיק צירוף 27073-01-12</w:t>
      </w:r>
      <w:r>
        <w:rPr>
          <w:rFonts w:hint="cs"/>
          <w:rtl/>
        </w:rPr>
        <w:t xml:space="preserve"> – עבירה של החזקת סמים שלא לצריכה עצמית לפי </w:t>
      </w:r>
      <w:hyperlink r:id="rId41" w:history="1">
        <w:r w:rsidR="00C524DF" w:rsidRPr="00C524DF">
          <w:rPr>
            <w:color w:val="0000FF"/>
            <w:u w:val="single"/>
            <w:rtl/>
          </w:rPr>
          <w:t>סעיף 7(א)+7(ג)</w:t>
        </w:r>
      </w:hyperlink>
      <w:r>
        <w:rPr>
          <w:rFonts w:hint="cs"/>
          <w:rtl/>
        </w:rPr>
        <w:t xml:space="preserve"> רישא לפקודת הסמים. בהתאם לעובדות, ביום 04.01.2012 בשעה 13:40 לערך, החזיק הנאשם בפי הטבעת בעשר מנות סם מסוג קוקאין במשקל נטו של </w:t>
      </w:r>
      <w:smartTag w:uri="urn:schemas-microsoft-com:office:smarttags" w:element="metricconverter">
        <w:smartTagPr>
          <w:attr w:name="ProductID" w:val="1.8600 גר'"/>
        </w:smartTagPr>
        <w:r>
          <w:rPr>
            <w:rFonts w:hint="cs"/>
            <w:rtl/>
          </w:rPr>
          <w:t>1.8600 גר'</w:t>
        </w:r>
      </w:smartTag>
      <w:r>
        <w:rPr>
          <w:rFonts w:hint="cs"/>
          <w:rtl/>
        </w:rPr>
        <w:t xml:space="preserve"> ובחמש מנות סם מסוג הרואין במשקל נטו של </w:t>
      </w:r>
      <w:smartTag w:uri="urn:schemas-microsoft-com:office:smarttags" w:element="metricconverter">
        <w:smartTagPr>
          <w:attr w:name="ProductID" w:val="2.2984 גרם"/>
        </w:smartTagPr>
        <w:r>
          <w:rPr>
            <w:rFonts w:hint="cs"/>
            <w:rtl/>
          </w:rPr>
          <w:t>2.2984 גרם</w:t>
        </w:r>
      </w:smartTag>
      <w:r>
        <w:rPr>
          <w:rFonts w:hint="cs"/>
          <w:rtl/>
        </w:rPr>
        <w:t xml:space="preserve"> (להלן – </w:t>
      </w:r>
      <w:r>
        <w:rPr>
          <w:rFonts w:hint="cs"/>
          <w:b/>
          <w:bCs/>
          <w:rtl/>
        </w:rPr>
        <w:t>האירוע השביעי</w:t>
      </w:r>
      <w:r>
        <w:rPr>
          <w:rFonts w:hint="cs"/>
          <w:rtl/>
        </w:rPr>
        <w:t>).</w:t>
      </w:r>
    </w:p>
    <w:p w14:paraId="05B3D6F1" w14:textId="77777777" w:rsidR="00FF63A1" w:rsidRDefault="00FF63A1" w:rsidP="00FF63A1">
      <w:pPr>
        <w:numPr>
          <w:ilvl w:val="1"/>
          <w:numId w:val="2"/>
        </w:numPr>
        <w:spacing w:line="360" w:lineRule="auto"/>
        <w:jc w:val="both"/>
      </w:pPr>
      <w:r>
        <w:rPr>
          <w:rFonts w:hint="cs"/>
          <w:b/>
          <w:bCs/>
          <w:rtl/>
        </w:rPr>
        <w:t>תיק צירוף 33842-01-13</w:t>
      </w:r>
      <w:r>
        <w:rPr>
          <w:rFonts w:hint="cs"/>
          <w:rtl/>
        </w:rPr>
        <w:t xml:space="preserve"> – עבירה של סחר בסם מסוכן לפי </w:t>
      </w:r>
      <w:hyperlink r:id="rId42" w:history="1">
        <w:r w:rsidR="00C524DF" w:rsidRPr="00C524DF">
          <w:rPr>
            <w:color w:val="0000FF"/>
            <w:u w:val="single"/>
            <w:rtl/>
          </w:rPr>
          <w:t>סעיף 13</w:t>
        </w:r>
      </w:hyperlink>
      <w:r>
        <w:rPr>
          <w:rFonts w:hint="cs"/>
          <w:rtl/>
        </w:rPr>
        <w:t xml:space="preserve"> לפקודת הסמים. בהתאם לעובדות, ביום 21.11.12 בשעה 14:00 לערך, בתל אביב, מכר הנאשם לסוכן מנת סם מסוכן מסוג קוקאין במשקל נטו של </w:t>
      </w:r>
      <w:smartTag w:uri="urn:schemas-microsoft-com:office:smarttags" w:element="metricconverter">
        <w:smartTagPr>
          <w:attr w:name="ProductID" w:val="0.1498 גרם"/>
        </w:smartTagPr>
        <w:r>
          <w:rPr>
            <w:rFonts w:hint="cs"/>
            <w:rtl/>
          </w:rPr>
          <w:t>0.1498 גרם</w:t>
        </w:r>
      </w:smartTag>
      <w:r>
        <w:rPr>
          <w:rFonts w:hint="cs"/>
          <w:rtl/>
        </w:rPr>
        <w:t xml:space="preserve">, תמורת 200 ₪ (להלן – </w:t>
      </w:r>
      <w:r>
        <w:rPr>
          <w:rFonts w:hint="cs"/>
          <w:b/>
          <w:bCs/>
          <w:rtl/>
        </w:rPr>
        <w:t>האירוע השמיני</w:t>
      </w:r>
      <w:r>
        <w:rPr>
          <w:rFonts w:hint="cs"/>
          <w:rtl/>
        </w:rPr>
        <w:t>).</w:t>
      </w:r>
    </w:p>
    <w:p w14:paraId="5F498C41" w14:textId="77777777" w:rsidR="00FF63A1" w:rsidRDefault="00FF63A1" w:rsidP="00FF63A1">
      <w:pPr>
        <w:numPr>
          <w:ilvl w:val="1"/>
          <w:numId w:val="2"/>
        </w:numPr>
        <w:spacing w:line="360" w:lineRule="auto"/>
        <w:jc w:val="both"/>
      </w:pPr>
      <w:r>
        <w:rPr>
          <w:rFonts w:hint="cs"/>
          <w:b/>
          <w:bCs/>
          <w:rtl/>
        </w:rPr>
        <w:t>תיק צירוף פל"א 96826/11</w:t>
      </w:r>
      <w:r>
        <w:rPr>
          <w:rFonts w:hint="cs"/>
          <w:rtl/>
        </w:rPr>
        <w:t xml:space="preserve"> – עבירה של החזקת סמים לצריכה עצמית, לפי </w:t>
      </w:r>
      <w:hyperlink r:id="rId43" w:history="1">
        <w:r w:rsidR="00C524DF" w:rsidRPr="00C524DF">
          <w:rPr>
            <w:color w:val="0000FF"/>
            <w:u w:val="single"/>
            <w:rtl/>
          </w:rPr>
          <w:t>סעיף 7(א)+7(ג)</w:t>
        </w:r>
      </w:hyperlink>
      <w:r>
        <w:rPr>
          <w:rFonts w:hint="cs"/>
          <w:rtl/>
        </w:rPr>
        <w:t xml:space="preserve"> סיפא לפקודת הסמים. בהתאם לעובדות, ביום 07.03.11 החזיק הנאשם סם מסוכן מסוג קוקאין במשקל 0.1284 לשימוש עצמי (להלן – </w:t>
      </w:r>
      <w:r>
        <w:rPr>
          <w:rFonts w:hint="cs"/>
          <w:b/>
          <w:bCs/>
          <w:rtl/>
        </w:rPr>
        <w:t>האירוע התשיעי</w:t>
      </w:r>
      <w:r>
        <w:rPr>
          <w:rFonts w:hint="cs"/>
          <w:rtl/>
        </w:rPr>
        <w:t>).</w:t>
      </w:r>
    </w:p>
    <w:p w14:paraId="23967600" w14:textId="77777777" w:rsidR="00FF63A1" w:rsidRDefault="00FF63A1" w:rsidP="00FF63A1">
      <w:pPr>
        <w:rPr>
          <w:b/>
          <w:bCs/>
          <w:u w:val="single"/>
          <w:rtl/>
        </w:rPr>
      </w:pPr>
    </w:p>
    <w:p w14:paraId="5E39B66A" w14:textId="77777777" w:rsidR="00FF63A1" w:rsidRDefault="00FF63A1" w:rsidP="00FF63A1">
      <w:pPr>
        <w:numPr>
          <w:ilvl w:val="0"/>
          <w:numId w:val="1"/>
        </w:numPr>
        <w:spacing w:line="360" w:lineRule="auto"/>
        <w:jc w:val="both"/>
        <w:rPr>
          <w:rtl/>
        </w:rPr>
      </w:pPr>
      <w:r>
        <w:rPr>
          <w:rFonts w:hint="cs"/>
          <w:rtl/>
        </w:rPr>
        <w:t xml:space="preserve">ב"כ המאשימה הדגישה את ריבוי העבירות, חומרתן ופגיעתן בציבור ובערכים המוגנים עליהן נועדו להגן. לגישת התובעת, מתחמי הענישה ההולמים את האירועים הראשון עד הרביעי והתשיעי הוא בין מאסר מותנה למספר חודשי מאסר; לגבי האירועים חמישי, שביעי ושמיני מאסר בפועל שמשכו בין 5 לבין 12 חודשי מאסר ולגבי האירוע השישי בין </w:t>
      </w:r>
      <w:r>
        <w:rPr>
          <w:rFonts w:hint="cs"/>
          <w:rtl/>
        </w:rPr>
        <w:lastRenderedPageBreak/>
        <w:t xml:space="preserve">מאסר שניתן לרצותו בדרך של עבודות שירות לבין 3 שנות מאסר. בהינתן המתחמים המוצעים, סבורה התובעת, לאור 5 הרשעותיו הקודמות של הנאשם, שרובן בעבירות סמים (ת/1) והרשעות תעבורה קודמות (ת/2), כי יש לגזור על הנאשם עונש מאסר ממושך מאד והפעלתו במצטבר של מאסר מותנה בן שנה, שהוטל על הנאשם בשנת 2002 בגין עבירת סמים מסוג פשע ואשר הוא בר הפעלה בגין האירוע החמישי (ת/3). עוד עתרה המאשימה להטלת מאסר מותנה, קנס, פסילה לתקופה משמעותית ופסילה מותנית. </w:t>
      </w:r>
    </w:p>
    <w:p w14:paraId="6717E73C" w14:textId="77777777" w:rsidR="00FF63A1" w:rsidRDefault="00FF63A1" w:rsidP="00FF63A1">
      <w:pPr>
        <w:ind w:left="720"/>
        <w:jc w:val="both"/>
      </w:pPr>
    </w:p>
    <w:p w14:paraId="1B0EC3C3" w14:textId="77777777" w:rsidR="00FF63A1" w:rsidRDefault="00FF63A1" w:rsidP="00FF63A1">
      <w:pPr>
        <w:numPr>
          <w:ilvl w:val="0"/>
          <w:numId w:val="1"/>
        </w:numPr>
        <w:spacing w:line="360" w:lineRule="auto"/>
        <w:jc w:val="both"/>
      </w:pPr>
      <w:r>
        <w:rPr>
          <w:rFonts w:hint="cs"/>
          <w:rtl/>
        </w:rPr>
        <w:t>ב"כ הנאשם הדגיש את נסיבותיו האישיות של הנאשם; היותו נעדר משפחה יציבה ותומכת; מצבו הבריאותי המורכב (הוגש אישור רפואי – נ/1); הודייתו ובחירתו "לנקות שולחן"; העובדה כי העבירות בוצעו על רקע שימושו בסמים, הנובע בין השאר ממצבו הבריאותי וכן העובדה כי לא לוו למעשיו של הנאשם עבירות רכוש, המאפיינות מכורים לסמים. לגישת הסנגור, מתחמי הענישה שהציעה התובעת גבוהים ואינם משקפים את מדיניות הענישה הנוהגת. לגבי האירוע השישי, הכולל הרשעה בעבירה של נהיגה בזמן פסילה, נטען כי יש להתחשב בכך שהפסילה הוטלה על הנאשם בשנת 2007, הובאה לידיעת הנאשם בשנת 2009 והעבירה בוצעה בשנת 2010. עוד נטען בהקשר זה, כי המתחם שהציעה המאשימה מתאים לכל היותר למקרה בו ארעה תאונת דרכים, שלא כמו בענייננו. באשר למאסר המותנה בן שנה, טען הסנגור כי מדובר במאסר מותנה שהוטל בשנת 2002, לפני 11 שנים, בגין עבירה משנת 99 ואשר הוא בר הפעלה נוכח הרשעת הנאשם בעבירה משנת 2005, שלגביה הסכימה יחידת התביעות בבית משפט השלום ברמלה לשקול הארכת המאסר המותנה.  בנסיבות אלה, סבורה ההגנה כי יש לגזור עונש כולל של מאסר לתקופה קצרה.</w:t>
      </w:r>
    </w:p>
    <w:p w14:paraId="2078D6F3" w14:textId="77777777" w:rsidR="00FF63A1" w:rsidRDefault="00FF63A1" w:rsidP="00FF63A1">
      <w:pPr>
        <w:jc w:val="both"/>
      </w:pPr>
    </w:p>
    <w:p w14:paraId="56DAEA37" w14:textId="77777777" w:rsidR="00FF63A1" w:rsidRDefault="00FF63A1" w:rsidP="00FF63A1">
      <w:pPr>
        <w:spacing w:line="360" w:lineRule="auto"/>
        <w:ind w:left="1080"/>
        <w:jc w:val="both"/>
        <w:rPr>
          <w:rtl/>
        </w:rPr>
      </w:pPr>
      <w:r>
        <w:rPr>
          <w:rFonts w:hint="cs"/>
          <w:rtl/>
        </w:rPr>
        <w:t xml:space="preserve">הנאשם, בדברו האחרון, הדגיש את מצבו הבריאות המורכב הנובע בין השאר ממעורבותו בתאונות דרכים וירי לעברו, טען כי העבירות בוצעו על רקע השימוש בסמים וציין כי מצוי בהליך של גמילה במסגרת המעצר. </w:t>
      </w:r>
    </w:p>
    <w:p w14:paraId="275813D4" w14:textId="77777777" w:rsidR="00FF63A1" w:rsidRDefault="00FF63A1" w:rsidP="00FF63A1">
      <w:pPr>
        <w:ind w:left="1080"/>
        <w:jc w:val="both"/>
        <w:rPr>
          <w:rtl/>
        </w:rPr>
      </w:pPr>
    </w:p>
    <w:p w14:paraId="78FD694E" w14:textId="77777777" w:rsidR="00FF63A1" w:rsidRDefault="00FF63A1" w:rsidP="00FF63A1">
      <w:pPr>
        <w:ind w:left="1080"/>
        <w:jc w:val="both"/>
        <w:rPr>
          <w:b/>
          <w:bCs/>
          <w:u w:val="single"/>
          <w:rtl/>
        </w:rPr>
      </w:pPr>
      <w:r>
        <w:rPr>
          <w:rFonts w:hint="cs"/>
          <w:b/>
          <w:bCs/>
          <w:u w:val="single"/>
          <w:rtl/>
        </w:rPr>
        <w:t>דיון והכרעה</w:t>
      </w:r>
    </w:p>
    <w:p w14:paraId="2CBDC581" w14:textId="77777777" w:rsidR="00FF63A1" w:rsidRDefault="00FF63A1" w:rsidP="00FF63A1">
      <w:pPr>
        <w:ind w:left="1080"/>
        <w:jc w:val="both"/>
        <w:rPr>
          <w:b/>
          <w:bCs/>
          <w:u w:val="single"/>
          <w:rtl/>
        </w:rPr>
      </w:pPr>
    </w:p>
    <w:p w14:paraId="074EBC8F" w14:textId="77777777" w:rsidR="00FF63A1" w:rsidRDefault="00FF63A1" w:rsidP="00FF63A1">
      <w:pPr>
        <w:numPr>
          <w:ilvl w:val="0"/>
          <w:numId w:val="1"/>
        </w:numPr>
        <w:spacing w:line="360" w:lineRule="auto"/>
        <w:jc w:val="both"/>
        <w:rPr>
          <w:rtl/>
        </w:rPr>
      </w:pPr>
      <w:r>
        <w:rPr>
          <w:rFonts w:hint="cs"/>
          <w:rtl/>
        </w:rPr>
        <w:t>בטרם קביעת העונש המתאים, יש לקבוע, בהתאם לתיקון 113 ל</w:t>
      </w:r>
      <w:hyperlink r:id="rId44" w:history="1">
        <w:r w:rsidR="00491020" w:rsidRPr="00491020">
          <w:rPr>
            <w:color w:val="0000FF"/>
            <w:u w:val="single"/>
            <w:rtl/>
          </w:rPr>
          <w:t>חוק העונשין</w:t>
        </w:r>
      </w:hyperlink>
      <w:r>
        <w:rPr>
          <w:rFonts w:hint="cs"/>
          <w:rtl/>
        </w:rPr>
        <w:t xml:space="preserve">, מתחם עונש הולם לגבי כל אחד מהאירועים בהתאם לעקרון ההלימה ותוך התחשבות במידת הפגיעה בערך החברתי, במדיניות הענישה הנהוגה ובנסיבות הקשורות בביצוע העבירות. בטרם קביעת מתחם ענישה לגבי כל אחד מהאירועים, שרובם עוסקים בעבירות הקשורות בסמים, ראוי להדגיש שני קריטריונים מנחים: </w:t>
      </w:r>
      <w:r>
        <w:rPr>
          <w:rFonts w:hint="cs"/>
          <w:b/>
          <w:bCs/>
          <w:u w:val="single"/>
          <w:rtl/>
        </w:rPr>
        <w:t>ראשית</w:t>
      </w:r>
      <w:r>
        <w:rPr>
          <w:rFonts w:hint="cs"/>
          <w:rtl/>
        </w:rPr>
        <w:t>, מדיניות הענישה בעבירות סמים היא תוצר של הצורך להילחם בנגע הסמים והשלכותיו ההרסניות על החברה בכללותה. בהתאם למדיניות זו, מאז ומעולם ננקטה גישה המבחינה בין אלה המחזיקים בסמים לשימושם העצמי, שאז, בחלק מהמקרים, ניתנת עדיפות לשיקולי שיקום, לבין אלה המחזיקים בסם שלא לשימושם העצמי או אלה הסוחרים בו, שאז ניתנת בכורה לשיקולי הענישה האחרים. במקרים האחרונים, גם מיקומו של העבריין בחוליית הפצת הסמים משליך על מידת הענישה, כאשר לעיתים קרובות, מדובר בחוליה הסופית המספקת סם לדורש בפינת הרחוב. יובהר, כי כל המעורבים בעבירות הסמים פוגעים באותו ערך מוגן שעליו נועדו האיסורים שב</w:t>
      </w:r>
      <w:hyperlink r:id="rId45" w:history="1">
        <w:r w:rsidR="00491020" w:rsidRPr="00491020">
          <w:rPr>
            <w:color w:val="0000FF"/>
            <w:u w:val="single"/>
            <w:rtl/>
          </w:rPr>
          <w:t>פקודת הסמים המסוכנים</w:t>
        </w:r>
      </w:hyperlink>
      <w:r>
        <w:rPr>
          <w:rFonts w:hint="cs"/>
          <w:rtl/>
        </w:rPr>
        <w:t xml:space="preserve"> לשמור, אלא שמידת הפגיעה בו תלויה במידה ניכרת גם במיקומו של העבריין בחוליה ובהתאמה גם בעבירה המיוחסת לו. </w:t>
      </w:r>
      <w:r>
        <w:rPr>
          <w:rFonts w:hint="cs"/>
          <w:b/>
          <w:bCs/>
          <w:u w:val="single"/>
          <w:rtl/>
        </w:rPr>
        <w:t>שנית</w:t>
      </w:r>
      <w:r>
        <w:rPr>
          <w:rFonts w:hint="cs"/>
          <w:rtl/>
        </w:rPr>
        <w:t xml:space="preserve">, נתונים נוספים המשליכים על קביעת מתחם העונש ההולם הם כמות הסם וסוגו, כאשר מקובל כי יש לנקוט במדיניות שונה בין אלה המבצעים עבירות בסמים מסוג הרואין וקוקאין לבין אלה המבצעים עבירות דומות בסם מסוג חשיש או קנבוס. בנוסף, כאשר מדובר בעבירות של סחר בסמים יש חשיבות גם לנסיבות הרכישה ולמיהותו של הרוכש (קטין, בגיר, נרקומן, סוכן משטרתי וכיו"ב). </w:t>
      </w:r>
    </w:p>
    <w:p w14:paraId="72A4737E" w14:textId="77777777" w:rsidR="00FF63A1" w:rsidRDefault="00FF63A1" w:rsidP="00FF63A1">
      <w:pPr>
        <w:ind w:left="720"/>
        <w:jc w:val="both"/>
      </w:pPr>
    </w:p>
    <w:p w14:paraId="29EF95CC" w14:textId="77777777" w:rsidR="00FF63A1" w:rsidRDefault="00FF63A1" w:rsidP="00FF63A1">
      <w:pPr>
        <w:spacing w:line="360" w:lineRule="auto"/>
        <w:ind w:left="1080"/>
        <w:jc w:val="both"/>
      </w:pPr>
      <w:r>
        <w:rPr>
          <w:rFonts w:hint="cs"/>
          <w:rtl/>
        </w:rPr>
        <w:t xml:space="preserve">באשר לאירועים השני עד הרביעי, שעניינם עבירה של הפרת הוראה חוקית, יש לקחת בחשבון כי מידת הפגיעה בערך המוגן נגזרת הן מהעבירה המקורית שבגינה הוטלה המגבלה והן בשל החשש כי עבירות אלה פוגמות במוסד חלופת המעצר - המהווה כלי יעיל ושימושי בהגשמת הוראת המחוקק לבחון השגת תכלית המעצר בדרך שפגיעתה בנאשם חמורה פחות – ועלולות להפכו לאות מתה. </w:t>
      </w:r>
    </w:p>
    <w:p w14:paraId="675271AC" w14:textId="77777777" w:rsidR="00FF63A1" w:rsidRDefault="00FF63A1" w:rsidP="00FF63A1">
      <w:pPr>
        <w:ind w:left="1080"/>
        <w:jc w:val="both"/>
        <w:rPr>
          <w:rtl/>
        </w:rPr>
      </w:pPr>
    </w:p>
    <w:p w14:paraId="60DFC706" w14:textId="77777777" w:rsidR="00FF63A1" w:rsidRDefault="00FF63A1" w:rsidP="00FF63A1">
      <w:pPr>
        <w:spacing w:line="360" w:lineRule="auto"/>
        <w:ind w:left="1080"/>
        <w:jc w:val="both"/>
        <w:rPr>
          <w:rtl/>
        </w:rPr>
      </w:pPr>
      <w:r>
        <w:rPr>
          <w:rFonts w:hint="cs"/>
          <w:rtl/>
        </w:rPr>
        <w:t xml:space="preserve">באשר לאירוע השישי - שבו התמקדו בעיקר ב"כ הצדדים ואשר במסגרתו הורשע הנאשם בעבירות של נהיגה בפסילה, ללא רישיון נהיגה תקף, ללא פוליסת ביטוח וכשבדיקות שתן הצביעו על שימוש בהרואין וקוקאין - יש לקחת בחשבון את הפגיעה בערכים החברתיים שעיקרם הגנה על שלומו ובטחונו של הציבור והמשתמשים בדרך. יודגש, כי נהיגתו של הנאשם, כשהוא תחת השפעת סמים קשים, כונתה לא אחת בפסיקה כ"מכונת מוות נעה" או "פצצה מתקתקת" ודומה כי אין צורך להכביר עוד מילים בהקשר זה. יתרה מכך, מעבר לסיכון, הנובע לא רק מהשכרות כי אם גם מעצם הנהיגה בזמן פסילה וללא רישיון, הרי שאי קיום צווים או פסילה של בית משפט מהווה פגיעה נוספת בערכים מוגנים ובכלל זה בעקרון שלטון החוק. </w:t>
      </w:r>
    </w:p>
    <w:p w14:paraId="03E30E78" w14:textId="77777777" w:rsidR="00FF63A1" w:rsidRDefault="00FF63A1" w:rsidP="00FF63A1">
      <w:pPr>
        <w:ind w:left="1080"/>
        <w:jc w:val="both"/>
        <w:rPr>
          <w:rtl/>
        </w:rPr>
      </w:pPr>
    </w:p>
    <w:p w14:paraId="38AECA8A" w14:textId="77777777" w:rsidR="00FF63A1" w:rsidRDefault="00FF63A1" w:rsidP="00FF63A1">
      <w:pPr>
        <w:numPr>
          <w:ilvl w:val="0"/>
          <w:numId w:val="1"/>
        </w:numPr>
        <w:overflowPunct w:val="0"/>
        <w:autoSpaceDE w:val="0"/>
        <w:autoSpaceDN w:val="0"/>
        <w:adjustRightInd w:val="0"/>
        <w:spacing w:after="120" w:line="360" w:lineRule="auto"/>
        <w:jc w:val="both"/>
        <w:rPr>
          <w:lang w:eastAsia="he-IL"/>
        </w:rPr>
      </w:pPr>
      <w:r>
        <w:rPr>
          <w:rFonts w:hint="cs"/>
          <w:rtl/>
        </w:rPr>
        <w:t>יישום הדברים האמורים ויישום הוראות תיקון 113 ל</w:t>
      </w:r>
      <w:hyperlink r:id="rId46" w:history="1">
        <w:r w:rsidR="00491020" w:rsidRPr="00491020">
          <w:rPr>
            <w:color w:val="0000FF"/>
            <w:u w:val="single"/>
            <w:rtl/>
          </w:rPr>
          <w:t>חוק העונשין</w:t>
        </w:r>
      </w:hyperlink>
      <w:r>
        <w:rPr>
          <w:rFonts w:hint="cs"/>
          <w:rtl/>
        </w:rPr>
        <w:t xml:space="preserve"> הביאוני למסקנה כי מתחמי הענישה ההולמים את האירועים שבגינם הורשע הנאשם בעבירות שיוחסו לו הם כדלקמן:</w:t>
      </w:r>
    </w:p>
    <w:p w14:paraId="249CEBC6" w14:textId="77777777" w:rsidR="00FF63A1" w:rsidRDefault="00FF63A1" w:rsidP="00FF63A1">
      <w:pPr>
        <w:numPr>
          <w:ilvl w:val="0"/>
          <w:numId w:val="3"/>
        </w:numPr>
        <w:spacing w:line="360" w:lineRule="auto"/>
        <w:jc w:val="both"/>
      </w:pPr>
      <w:r>
        <w:rPr>
          <w:rFonts w:hint="cs"/>
          <w:b/>
          <w:bCs/>
          <w:rtl/>
        </w:rPr>
        <w:t>לגבי האירועים הראשון והתשיעי  -</w:t>
      </w:r>
      <w:r>
        <w:rPr>
          <w:rFonts w:hint="cs"/>
          <w:rtl/>
        </w:rPr>
        <w:t xml:space="preserve"> בהתחשב בכך שמדובר בהחזקת סמים לצריכה עצמית ובשים לב לסוג הסם (קוקאין) והכמות המיוחסת לנאשם, סבורני כי הרף התחתון של מתחם העונש ההולם הוא מאסר מותנה ואילו הרף העליון בנוגע לאירוע הראשון הוא שישה חודשי מאסר ולגבי האירוע התשיעי הוא ארבעה חודשי מאסר.</w:t>
      </w:r>
    </w:p>
    <w:p w14:paraId="330DC407" w14:textId="77777777" w:rsidR="00FF63A1" w:rsidRDefault="00FF63A1" w:rsidP="00FF63A1">
      <w:pPr>
        <w:numPr>
          <w:ilvl w:val="0"/>
          <w:numId w:val="3"/>
        </w:numPr>
        <w:spacing w:line="360" w:lineRule="auto"/>
        <w:jc w:val="both"/>
      </w:pPr>
      <w:r>
        <w:rPr>
          <w:rFonts w:hint="cs"/>
          <w:b/>
          <w:bCs/>
          <w:rtl/>
        </w:rPr>
        <w:t>לגבי האירועים החמישי והשביעי  -</w:t>
      </w:r>
      <w:r>
        <w:rPr>
          <w:rFonts w:hint="cs"/>
          <w:rtl/>
        </w:rPr>
        <w:t xml:space="preserve"> עניינם של אירועים אלה בעבירות של החזקת סם שלא לצריכה עצמית, כאשר בשני המקרים מדובר בהחזקת מספר מנות של הרואין (8 ו- 5) ומספר מנות של קוקאין (8 ו- 10). בהינתן כמות הסם וסוגו, סבורני כי מתחם העונש ההולם לגבי כל אחד מהאירועים הוא מאסר שמשכו 5 עד 12 חודשים, כפי שהציעה התובעת. </w:t>
      </w:r>
    </w:p>
    <w:p w14:paraId="322603C1" w14:textId="77777777" w:rsidR="00FF63A1" w:rsidRDefault="00FF63A1" w:rsidP="00FF63A1">
      <w:pPr>
        <w:numPr>
          <w:ilvl w:val="0"/>
          <w:numId w:val="3"/>
        </w:numPr>
        <w:spacing w:line="360" w:lineRule="auto"/>
        <w:jc w:val="both"/>
      </w:pPr>
      <w:r>
        <w:rPr>
          <w:rFonts w:hint="cs"/>
          <w:b/>
          <w:bCs/>
          <w:rtl/>
        </w:rPr>
        <w:t>לגבי האירוע השמיני  -</w:t>
      </w:r>
      <w:r>
        <w:rPr>
          <w:rFonts w:hint="cs"/>
          <w:rtl/>
        </w:rPr>
        <w:t xml:space="preserve"> בהתחשב בכך שמדובר בעבירה של סחר במנת סם מסוג קוקאין לסוכן בסכום של 200 ₪, סבורני כי מתחם העונש ההולם הוא מאסר שמשכו 5 עד 12 חודשים, כפי שהציעה התובעת.</w:t>
      </w:r>
    </w:p>
    <w:p w14:paraId="776ADA54" w14:textId="77777777" w:rsidR="00FF63A1" w:rsidRDefault="00FF63A1" w:rsidP="00FF63A1">
      <w:pPr>
        <w:numPr>
          <w:ilvl w:val="0"/>
          <w:numId w:val="3"/>
        </w:numPr>
        <w:spacing w:line="360" w:lineRule="auto"/>
        <w:jc w:val="both"/>
      </w:pPr>
      <w:r>
        <w:rPr>
          <w:rFonts w:hint="cs"/>
          <w:b/>
          <w:bCs/>
          <w:rtl/>
        </w:rPr>
        <w:t>לגבי האירוע השישי</w:t>
      </w:r>
      <w:r>
        <w:rPr>
          <w:rFonts w:hint="cs"/>
          <w:rtl/>
        </w:rPr>
        <w:t xml:space="preserve"> – בהתחשב בערכים החברתיים, עליהם עמדתי לעיל, ומידת הפגיעה בהם הנלמדת בעיקר ממידת הסיכון בו הועמד הציבור, סבורני כי מתחם העונש ההולם הוא מאסר שמשכו 3 עד 16 חודשים. </w:t>
      </w:r>
    </w:p>
    <w:p w14:paraId="5946B2D6" w14:textId="77777777" w:rsidR="00FF63A1" w:rsidRDefault="00FF63A1" w:rsidP="00FF63A1">
      <w:pPr>
        <w:numPr>
          <w:ilvl w:val="0"/>
          <w:numId w:val="3"/>
        </w:numPr>
        <w:spacing w:line="360" w:lineRule="auto"/>
        <w:jc w:val="both"/>
      </w:pPr>
      <w:r>
        <w:rPr>
          <w:rFonts w:hint="cs"/>
          <w:b/>
          <w:bCs/>
          <w:rtl/>
        </w:rPr>
        <w:t>לגבי אירועים שני עד רביעי –</w:t>
      </w:r>
      <w:r>
        <w:rPr>
          <w:rFonts w:hint="cs"/>
          <w:rtl/>
        </w:rPr>
        <w:t xml:space="preserve"> אירועים אלה מתייחסים לעבירה של הפרת הוראה חוקית שעניינה הפרת מעצר בית. בהתחשב באופי ההפרה ומשכה, סבורני כי מתחם העונש ההולם לגבי כל אחד מהאירועים הוא בין מאסר מותנה לבין 4 חודשי מאסר. </w:t>
      </w:r>
    </w:p>
    <w:p w14:paraId="0847B25B" w14:textId="77777777" w:rsidR="00FF63A1" w:rsidRDefault="00FF63A1" w:rsidP="00FF63A1">
      <w:pPr>
        <w:ind w:left="1080"/>
        <w:jc w:val="both"/>
      </w:pPr>
    </w:p>
    <w:p w14:paraId="41921524" w14:textId="77777777" w:rsidR="00FF63A1" w:rsidRDefault="00FF63A1" w:rsidP="00FF63A1">
      <w:pPr>
        <w:numPr>
          <w:ilvl w:val="0"/>
          <w:numId w:val="1"/>
        </w:numPr>
        <w:overflowPunct w:val="0"/>
        <w:autoSpaceDE w:val="0"/>
        <w:autoSpaceDN w:val="0"/>
        <w:adjustRightInd w:val="0"/>
        <w:spacing w:after="120" w:line="360" w:lineRule="auto"/>
        <w:jc w:val="both"/>
        <w:rPr>
          <w:lang w:eastAsia="he-IL"/>
        </w:rPr>
      </w:pPr>
      <w:r>
        <w:rPr>
          <w:rFonts w:hint="cs"/>
          <w:rtl/>
        </w:rPr>
        <w:t xml:space="preserve">בהינתן מתחמי הענישה האמורים ומאחר ועסקינן באירועים העוסקים כולם בעבירות סמים או עבירות הקשורות במעצרו של הנאשם בקשר לעבירות סמים (הפרת הוראה חוקית), החלטתי לגזור על הנאשם עונש אחד כולל לכל האירועים (ראה </w:t>
      </w:r>
      <w:hyperlink r:id="rId47" w:history="1">
        <w:r w:rsidR="00C524DF" w:rsidRPr="00C524DF">
          <w:rPr>
            <w:color w:val="0000FF"/>
            <w:u w:val="single"/>
            <w:rtl/>
          </w:rPr>
          <w:t>סעיף 40יג(ב))</w:t>
        </w:r>
      </w:hyperlink>
      <w:r>
        <w:rPr>
          <w:rFonts w:hint="cs"/>
          <w:rtl/>
        </w:rPr>
        <w:t xml:space="preserve"> תוך התחשבות בטענות הצדדים ומתן משקל לנסיבות שאינן קשורות בביצוע העבירה (סעיף </w:t>
      </w:r>
      <w:hyperlink r:id="rId48" w:history="1">
        <w:r w:rsidR="00C524DF" w:rsidRPr="00C524DF">
          <w:rPr>
            <w:color w:val="0000FF"/>
            <w:u w:val="single"/>
            <w:rtl/>
          </w:rPr>
          <w:t>40יא</w:t>
        </w:r>
      </w:hyperlink>
      <w:r>
        <w:rPr>
          <w:rFonts w:hint="cs"/>
          <w:rtl/>
        </w:rPr>
        <w:t xml:space="preserve">) ונסיבות נוספות המשליכות על קביעת העונש הכולל (סעיף </w:t>
      </w:r>
      <w:hyperlink r:id="rId49" w:history="1">
        <w:r w:rsidR="00C524DF" w:rsidRPr="00C524DF">
          <w:rPr>
            <w:color w:val="0000FF"/>
            <w:u w:val="single"/>
            <w:rtl/>
          </w:rPr>
          <w:t>40יב</w:t>
        </w:r>
      </w:hyperlink>
      <w:r>
        <w:rPr>
          <w:rFonts w:hint="cs"/>
          <w:rtl/>
        </w:rPr>
        <w:t>), שעיקרן תפורטנה להלן:</w:t>
      </w:r>
    </w:p>
    <w:p w14:paraId="1C41D5E1" w14:textId="77777777" w:rsidR="00FF63A1" w:rsidRDefault="00FF63A1" w:rsidP="00FF63A1">
      <w:pPr>
        <w:numPr>
          <w:ilvl w:val="1"/>
          <w:numId w:val="1"/>
        </w:numPr>
        <w:overflowPunct w:val="0"/>
        <w:autoSpaceDE w:val="0"/>
        <w:autoSpaceDN w:val="0"/>
        <w:adjustRightInd w:val="0"/>
        <w:spacing w:after="120" w:line="360" w:lineRule="auto"/>
        <w:jc w:val="both"/>
        <w:rPr>
          <w:lang w:eastAsia="he-IL"/>
        </w:rPr>
      </w:pPr>
      <w:r>
        <w:rPr>
          <w:rFonts w:hint="cs"/>
          <w:b/>
          <w:bCs/>
          <w:rtl/>
          <w:lang w:eastAsia="he-IL"/>
        </w:rPr>
        <w:t>הודיית הנאשם וצירוף התיקים</w:t>
      </w:r>
      <w:r>
        <w:rPr>
          <w:rFonts w:hint="cs"/>
          <w:rtl/>
          <w:lang w:eastAsia="he-IL"/>
        </w:rPr>
        <w:t xml:space="preserve"> –הודיית הנאשם ובחירתו "לנקות שולחן" ולצרף את כל התיקים התלויים נגדו מעידות על נטילת אחריות, שיש בה כדי להשליך ולהקל באופן ניכר על קביעת העונש הכולל. ניקוי השולחן מצביע לכל הפחות על תחילתו של שינוי ויש בו כדי לחזק את טענת הסנגור כי הנאשם עייף מהחיים בשוליים ופניו לשיקום. </w:t>
      </w:r>
    </w:p>
    <w:p w14:paraId="24B6DD60" w14:textId="77777777" w:rsidR="00FF63A1" w:rsidRDefault="00FF63A1" w:rsidP="00FF63A1">
      <w:pPr>
        <w:numPr>
          <w:ilvl w:val="1"/>
          <w:numId w:val="1"/>
        </w:numPr>
        <w:overflowPunct w:val="0"/>
        <w:autoSpaceDE w:val="0"/>
        <w:autoSpaceDN w:val="0"/>
        <w:adjustRightInd w:val="0"/>
        <w:spacing w:after="120" w:line="360" w:lineRule="auto"/>
        <w:jc w:val="both"/>
        <w:rPr>
          <w:lang w:eastAsia="he-IL"/>
        </w:rPr>
      </w:pPr>
      <w:r>
        <w:rPr>
          <w:rFonts w:hint="cs"/>
          <w:b/>
          <w:bCs/>
          <w:rtl/>
          <w:lang w:eastAsia="he-IL"/>
        </w:rPr>
        <w:t>עבר פלילי</w:t>
      </w:r>
      <w:r>
        <w:rPr>
          <w:rFonts w:hint="cs"/>
          <w:rtl/>
          <w:lang w:eastAsia="he-IL"/>
        </w:rPr>
        <w:t xml:space="preserve"> – </w:t>
      </w:r>
      <w:r>
        <w:rPr>
          <w:rFonts w:hint="cs"/>
          <w:rtl/>
        </w:rPr>
        <w:t xml:space="preserve">לחובת הנאשם 5 הרשעות פליליות קודמות (ת/1), כאשר האחרונה שבהן היא בעבירה משנת 2007 שעניינה החזקת סמים לצריכה עצמית והראשונות (הרשעה 4 ו- 5) מתייחסות בין השאר לעבירות סמים, כולל סחר והחזקה שלא לצריכה עצמית, שביצע הנאשם בשנים 1999 עד 2002. יתר על כן, הנאשם ריצה בעברו מאסר אחד למשך שנה בשנת 2002 בגין עבירות הסמים. </w:t>
      </w:r>
    </w:p>
    <w:p w14:paraId="16576E0A" w14:textId="77777777" w:rsidR="00FF63A1" w:rsidRDefault="00FF63A1" w:rsidP="00FF63A1">
      <w:pPr>
        <w:overflowPunct w:val="0"/>
        <w:autoSpaceDE w:val="0"/>
        <w:autoSpaceDN w:val="0"/>
        <w:adjustRightInd w:val="0"/>
        <w:spacing w:after="120" w:line="360" w:lineRule="auto"/>
        <w:ind w:left="1800"/>
        <w:jc w:val="both"/>
        <w:rPr>
          <w:lang w:eastAsia="he-IL"/>
        </w:rPr>
      </w:pPr>
      <w:r>
        <w:rPr>
          <w:rFonts w:hint="cs"/>
          <w:rtl/>
        </w:rPr>
        <w:t>אכן, כפי שנטען על-ידי התביעה, עברו הפלילי של הנאשם פועל לחובתו. עם זאת, כפי</w:t>
      </w:r>
      <w:r>
        <w:rPr>
          <w:rFonts w:hint="cs"/>
          <w:rtl/>
          <w:lang w:eastAsia="he-IL"/>
        </w:rPr>
        <w:t xml:space="preserve"> שטענה ההגנה וכפי שניתן ללמוד מהרישום הפלילי, הנאשם הוא בעיקר עבריין בתחום הסמים, על רקע התמכרותו, ואין לחובתו הרשעות בעבירות רכוש, המאפיינות לעיתים עבריינים דוגמת הנאשם. בנסיבות אלה, יש ממש בטענת ההגנה כי נתון זה הוא בעל משקל בעת קביעת מידת ההשפעה של העבר הפלילי על קביעת על העונש הכולל.</w:t>
      </w:r>
    </w:p>
    <w:p w14:paraId="33253805" w14:textId="77777777" w:rsidR="00FF63A1" w:rsidRDefault="00FF63A1" w:rsidP="00FF63A1">
      <w:pPr>
        <w:overflowPunct w:val="0"/>
        <w:autoSpaceDE w:val="0"/>
        <w:autoSpaceDN w:val="0"/>
        <w:adjustRightInd w:val="0"/>
        <w:spacing w:after="120" w:line="360" w:lineRule="auto"/>
        <w:ind w:left="1800"/>
        <w:jc w:val="both"/>
        <w:rPr>
          <w:rtl/>
          <w:lang w:eastAsia="he-IL"/>
        </w:rPr>
      </w:pPr>
      <w:r>
        <w:rPr>
          <w:rFonts w:hint="cs"/>
          <w:rtl/>
          <w:lang w:eastAsia="he-IL"/>
        </w:rPr>
        <w:t xml:space="preserve">נתון נוסף המשליך על קביעת העונש הכולל הוא - לאור הרשעתו של הנאשם בעבירות נשוא האירוע השישי - גיליון הרשעותיו הקודמות בתחום התעבורה (ת/2). בהקשר זה יצוין כי לחובת הנאשם 24 הרשעות שרובן בעבירות טכניות, אלא שיש לקחת בחשבון כי בשנת 2009 הורשע הנאשם בעבירות של נהיגה בהיותו שיכור ובקלות ראש (הרשעה מספר 18), דבר המלמד כי האירוע השישי אינו הפעם הראשונה בה נהג הנאשם בהיותו שיכור, ומחזק את ההתרשמות הכוללת כי חוקי התעבורה או ביטחונם של המשתמשים בדרך אינם נר לרגליו. נתונים אלה רלבנטיים גם בכל הנוגע לרכיב הפסילה שיש להשית על הנאשם ומשכה. </w:t>
      </w:r>
    </w:p>
    <w:p w14:paraId="35E2EF1C" w14:textId="77777777" w:rsidR="00FF63A1" w:rsidRDefault="00FF63A1" w:rsidP="00FF63A1">
      <w:pPr>
        <w:numPr>
          <w:ilvl w:val="1"/>
          <w:numId w:val="1"/>
        </w:numPr>
        <w:overflowPunct w:val="0"/>
        <w:autoSpaceDE w:val="0"/>
        <w:autoSpaceDN w:val="0"/>
        <w:adjustRightInd w:val="0"/>
        <w:spacing w:after="120" w:line="360" w:lineRule="auto"/>
        <w:jc w:val="both"/>
        <w:rPr>
          <w:rtl/>
          <w:lang w:eastAsia="he-IL"/>
        </w:rPr>
      </w:pPr>
      <w:r>
        <w:rPr>
          <w:rFonts w:hint="cs"/>
          <w:b/>
          <w:bCs/>
          <w:rtl/>
        </w:rPr>
        <w:t>נסיבות אישיות ומצב בריאותי</w:t>
      </w:r>
      <w:r>
        <w:rPr>
          <w:rFonts w:hint="cs"/>
          <w:rtl/>
        </w:rPr>
        <w:t xml:space="preserve"> – כפי שניתן ללמוד מטיעוני ההגנה, מדברי הנאשם ומהמסמך הרפואי שהגיש הסנגור (נ/1), מדובר בנאשם צעיר יחסית, כבן 26, הסובל מבעיות בריאותיות (סכרת, פלטינות ושברים ברגל ופגיעות בראש), ללא משפחה יציבה ותומכת, שנסיבות חייו אינן קלות, לרבות התמכרות ארוכת שנים וניסיונות גמילה כושלים. נסיבות שכאלה, הן ללא ספק בעלות משקל בעת קביעת העונש המתאים הכולל. </w:t>
      </w:r>
    </w:p>
    <w:p w14:paraId="5DFBD019" w14:textId="77777777" w:rsidR="00FF63A1" w:rsidRDefault="00FF63A1" w:rsidP="00FF63A1">
      <w:pPr>
        <w:numPr>
          <w:ilvl w:val="1"/>
          <w:numId w:val="1"/>
        </w:numPr>
        <w:overflowPunct w:val="0"/>
        <w:autoSpaceDE w:val="0"/>
        <w:autoSpaceDN w:val="0"/>
        <w:adjustRightInd w:val="0"/>
        <w:spacing w:after="120" w:line="360" w:lineRule="auto"/>
        <w:jc w:val="both"/>
        <w:rPr>
          <w:lang w:eastAsia="he-IL"/>
        </w:rPr>
      </w:pPr>
      <w:r>
        <w:rPr>
          <w:rFonts w:hint="cs"/>
          <w:b/>
          <w:bCs/>
          <w:rtl/>
          <w:lang w:eastAsia="he-IL"/>
        </w:rPr>
        <w:t xml:space="preserve"> ריבוי העבירות</w:t>
      </w:r>
      <w:r>
        <w:rPr>
          <w:rFonts w:hint="cs"/>
          <w:rtl/>
          <w:lang w:eastAsia="he-IL"/>
        </w:rPr>
        <w:t>– ריבוי האירועים והעבירות במסגרתם הוא נתון בעל משקל בעת גזירת הדין וקביעת העונש כולל אחד בגין כל העבירות גם יחד. עם זאת, בצדק טען עו"ד קליין כי יש לקרב מבט לכל אחד מהאירועים, כפי שגם מצווה תיקון 113 במסגרת ההוראה לקבוע מתחם נפרד לכל אירוע,  וליתן לו את המשקל המתאים בעת קביעת העונש הכולל, לרבות בהתאם למועד בו ארע.</w:t>
      </w:r>
    </w:p>
    <w:p w14:paraId="206B4180" w14:textId="77777777" w:rsidR="00FF63A1" w:rsidRDefault="00FF63A1" w:rsidP="00FF63A1">
      <w:pPr>
        <w:jc w:val="both"/>
      </w:pPr>
    </w:p>
    <w:p w14:paraId="4DBC8CFD" w14:textId="77777777" w:rsidR="00FF63A1" w:rsidRDefault="00FF63A1" w:rsidP="00FF63A1">
      <w:pPr>
        <w:numPr>
          <w:ilvl w:val="0"/>
          <w:numId w:val="1"/>
        </w:numPr>
        <w:spacing w:line="360" w:lineRule="auto"/>
        <w:jc w:val="both"/>
        <w:rPr>
          <w:rtl/>
        </w:rPr>
      </w:pPr>
      <w:r>
        <w:rPr>
          <w:rFonts w:hint="cs"/>
          <w:b/>
          <w:bCs/>
          <w:rtl/>
        </w:rPr>
        <w:t xml:space="preserve">באשר לשאלת הפעלתו של המאסר המותנה </w:t>
      </w:r>
      <w:r>
        <w:rPr>
          <w:rFonts w:hint="cs"/>
          <w:rtl/>
        </w:rPr>
        <w:t xml:space="preserve"> – מקובלת עלי עמדת הסנגור לפיה העובדה שמדובר במאסר מותנה בן שנה, שהוטל על הנאשם על-ידי בית המשפט לנוער בשנת 2002 בקשר לעבירה משנת 99 (כאשר הנאשם היה כבן 17), שהוא בר הפעלה בגין אירוע אחד בלבד משנת 2005, שעניינו החזקת סם שלא לצריכה עצמית (אירוע חמישי) - מצדיקה חפיפה משמעותית בעת הפעלתו. עם זאת, יש לזכור כי הנאשם נותן כעת את הדין בגין שורה של עבירות שבוצעו עד לעת האחרונה, כך שמידת החפיפה נגזרת אף מנתון זה. </w:t>
      </w:r>
    </w:p>
    <w:p w14:paraId="5579964F" w14:textId="77777777" w:rsidR="00FF63A1" w:rsidRDefault="00FF63A1" w:rsidP="00FF63A1">
      <w:pPr>
        <w:bidi w:val="0"/>
        <w:rPr>
          <w:rtl/>
        </w:rPr>
      </w:pPr>
      <w:r>
        <w:rPr>
          <w:rtl/>
        </w:rPr>
        <w:br w:type="page"/>
      </w:r>
    </w:p>
    <w:p w14:paraId="34882AB8" w14:textId="77777777" w:rsidR="00FF63A1" w:rsidRDefault="00FF63A1" w:rsidP="00FF63A1">
      <w:pPr>
        <w:numPr>
          <w:ilvl w:val="0"/>
          <w:numId w:val="1"/>
        </w:numPr>
        <w:spacing w:line="360" w:lineRule="auto"/>
        <w:jc w:val="both"/>
        <w:rPr>
          <w:rtl/>
        </w:rPr>
      </w:pPr>
      <w:r>
        <w:rPr>
          <w:rFonts w:hint="cs"/>
          <w:rtl/>
        </w:rPr>
        <w:t>אשר על כן, החלטתי להטיל על הנאשם את העונשים הבאים:</w:t>
      </w:r>
    </w:p>
    <w:p w14:paraId="66DB9C66" w14:textId="77777777" w:rsidR="00FF63A1" w:rsidRDefault="00FF63A1" w:rsidP="00FF63A1">
      <w:pPr>
        <w:jc w:val="both"/>
      </w:pPr>
    </w:p>
    <w:p w14:paraId="120BE0CE" w14:textId="77777777" w:rsidR="00FF63A1" w:rsidRDefault="00FF63A1" w:rsidP="00FF63A1">
      <w:pPr>
        <w:numPr>
          <w:ilvl w:val="1"/>
          <w:numId w:val="1"/>
        </w:numPr>
        <w:spacing w:line="360" w:lineRule="auto"/>
        <w:jc w:val="both"/>
        <w:rPr>
          <w:rtl/>
        </w:rPr>
      </w:pPr>
      <w:r>
        <w:rPr>
          <w:rFonts w:hint="cs"/>
          <w:rtl/>
        </w:rPr>
        <w:t>מאסר בפועל למשך 17 חודשים.</w:t>
      </w:r>
    </w:p>
    <w:p w14:paraId="6CBBF9F4" w14:textId="77777777" w:rsidR="00FF63A1" w:rsidRDefault="00FF63A1" w:rsidP="00FF63A1">
      <w:pPr>
        <w:numPr>
          <w:ilvl w:val="1"/>
          <w:numId w:val="1"/>
        </w:numPr>
        <w:spacing w:line="360" w:lineRule="auto"/>
        <w:jc w:val="both"/>
        <w:rPr>
          <w:b/>
          <w:bCs/>
        </w:rPr>
      </w:pPr>
      <w:r>
        <w:rPr>
          <w:rFonts w:hint="cs"/>
          <w:rtl/>
        </w:rPr>
        <w:t xml:space="preserve">הפעלת המאסר המותנה בן שנה שהוטל על הנאשם ביום 31.12.02 במסגרת תיק 729/99 בבית משפט לנוער רמלה, כאשר 4 חודשים במצטבר למאסר שהוטל, </w:t>
      </w:r>
      <w:r>
        <w:rPr>
          <w:rFonts w:hint="cs"/>
          <w:b/>
          <w:bCs/>
          <w:rtl/>
        </w:rPr>
        <w:t xml:space="preserve">כך שהנאשם ירצה בסך הכל עונש מאסר בפועל למשך 21 חודשים, החל מיום מעצרו ביום 30/11/12. מתקופה זו ינוכו גם ימי מעצרו כדלקמן: 16/06/05 </w:t>
      </w:r>
      <w:r>
        <w:rPr>
          <w:b/>
          <w:bCs/>
          <w:rtl/>
        </w:rPr>
        <w:t>–</w:t>
      </w:r>
      <w:r>
        <w:rPr>
          <w:rFonts w:hint="cs"/>
          <w:b/>
          <w:bCs/>
          <w:rtl/>
        </w:rPr>
        <w:t xml:space="preserve"> 11/07/05; 05/05/09 </w:t>
      </w:r>
      <w:r>
        <w:rPr>
          <w:b/>
          <w:bCs/>
          <w:rtl/>
        </w:rPr>
        <w:t>–</w:t>
      </w:r>
      <w:r>
        <w:rPr>
          <w:rFonts w:hint="cs"/>
          <w:b/>
          <w:bCs/>
          <w:rtl/>
        </w:rPr>
        <w:t xml:space="preserve"> 07/05/09; 05/05/11 </w:t>
      </w:r>
      <w:r>
        <w:rPr>
          <w:b/>
          <w:bCs/>
          <w:rtl/>
        </w:rPr>
        <w:t>–</w:t>
      </w:r>
      <w:r>
        <w:rPr>
          <w:rFonts w:hint="cs"/>
          <w:b/>
          <w:bCs/>
          <w:rtl/>
        </w:rPr>
        <w:t xml:space="preserve"> 09/05/11; 05/01/12 </w:t>
      </w:r>
      <w:r>
        <w:rPr>
          <w:b/>
          <w:bCs/>
          <w:rtl/>
        </w:rPr>
        <w:t>–</w:t>
      </w:r>
      <w:r>
        <w:rPr>
          <w:rFonts w:hint="cs"/>
          <w:b/>
          <w:bCs/>
          <w:rtl/>
        </w:rPr>
        <w:t xml:space="preserve"> 10/01/12. </w:t>
      </w:r>
    </w:p>
    <w:p w14:paraId="0270EB8C" w14:textId="77777777" w:rsidR="00FF63A1" w:rsidRDefault="00FF63A1" w:rsidP="00FF63A1">
      <w:pPr>
        <w:numPr>
          <w:ilvl w:val="1"/>
          <w:numId w:val="1"/>
        </w:numPr>
        <w:spacing w:line="360" w:lineRule="auto"/>
        <w:jc w:val="both"/>
      </w:pPr>
      <w:r>
        <w:rPr>
          <w:rFonts w:hint="cs"/>
          <w:rtl/>
        </w:rPr>
        <w:t xml:space="preserve">7 חודשי מאסר על תנאי למשך 3 שנים מיום שחרורו מהכלא שלא לעבור עבירה לפי </w:t>
      </w:r>
      <w:hyperlink r:id="rId50" w:history="1">
        <w:r w:rsidR="00491020" w:rsidRPr="00491020">
          <w:rPr>
            <w:color w:val="0000FF"/>
            <w:u w:val="single"/>
            <w:rtl/>
          </w:rPr>
          <w:t>פקודת הסמים המסוכנים</w:t>
        </w:r>
      </w:hyperlink>
      <w:r>
        <w:rPr>
          <w:rFonts w:hint="cs"/>
          <w:rtl/>
        </w:rPr>
        <w:t xml:space="preserve"> מסוג פשע. </w:t>
      </w:r>
    </w:p>
    <w:p w14:paraId="41090E89" w14:textId="77777777" w:rsidR="00FF63A1" w:rsidRDefault="00FF63A1" w:rsidP="00FF63A1">
      <w:pPr>
        <w:numPr>
          <w:ilvl w:val="1"/>
          <w:numId w:val="1"/>
        </w:numPr>
        <w:spacing w:line="360" w:lineRule="auto"/>
        <w:jc w:val="both"/>
      </w:pPr>
      <w:r>
        <w:rPr>
          <w:rFonts w:hint="cs"/>
          <w:rtl/>
        </w:rPr>
        <w:t xml:space="preserve">4 חודשי מאסר על תנאי למשך 3 שנים מיום שחרורו מהכלא שלא לעבור עבירה לפי </w:t>
      </w:r>
      <w:hyperlink r:id="rId51" w:history="1">
        <w:r w:rsidR="00491020" w:rsidRPr="00491020">
          <w:rPr>
            <w:color w:val="0000FF"/>
            <w:u w:val="single"/>
            <w:rtl/>
          </w:rPr>
          <w:t>פקודת הסמים המסוכנים</w:t>
        </w:r>
      </w:hyperlink>
      <w:r>
        <w:rPr>
          <w:rFonts w:hint="cs"/>
          <w:rtl/>
        </w:rPr>
        <w:t xml:space="preserve"> מסוג עוון או עבירה של נהיגה בפסילה או נהיגה בשכרות או הפרת הוראה חוקית. </w:t>
      </w:r>
    </w:p>
    <w:p w14:paraId="137F6BDA" w14:textId="77777777" w:rsidR="00FF63A1" w:rsidRDefault="00FF63A1" w:rsidP="00FF63A1">
      <w:pPr>
        <w:numPr>
          <w:ilvl w:val="1"/>
          <w:numId w:val="1"/>
        </w:numPr>
        <w:spacing w:line="360" w:lineRule="auto"/>
        <w:jc w:val="both"/>
      </w:pPr>
      <w:r>
        <w:rPr>
          <w:rFonts w:hint="cs"/>
          <w:rtl/>
        </w:rPr>
        <w:t xml:space="preserve">30 חודשי פסילת רישיון נהיגה בפועל.  </w:t>
      </w:r>
    </w:p>
    <w:p w14:paraId="1A5938A7" w14:textId="77777777" w:rsidR="00FF63A1" w:rsidRDefault="00FF63A1" w:rsidP="00FF63A1">
      <w:pPr>
        <w:ind w:left="1440"/>
        <w:jc w:val="both"/>
      </w:pPr>
    </w:p>
    <w:p w14:paraId="6BDF29D2" w14:textId="77777777" w:rsidR="00FF63A1" w:rsidRDefault="00FF63A1" w:rsidP="00FF63A1">
      <w:pPr>
        <w:numPr>
          <w:ilvl w:val="0"/>
          <w:numId w:val="1"/>
        </w:numPr>
        <w:jc w:val="both"/>
      </w:pPr>
      <w:r>
        <w:rPr>
          <w:rFonts w:hint="cs"/>
          <w:rtl/>
        </w:rPr>
        <w:t>ניתן צו כללי למוצגם בהתאם להחלטת קצין ממונה.</w:t>
      </w:r>
    </w:p>
    <w:p w14:paraId="6B543E3E" w14:textId="77777777" w:rsidR="00FF63A1" w:rsidRDefault="00FF63A1" w:rsidP="00FF63A1">
      <w:pPr>
        <w:ind w:left="720"/>
        <w:jc w:val="both"/>
      </w:pPr>
    </w:p>
    <w:p w14:paraId="19E4D287" w14:textId="77777777" w:rsidR="00FF63A1" w:rsidRDefault="00FF63A1" w:rsidP="00FF63A1">
      <w:pPr>
        <w:spacing w:line="360" w:lineRule="auto"/>
        <w:ind w:left="720"/>
        <w:jc w:val="both"/>
        <w:rPr>
          <w:b/>
          <w:bCs/>
        </w:rPr>
      </w:pPr>
      <w:r>
        <w:rPr>
          <w:rFonts w:hint="cs"/>
          <w:b/>
          <w:bCs/>
          <w:rtl/>
        </w:rPr>
        <w:t xml:space="preserve">זכות ערעור לבית משפט המחוזי בתוך 45 ימים מהיום. </w:t>
      </w:r>
    </w:p>
    <w:p w14:paraId="7A6D3E36" w14:textId="77777777" w:rsidR="00FF63A1" w:rsidRDefault="00FF63A1" w:rsidP="00FF63A1">
      <w:pPr>
        <w:spacing w:line="360" w:lineRule="auto"/>
        <w:jc w:val="both"/>
        <w:rPr>
          <w:rFonts w:ascii="Arial" w:hAnsi="Arial"/>
          <w:sz w:val="6"/>
          <w:szCs w:val="6"/>
        </w:rPr>
      </w:pPr>
      <w:r>
        <w:rPr>
          <w:rFonts w:ascii="Arial" w:hAnsi="Arial"/>
          <w:sz w:val="6"/>
          <w:szCs w:val="6"/>
          <w:rtl/>
        </w:rPr>
        <w:t>&lt;#3#&gt;</w:t>
      </w:r>
    </w:p>
    <w:p w14:paraId="4BF88E29" w14:textId="77777777" w:rsidR="00FF63A1" w:rsidRDefault="00FF63A1" w:rsidP="00FF63A1">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61375" w14:paraId="24A9BA1B" w14:textId="77777777" w:rsidTr="00FF63A1">
        <w:trPr>
          <w:trHeight w:val="364"/>
          <w:jc w:val="right"/>
        </w:trPr>
        <w:tc>
          <w:tcPr>
            <w:tcW w:w="3708" w:type="dxa"/>
            <w:shd w:val="clear" w:color="auto" w:fill="auto"/>
          </w:tcPr>
          <w:p w14:paraId="19728E24" w14:textId="77777777" w:rsidR="00FF63A1" w:rsidRDefault="00491020" w:rsidP="00FF63A1">
            <w:pPr>
              <w:jc w:val="center"/>
            </w:pPr>
            <w:r>
              <w:rPr>
                <w:b/>
                <w:bCs/>
                <w:rtl/>
              </w:rPr>
              <w:t xml:space="preserve">ניתנה והודעה היום ג' סיון תשע"ג, 12/05/2013 במעמד הנוכחים. </w:t>
            </w:r>
            <w:r w:rsidR="00FF63A1">
              <w:rPr>
                <w:rtl/>
              </w:rPr>
              <w:t xml:space="preserve">     </w:t>
            </w:r>
          </w:p>
          <w:p w14:paraId="5AC3CD59" w14:textId="77777777" w:rsidR="00FF63A1" w:rsidRDefault="00FF63A1" w:rsidP="00FF63A1">
            <w:pPr>
              <w:jc w:val="center"/>
              <w:rPr>
                <w:rtl/>
              </w:rPr>
            </w:pPr>
          </w:p>
        </w:tc>
      </w:tr>
      <w:tr w:rsidR="00F61375" w14:paraId="4EED57B6" w14:textId="77777777" w:rsidTr="00FF63A1">
        <w:trPr>
          <w:trHeight w:val="415"/>
          <w:jc w:val="right"/>
        </w:trPr>
        <w:tc>
          <w:tcPr>
            <w:tcW w:w="3708" w:type="dxa"/>
            <w:shd w:val="clear" w:color="auto" w:fill="auto"/>
          </w:tcPr>
          <w:p w14:paraId="1E55716E" w14:textId="77777777" w:rsidR="00FF63A1" w:rsidRPr="00FF63A1" w:rsidRDefault="00FF63A1" w:rsidP="00FF63A1">
            <w:pPr>
              <w:jc w:val="center"/>
              <w:rPr>
                <w:b/>
                <w:bCs/>
                <w:rtl/>
              </w:rPr>
            </w:pPr>
            <w:r w:rsidRPr="00FF63A1">
              <w:rPr>
                <w:b/>
                <w:bCs/>
                <w:rtl/>
              </w:rPr>
              <w:t>צחי</w:t>
            </w:r>
            <w:r w:rsidRPr="00FF63A1">
              <w:rPr>
                <w:rFonts w:hint="cs"/>
                <w:b/>
                <w:bCs/>
                <w:rtl/>
              </w:rPr>
              <w:t xml:space="preserve"> </w:t>
            </w:r>
            <w:r w:rsidRPr="00FF63A1">
              <w:rPr>
                <w:b/>
                <w:bCs/>
                <w:rtl/>
              </w:rPr>
              <w:t>עוזיאל</w:t>
            </w:r>
            <w:r w:rsidRPr="00FF63A1">
              <w:rPr>
                <w:rFonts w:hint="cs"/>
                <w:b/>
                <w:bCs/>
                <w:rtl/>
              </w:rPr>
              <w:t xml:space="preserve">, </w:t>
            </w:r>
            <w:r w:rsidRPr="00FF63A1">
              <w:rPr>
                <w:b/>
                <w:bCs/>
                <w:rtl/>
              </w:rPr>
              <w:t>שופט</w:t>
            </w:r>
          </w:p>
        </w:tc>
      </w:tr>
    </w:tbl>
    <w:p w14:paraId="024AB74A" w14:textId="77777777" w:rsidR="00FF63A1" w:rsidRDefault="00FF63A1" w:rsidP="00FF63A1">
      <w:pPr>
        <w:jc w:val="right"/>
        <w:rPr>
          <w:rtl/>
        </w:rPr>
      </w:pPr>
    </w:p>
    <w:p w14:paraId="07664104" w14:textId="77777777" w:rsidR="00FF63A1" w:rsidRDefault="00FF63A1" w:rsidP="00FF63A1">
      <w:pPr>
        <w:jc w:val="center"/>
        <w:rPr>
          <w:rtl/>
        </w:rPr>
      </w:pPr>
    </w:p>
    <w:p w14:paraId="78D8F398" w14:textId="77777777" w:rsidR="00FF63A1" w:rsidRPr="00491020" w:rsidRDefault="00491020" w:rsidP="00FF63A1">
      <w:pPr>
        <w:spacing w:line="360" w:lineRule="auto"/>
        <w:jc w:val="center"/>
        <w:rPr>
          <w:color w:val="FFFFFF"/>
          <w:sz w:val="2"/>
          <w:szCs w:val="2"/>
          <w:rtl/>
        </w:rPr>
      </w:pPr>
      <w:r w:rsidRPr="00491020">
        <w:rPr>
          <w:color w:val="FFFFFF"/>
          <w:sz w:val="2"/>
          <w:szCs w:val="2"/>
          <w:rtl/>
        </w:rPr>
        <w:t>5129371</w:t>
      </w:r>
    </w:p>
    <w:p w14:paraId="36060772" w14:textId="77777777" w:rsidR="00FF63A1" w:rsidRPr="00491020" w:rsidRDefault="00491020" w:rsidP="00FF63A1">
      <w:pPr>
        <w:spacing w:line="360" w:lineRule="auto"/>
        <w:jc w:val="both"/>
        <w:rPr>
          <w:color w:val="FFFFFF"/>
          <w:sz w:val="2"/>
          <w:szCs w:val="2"/>
        </w:rPr>
      </w:pPr>
      <w:r w:rsidRPr="00491020">
        <w:rPr>
          <w:color w:val="FFFFFF"/>
          <w:sz w:val="2"/>
          <w:szCs w:val="2"/>
          <w:rtl/>
        </w:rPr>
        <w:t>54678313</w:t>
      </w:r>
      <w:r w:rsidR="00FF63A1" w:rsidRPr="00491020">
        <w:rPr>
          <w:color w:val="FFFFFF"/>
          <w:sz w:val="2"/>
          <w:szCs w:val="2"/>
          <w:rtl/>
        </w:rPr>
        <w:t xml:space="preserve"> </w:t>
      </w:r>
    </w:p>
    <w:p w14:paraId="20586713" w14:textId="77777777" w:rsidR="00FF63A1" w:rsidRDefault="00FF63A1" w:rsidP="00FF63A1">
      <w:pPr>
        <w:spacing w:line="360" w:lineRule="auto"/>
        <w:jc w:val="center"/>
        <w:rPr>
          <w:rtl/>
        </w:rPr>
      </w:pPr>
    </w:p>
    <w:p w14:paraId="7A770264" w14:textId="77777777" w:rsidR="00FF63A1" w:rsidRPr="0007175B" w:rsidRDefault="00FF63A1" w:rsidP="00FF63A1">
      <w:pPr>
        <w:spacing w:line="360" w:lineRule="auto"/>
        <w:jc w:val="both"/>
        <w:rPr>
          <w:rtl/>
        </w:rPr>
      </w:pPr>
      <w:r>
        <w:rPr>
          <w:rtl/>
        </w:rPr>
        <w:t xml:space="preserve"> </w:t>
      </w:r>
    </w:p>
    <w:p w14:paraId="42A3A2E6" w14:textId="77777777" w:rsidR="00FF63A1" w:rsidRDefault="00FF63A1" w:rsidP="00FF63A1">
      <w:pPr>
        <w:spacing w:line="360" w:lineRule="auto"/>
        <w:jc w:val="both"/>
      </w:pPr>
    </w:p>
    <w:p w14:paraId="1AAD330A" w14:textId="77777777" w:rsidR="00FF63A1" w:rsidRPr="00C524DF" w:rsidRDefault="00C524DF" w:rsidP="00FF63A1">
      <w:pPr>
        <w:spacing w:line="360" w:lineRule="auto"/>
        <w:jc w:val="both"/>
        <w:rPr>
          <w:color w:val="FFFFFF"/>
          <w:sz w:val="2"/>
          <w:szCs w:val="2"/>
          <w:rtl/>
        </w:rPr>
      </w:pPr>
      <w:r w:rsidRPr="00C524DF">
        <w:rPr>
          <w:color w:val="FFFFFF"/>
          <w:sz w:val="2"/>
          <w:szCs w:val="2"/>
          <w:rtl/>
        </w:rPr>
        <w:t>5129371</w:t>
      </w:r>
    </w:p>
    <w:p w14:paraId="018BC62D" w14:textId="77777777" w:rsidR="002D7B2F" w:rsidRPr="00C524DF" w:rsidRDefault="00C524DF" w:rsidP="00491020">
      <w:pPr>
        <w:keepNext/>
        <w:rPr>
          <w:color w:val="FFFFFF"/>
          <w:sz w:val="2"/>
          <w:szCs w:val="2"/>
          <w:rtl/>
        </w:rPr>
      </w:pPr>
      <w:r w:rsidRPr="00C524DF">
        <w:rPr>
          <w:color w:val="FFFFFF"/>
          <w:sz w:val="2"/>
          <w:szCs w:val="2"/>
          <w:rtl/>
        </w:rPr>
        <w:t>54678313</w:t>
      </w:r>
    </w:p>
    <w:p w14:paraId="6A3E6105" w14:textId="77777777" w:rsidR="00491020" w:rsidRPr="00491020" w:rsidRDefault="00491020" w:rsidP="00491020">
      <w:pPr>
        <w:keepNext/>
        <w:rPr>
          <w:color w:val="000000"/>
          <w:sz w:val="22"/>
          <w:szCs w:val="22"/>
          <w:rtl/>
        </w:rPr>
      </w:pPr>
      <w:r w:rsidRPr="00491020">
        <w:rPr>
          <w:color w:val="000000"/>
          <w:sz w:val="22"/>
          <w:szCs w:val="22"/>
          <w:rtl/>
        </w:rPr>
        <w:t>צחי עוזיאל 54678313</w:t>
      </w:r>
    </w:p>
    <w:p w14:paraId="761CF141" w14:textId="77777777" w:rsidR="00491020" w:rsidRDefault="00491020" w:rsidP="00491020">
      <w:r w:rsidRPr="00491020">
        <w:rPr>
          <w:color w:val="000000"/>
          <w:rtl/>
        </w:rPr>
        <w:t>נוסח מסמך זה כפוף לשינויי ניסוח ועריכה</w:t>
      </w:r>
    </w:p>
    <w:p w14:paraId="4F603A41" w14:textId="77777777" w:rsidR="00491020" w:rsidRDefault="00491020" w:rsidP="00491020">
      <w:pPr>
        <w:rPr>
          <w:rtl/>
        </w:rPr>
      </w:pPr>
    </w:p>
    <w:p w14:paraId="39A7C254" w14:textId="77777777" w:rsidR="00491020" w:rsidRDefault="00491020" w:rsidP="00491020">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73D6EDE0" w14:textId="77777777" w:rsidR="00491020" w:rsidRPr="00491020" w:rsidRDefault="00491020" w:rsidP="00C524DF">
      <w:pPr>
        <w:rPr>
          <w:color w:val="0000FF"/>
          <w:u w:val="single"/>
        </w:rPr>
      </w:pPr>
    </w:p>
    <w:sectPr w:rsidR="00491020" w:rsidRPr="00491020" w:rsidSect="00C524DF">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0F9C2" w14:textId="77777777" w:rsidR="009B6AB7" w:rsidRDefault="009B6AB7" w:rsidP="00F9702F">
      <w:r>
        <w:separator/>
      </w:r>
    </w:p>
  </w:endnote>
  <w:endnote w:type="continuationSeparator" w:id="0">
    <w:p w14:paraId="10B6E04F" w14:textId="77777777" w:rsidR="009B6AB7" w:rsidRDefault="009B6AB7" w:rsidP="00F9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B7A6E" w14:textId="77777777" w:rsidR="009B6AB7" w:rsidRDefault="009B6AB7" w:rsidP="00C524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44888D" w14:textId="77777777" w:rsidR="009B6AB7" w:rsidRPr="00C524DF" w:rsidRDefault="009B6AB7" w:rsidP="00C524DF">
    <w:pPr>
      <w:pStyle w:val="a5"/>
      <w:pBdr>
        <w:top w:val="single" w:sz="4" w:space="1" w:color="auto"/>
        <w:between w:val="single" w:sz="4" w:space="0" w:color="auto"/>
      </w:pBdr>
      <w:spacing w:after="60"/>
      <w:jc w:val="center"/>
      <w:rPr>
        <w:rFonts w:ascii="FrankRuehl" w:hAnsi="FrankRuehl" w:cs="FrankRuehl"/>
        <w:color w:val="000000"/>
      </w:rPr>
    </w:pPr>
    <w:r w:rsidRPr="00C524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F297F" w14:textId="77777777" w:rsidR="009B6AB7" w:rsidRDefault="009B6AB7" w:rsidP="00C524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00CA">
      <w:rPr>
        <w:rFonts w:ascii="FrankRuehl" w:hAnsi="FrankRuehl" w:cs="FrankRuehl"/>
        <w:noProof/>
        <w:rtl/>
      </w:rPr>
      <w:t>1</w:t>
    </w:r>
    <w:r>
      <w:rPr>
        <w:rFonts w:ascii="FrankRuehl" w:hAnsi="FrankRuehl" w:cs="FrankRuehl"/>
        <w:rtl/>
      </w:rPr>
      <w:fldChar w:fldCharType="end"/>
    </w:r>
  </w:p>
  <w:p w14:paraId="6C47E5EB" w14:textId="77777777" w:rsidR="009B6AB7" w:rsidRPr="00C524DF" w:rsidRDefault="009B6AB7" w:rsidP="00C524DF">
    <w:pPr>
      <w:pStyle w:val="a5"/>
      <w:pBdr>
        <w:top w:val="single" w:sz="4" w:space="1" w:color="auto"/>
        <w:between w:val="single" w:sz="4" w:space="0" w:color="auto"/>
      </w:pBdr>
      <w:spacing w:after="60"/>
      <w:jc w:val="center"/>
      <w:rPr>
        <w:rFonts w:ascii="FrankRuehl" w:hAnsi="FrankRuehl" w:cs="FrankRuehl"/>
        <w:color w:val="000000"/>
      </w:rPr>
    </w:pPr>
    <w:r w:rsidRPr="00C524DF">
      <w:rPr>
        <w:rFonts w:ascii="FrankRuehl" w:hAnsi="FrankRuehl" w:cs="FrankRuehl"/>
        <w:color w:val="000000"/>
      </w:rPr>
      <w:pict w14:anchorId="1135B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A2E42" w14:textId="77777777" w:rsidR="009B6AB7" w:rsidRDefault="009B6AB7" w:rsidP="00F9702F">
      <w:r>
        <w:separator/>
      </w:r>
    </w:p>
  </w:footnote>
  <w:footnote w:type="continuationSeparator" w:id="0">
    <w:p w14:paraId="51C23439" w14:textId="77777777" w:rsidR="009B6AB7" w:rsidRDefault="009B6AB7" w:rsidP="00F97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2E81E" w14:textId="77777777" w:rsidR="009B6AB7" w:rsidRPr="00C524DF" w:rsidRDefault="009B6AB7" w:rsidP="00C524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19601-09-12</w:t>
    </w:r>
    <w:r>
      <w:rPr>
        <w:color w:val="000000"/>
        <w:sz w:val="22"/>
        <w:szCs w:val="22"/>
        <w:rtl/>
      </w:rPr>
      <w:tab/>
      <w:t xml:space="preserve"> מדינת ישראל נ' חסן אבו זאיד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4782C" w14:textId="77777777" w:rsidR="009B6AB7" w:rsidRPr="00C524DF" w:rsidRDefault="009B6AB7" w:rsidP="00C524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19601-09-12</w:t>
    </w:r>
    <w:r>
      <w:rPr>
        <w:color w:val="000000"/>
        <w:sz w:val="22"/>
        <w:szCs w:val="22"/>
        <w:rtl/>
      </w:rPr>
      <w:tab/>
      <w:t xml:space="preserve"> מדינת ישראל נ' חסן אבו זאיד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976"/>
    <w:multiLevelType w:val="hybridMultilevel"/>
    <w:tmpl w:val="B35EBA88"/>
    <w:lvl w:ilvl="0" w:tplc="0409000F">
      <w:start w:val="1"/>
      <w:numFmt w:val="decimal"/>
      <w:lvlText w:val="%1."/>
      <w:lvlJc w:val="left"/>
      <w:pPr>
        <w:tabs>
          <w:tab w:val="num" w:pos="1080"/>
        </w:tabs>
        <w:ind w:left="1080" w:hanging="360"/>
      </w:pPr>
    </w:lvl>
    <w:lvl w:ilvl="1" w:tplc="6F4C43C4">
      <w:start w:val="1"/>
      <w:numFmt w:val="hebrew1"/>
      <w:lvlText w:val="%2."/>
      <w:lvlJc w:val="left"/>
      <w:pPr>
        <w:tabs>
          <w:tab w:val="num" w:pos="1800"/>
        </w:tabs>
        <w:ind w:left="1800" w:hanging="360"/>
      </w:pPr>
      <w:rPr>
        <w:b w:val="0"/>
        <w:bCs w:val="0"/>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21C078A2"/>
    <w:multiLevelType w:val="hybridMultilevel"/>
    <w:tmpl w:val="53CE7AE8"/>
    <w:lvl w:ilvl="0" w:tplc="19C61BEC">
      <w:start w:val="1"/>
      <w:numFmt w:val="decimal"/>
      <w:lvlText w:val="%1."/>
      <w:lvlJc w:val="left"/>
      <w:pPr>
        <w:tabs>
          <w:tab w:val="num" w:pos="720"/>
        </w:tabs>
        <w:ind w:left="720" w:hanging="360"/>
      </w:pPr>
      <w:rPr>
        <w:b/>
      </w:rPr>
    </w:lvl>
    <w:lvl w:ilvl="1" w:tplc="C838AC94">
      <w:start w:val="1"/>
      <w:numFmt w:val="hebrew1"/>
      <w:lvlText w:val="%2."/>
      <w:lvlJc w:val="left"/>
      <w:pPr>
        <w:tabs>
          <w:tab w:val="num" w:pos="1440"/>
        </w:tabs>
        <w:ind w:left="1440" w:hanging="360"/>
      </w:pPr>
    </w:lvl>
    <w:lvl w:ilvl="2" w:tplc="0409000F">
      <w:start w:val="1"/>
      <w:numFmt w:val="decimal"/>
      <w:lvlText w:val="%3."/>
      <w:lvlJc w:val="left"/>
      <w:pPr>
        <w:tabs>
          <w:tab w:val="num" w:pos="2340"/>
        </w:tabs>
        <w:ind w:left="2340" w:hanging="360"/>
      </w:pPr>
      <w:rPr>
        <w:b/>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0216EAB"/>
    <w:multiLevelType w:val="hybridMultilevel"/>
    <w:tmpl w:val="C0BA3338"/>
    <w:lvl w:ilvl="0" w:tplc="C838AC94">
      <w:start w:val="1"/>
      <w:numFmt w:val="hebrew1"/>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310251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326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1089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63A1"/>
    <w:rsid w:val="0018608C"/>
    <w:rsid w:val="002D7B2F"/>
    <w:rsid w:val="003500CA"/>
    <w:rsid w:val="00491020"/>
    <w:rsid w:val="009B6AB7"/>
    <w:rsid w:val="00A24E30"/>
    <w:rsid w:val="00BA16A0"/>
    <w:rsid w:val="00C524DF"/>
    <w:rsid w:val="00E4237D"/>
    <w:rsid w:val="00F61375"/>
    <w:rsid w:val="00F9702F"/>
    <w:rsid w:val="00FF63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5A210303"/>
  <w15:chartTrackingRefBased/>
  <w15:docId w15:val="{4A1275BD-BEC6-4309-9FDA-8731CE60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63A1"/>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63A1"/>
    <w:pPr>
      <w:tabs>
        <w:tab w:val="center" w:pos="4153"/>
        <w:tab w:val="right" w:pos="8306"/>
      </w:tabs>
    </w:pPr>
  </w:style>
  <w:style w:type="character" w:customStyle="1" w:styleId="a4">
    <w:name w:val="כותרת עליונה תו"/>
    <w:link w:val="a3"/>
    <w:rsid w:val="00FF63A1"/>
    <w:rPr>
      <w:rFonts w:ascii="David" w:eastAsia="David" w:hAnsi="David" w:cs="David"/>
      <w:sz w:val="24"/>
      <w:szCs w:val="24"/>
    </w:rPr>
  </w:style>
  <w:style w:type="paragraph" w:styleId="a5">
    <w:name w:val="footer"/>
    <w:basedOn w:val="a"/>
    <w:link w:val="a6"/>
    <w:rsid w:val="00FF63A1"/>
    <w:pPr>
      <w:tabs>
        <w:tab w:val="center" w:pos="4153"/>
        <w:tab w:val="right" w:pos="8306"/>
      </w:tabs>
    </w:pPr>
  </w:style>
  <w:style w:type="character" w:customStyle="1" w:styleId="a6">
    <w:name w:val="כותרת תחתונה תו"/>
    <w:link w:val="a5"/>
    <w:rsid w:val="00FF63A1"/>
    <w:rPr>
      <w:rFonts w:ascii="David" w:eastAsia="David" w:hAnsi="David" w:cs="David"/>
      <w:sz w:val="24"/>
      <w:szCs w:val="24"/>
    </w:rPr>
  </w:style>
  <w:style w:type="table" w:styleId="a7">
    <w:name w:val="Table Grid"/>
    <w:basedOn w:val="a1"/>
    <w:rsid w:val="00FF63A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63A1"/>
  </w:style>
  <w:style w:type="character" w:customStyle="1" w:styleId="TimesNewRomanTimesNewRoman">
    <w:name w:val="סגנון (לטיני) Times New Roman (עברית ושפות אחרות) Times New Roman..."/>
    <w:rsid w:val="00FF63A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F63A1"/>
    <w:rPr>
      <w:rFonts w:ascii="Times New Roman" w:eastAsia="Times New Roman" w:hAnsi="Times New Roman"/>
      <w:b/>
      <w:bCs/>
      <w:u w:val="single"/>
    </w:rPr>
  </w:style>
  <w:style w:type="character" w:styleId="a9">
    <w:name w:val="line number"/>
    <w:rsid w:val="00491020"/>
  </w:style>
  <w:style w:type="character" w:styleId="Hyperlink">
    <w:name w:val="Hyperlink"/>
    <w:rsid w:val="00491020"/>
    <w:rPr>
      <w:color w:val="0563C1"/>
      <w:u w:val="single"/>
    </w:rPr>
  </w:style>
  <w:style w:type="character" w:styleId="aa">
    <w:name w:val="Unresolved Mention"/>
    <w:rsid w:val="004910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5227/39a" TargetMode="External"/><Relationship Id="rId26" Type="http://schemas.openxmlformats.org/officeDocument/2006/relationships/hyperlink" Target="http://www.nevo.co.il/law/70301/287.a" TargetMode="External"/><Relationship Id="rId39" Type="http://schemas.openxmlformats.org/officeDocument/2006/relationships/hyperlink" Target="http://www.nevo.co.il/law/74501/64b" TargetMode="External"/><Relationship Id="rId21" Type="http://schemas.openxmlformats.org/officeDocument/2006/relationships/hyperlink" Target="http://www.nevo.co.il/law/74501/2.a" TargetMode="External"/><Relationship Id="rId34" Type="http://schemas.openxmlformats.org/officeDocument/2006/relationships/hyperlink" Target="http://www.nevo.co.il/law/5227" TargetMode="External"/><Relationship Id="rId42" Type="http://schemas.openxmlformats.org/officeDocument/2006/relationships/hyperlink" Target="http://www.nevo.co.il/law/4216/13" TargetMode="External"/><Relationship Id="rId47" Type="http://schemas.openxmlformats.org/officeDocument/2006/relationships/hyperlink" Target="http://www.nevo.co.il/law/70301/40jc.b" TargetMode="External"/><Relationship Id="rId50" Type="http://schemas.openxmlformats.org/officeDocument/2006/relationships/hyperlink" Target="http://www.nevo.co.il/law/4216"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40j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law/4216/7.a.;7.c" TargetMode="External"/><Relationship Id="rId37" Type="http://schemas.openxmlformats.org/officeDocument/2006/relationships/hyperlink" Target="http://www.nevo.co.il/law/74501" TargetMode="External"/><Relationship Id="rId40" Type="http://schemas.openxmlformats.org/officeDocument/2006/relationships/hyperlink" Target="http://www.nevo.co.il/law/5227/39a" TargetMode="External"/><Relationship Id="rId45" Type="http://schemas.openxmlformats.org/officeDocument/2006/relationships/hyperlink" Target="http://www.nevo.co.il/law/4216"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5227/6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74501/62.3"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87.a" TargetMode="External"/><Relationship Id="rId35" Type="http://schemas.openxmlformats.org/officeDocument/2006/relationships/hyperlink" Target="http://www.nevo.co.il/law/5227/10.a" TargetMode="External"/><Relationship Id="rId43" Type="http://schemas.openxmlformats.org/officeDocument/2006/relationships/hyperlink" Target="http://www.nevo.co.il/law/4216/7.a.;7.c" TargetMode="External"/><Relationship Id="rId48" Type="http://schemas.openxmlformats.org/officeDocument/2006/relationships/hyperlink" Target="http://www.nevo.co.il/law/4216/40ja" TargetMode="External"/><Relationship Id="rId56"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40jb"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4216" TargetMode="External"/><Relationship Id="rId33" Type="http://schemas.openxmlformats.org/officeDocument/2006/relationships/hyperlink" Target="http://www.nevo.co.il/law/5227/67" TargetMode="External"/><Relationship Id="rId38" Type="http://schemas.openxmlformats.org/officeDocument/2006/relationships/hyperlink" Target="http://www.nevo.co.il/law/74501/62.3"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4501" TargetMode="External"/><Relationship Id="rId41" Type="http://schemas.openxmlformats.org/officeDocument/2006/relationships/hyperlink" Target="http://www.nevo.co.il/law/4216/7.a.;7.c"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law/74501/64b" TargetMode="External"/><Relationship Id="rId28" Type="http://schemas.openxmlformats.org/officeDocument/2006/relationships/hyperlink" Target="http://www.nevo.co.il/law/70301/287.a" TargetMode="External"/><Relationship Id="rId36" Type="http://schemas.openxmlformats.org/officeDocument/2006/relationships/hyperlink" Target="http://www.nevo.co.il/law/74501/2.a" TargetMode="External"/><Relationship Id="rId49" Type="http://schemas.openxmlformats.org/officeDocument/2006/relationships/hyperlink" Target="http://www.nevo.co.il/law/4216/40jb" TargetMode="External"/><Relationship Id="rId57" Type="http://schemas.openxmlformats.org/officeDocument/2006/relationships/fontTable" Target="fontTable.xml"/><Relationship Id="rId10"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2573</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15411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2097274</vt:i4>
      </vt:variant>
      <vt:variant>
        <vt:i4>126</vt:i4>
      </vt:variant>
      <vt:variant>
        <vt:i4>0</vt:i4>
      </vt:variant>
      <vt:variant>
        <vt:i4>5</vt:i4>
      </vt:variant>
      <vt:variant>
        <vt:lpwstr>http://www.nevo.co.il/law/4216/40jb</vt:lpwstr>
      </vt:variant>
      <vt:variant>
        <vt:lpwstr/>
      </vt:variant>
      <vt:variant>
        <vt:i4>2097274</vt:i4>
      </vt:variant>
      <vt:variant>
        <vt:i4>123</vt:i4>
      </vt:variant>
      <vt:variant>
        <vt:i4>0</vt:i4>
      </vt:variant>
      <vt:variant>
        <vt:i4>5</vt:i4>
      </vt:variant>
      <vt:variant>
        <vt:lpwstr>http://www.nevo.co.il/law/4216/40ja</vt:lpwstr>
      </vt:variant>
      <vt:variant>
        <vt:lpwstr/>
      </vt:variant>
      <vt:variant>
        <vt:i4>6553637</vt:i4>
      </vt:variant>
      <vt:variant>
        <vt:i4>120</vt:i4>
      </vt:variant>
      <vt:variant>
        <vt:i4>0</vt:i4>
      </vt:variant>
      <vt:variant>
        <vt:i4>5</vt:i4>
      </vt:variant>
      <vt:variant>
        <vt:lpwstr>http://www.nevo.co.il/law/70301/40jc.b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3997821</vt:i4>
      </vt:variant>
      <vt:variant>
        <vt:i4>108</vt:i4>
      </vt:variant>
      <vt:variant>
        <vt:i4>0</vt:i4>
      </vt:variant>
      <vt:variant>
        <vt:i4>5</vt:i4>
      </vt:variant>
      <vt:variant>
        <vt:lpwstr>http://www.nevo.co.il/law/4216/7.a.;7.c</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3997821</vt:i4>
      </vt:variant>
      <vt:variant>
        <vt:i4>102</vt:i4>
      </vt:variant>
      <vt:variant>
        <vt:i4>0</vt:i4>
      </vt:variant>
      <vt:variant>
        <vt:i4>5</vt:i4>
      </vt:variant>
      <vt:variant>
        <vt:lpwstr>http://www.nevo.co.il/law/4216/7.a.;7.c</vt:lpwstr>
      </vt:variant>
      <vt:variant>
        <vt:lpwstr/>
      </vt:variant>
      <vt:variant>
        <vt:i4>2949233</vt:i4>
      </vt:variant>
      <vt:variant>
        <vt:i4>99</vt:i4>
      </vt:variant>
      <vt:variant>
        <vt:i4>0</vt:i4>
      </vt:variant>
      <vt:variant>
        <vt:i4>5</vt:i4>
      </vt:variant>
      <vt:variant>
        <vt:lpwstr>http://www.nevo.co.il/law/5227/39a</vt:lpwstr>
      </vt:variant>
      <vt:variant>
        <vt:lpwstr/>
      </vt:variant>
      <vt:variant>
        <vt:i4>6619237</vt:i4>
      </vt:variant>
      <vt:variant>
        <vt:i4>96</vt:i4>
      </vt:variant>
      <vt:variant>
        <vt:i4>0</vt:i4>
      </vt:variant>
      <vt:variant>
        <vt:i4>5</vt:i4>
      </vt:variant>
      <vt:variant>
        <vt:lpwstr>http://www.nevo.co.il/law/74501/64b</vt:lpwstr>
      </vt:variant>
      <vt:variant>
        <vt:lpwstr/>
      </vt:variant>
      <vt:variant>
        <vt:i4>5242955</vt:i4>
      </vt:variant>
      <vt:variant>
        <vt:i4>93</vt:i4>
      </vt:variant>
      <vt:variant>
        <vt:i4>0</vt:i4>
      </vt:variant>
      <vt:variant>
        <vt:i4>5</vt:i4>
      </vt:variant>
      <vt:variant>
        <vt:lpwstr>http://www.nevo.co.il/law/74501/62.3</vt:lpwstr>
      </vt:variant>
      <vt:variant>
        <vt:lpwstr/>
      </vt:variant>
      <vt:variant>
        <vt:i4>8257634</vt:i4>
      </vt:variant>
      <vt:variant>
        <vt:i4>90</vt:i4>
      </vt:variant>
      <vt:variant>
        <vt:i4>0</vt:i4>
      </vt:variant>
      <vt:variant>
        <vt:i4>5</vt:i4>
      </vt:variant>
      <vt:variant>
        <vt:lpwstr>http://www.nevo.co.il/law/74501</vt:lpwstr>
      </vt:variant>
      <vt:variant>
        <vt:lpwstr/>
      </vt:variant>
      <vt:variant>
        <vt:i4>8323169</vt:i4>
      </vt:variant>
      <vt:variant>
        <vt:i4>87</vt:i4>
      </vt:variant>
      <vt:variant>
        <vt:i4>0</vt:i4>
      </vt:variant>
      <vt:variant>
        <vt:i4>5</vt:i4>
      </vt:variant>
      <vt:variant>
        <vt:lpwstr>http://www.nevo.co.il/law/74501/2.a</vt:lpwstr>
      </vt:variant>
      <vt:variant>
        <vt:lpwstr/>
      </vt:variant>
      <vt:variant>
        <vt:i4>6291576</vt:i4>
      </vt:variant>
      <vt:variant>
        <vt:i4>84</vt:i4>
      </vt:variant>
      <vt:variant>
        <vt:i4>0</vt:i4>
      </vt:variant>
      <vt:variant>
        <vt:i4>5</vt:i4>
      </vt:variant>
      <vt:variant>
        <vt:lpwstr>http://www.nevo.co.il/law/5227/10.a</vt:lpwstr>
      </vt:variant>
      <vt:variant>
        <vt:lpwstr/>
      </vt:variant>
      <vt:variant>
        <vt:i4>8323175</vt:i4>
      </vt:variant>
      <vt:variant>
        <vt:i4>81</vt:i4>
      </vt:variant>
      <vt:variant>
        <vt:i4>0</vt:i4>
      </vt:variant>
      <vt:variant>
        <vt:i4>5</vt:i4>
      </vt:variant>
      <vt:variant>
        <vt:lpwstr>http://www.nevo.co.il/law/5227</vt:lpwstr>
      </vt:variant>
      <vt:variant>
        <vt:lpwstr/>
      </vt:variant>
      <vt:variant>
        <vt:i4>4784200</vt:i4>
      </vt:variant>
      <vt:variant>
        <vt:i4>78</vt:i4>
      </vt:variant>
      <vt:variant>
        <vt:i4>0</vt:i4>
      </vt:variant>
      <vt:variant>
        <vt:i4>5</vt:i4>
      </vt:variant>
      <vt:variant>
        <vt:lpwstr>http://www.nevo.co.il/law/5227/67</vt:lpwstr>
      </vt:variant>
      <vt:variant>
        <vt:lpwstr/>
      </vt:variant>
      <vt:variant>
        <vt:i4>3997821</vt:i4>
      </vt:variant>
      <vt:variant>
        <vt:i4>75</vt:i4>
      </vt:variant>
      <vt:variant>
        <vt:i4>0</vt:i4>
      </vt:variant>
      <vt:variant>
        <vt:i4>5</vt:i4>
      </vt:variant>
      <vt:variant>
        <vt:lpwstr>http://www.nevo.co.il/law/4216/7.a.;7.c</vt:lpwstr>
      </vt:variant>
      <vt:variant>
        <vt:lpwstr/>
      </vt:variant>
      <vt:variant>
        <vt:i4>7995492</vt:i4>
      </vt:variant>
      <vt:variant>
        <vt:i4>72</vt:i4>
      </vt:variant>
      <vt:variant>
        <vt:i4>0</vt:i4>
      </vt:variant>
      <vt:variant>
        <vt:i4>5</vt:i4>
      </vt:variant>
      <vt:variant>
        <vt:lpwstr>http://www.nevo.co.il/law/70301</vt:lpwstr>
      </vt:variant>
      <vt:variant>
        <vt:lpwstr/>
      </vt:variant>
      <vt:variant>
        <vt:i4>4390992</vt:i4>
      </vt:variant>
      <vt:variant>
        <vt:i4>69</vt:i4>
      </vt:variant>
      <vt:variant>
        <vt:i4>0</vt:i4>
      </vt:variant>
      <vt:variant>
        <vt:i4>5</vt:i4>
      </vt:variant>
      <vt:variant>
        <vt:lpwstr>http://www.nevo.co.il/law/70301/287.a</vt:lpwstr>
      </vt:variant>
      <vt:variant>
        <vt:lpwstr/>
      </vt:variant>
      <vt:variant>
        <vt:i4>7995492</vt:i4>
      </vt:variant>
      <vt:variant>
        <vt:i4>66</vt:i4>
      </vt:variant>
      <vt:variant>
        <vt:i4>0</vt:i4>
      </vt:variant>
      <vt:variant>
        <vt:i4>5</vt:i4>
      </vt:variant>
      <vt:variant>
        <vt:lpwstr>http://www.nevo.co.il/law/70301</vt:lpwstr>
      </vt:variant>
      <vt:variant>
        <vt:lpwstr/>
      </vt:variant>
      <vt:variant>
        <vt:i4>4390992</vt:i4>
      </vt:variant>
      <vt:variant>
        <vt:i4>63</vt:i4>
      </vt:variant>
      <vt:variant>
        <vt:i4>0</vt:i4>
      </vt:variant>
      <vt:variant>
        <vt:i4>5</vt:i4>
      </vt:variant>
      <vt:variant>
        <vt:lpwstr>http://www.nevo.co.il/law/70301/287.a</vt:lpwstr>
      </vt:variant>
      <vt:variant>
        <vt:lpwstr/>
      </vt:variant>
      <vt:variant>
        <vt:i4>7995492</vt:i4>
      </vt:variant>
      <vt:variant>
        <vt:i4>60</vt:i4>
      </vt:variant>
      <vt:variant>
        <vt:i4>0</vt:i4>
      </vt:variant>
      <vt:variant>
        <vt:i4>5</vt:i4>
      </vt:variant>
      <vt:variant>
        <vt:lpwstr>http://www.nevo.co.il/law/70301</vt:lpwstr>
      </vt:variant>
      <vt:variant>
        <vt:lpwstr/>
      </vt:variant>
      <vt:variant>
        <vt:i4>4390992</vt:i4>
      </vt:variant>
      <vt:variant>
        <vt:i4>57</vt:i4>
      </vt:variant>
      <vt:variant>
        <vt:i4>0</vt:i4>
      </vt:variant>
      <vt:variant>
        <vt:i4>5</vt:i4>
      </vt:variant>
      <vt:variant>
        <vt:lpwstr>http://www.nevo.co.il/law/70301/287.a</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6619237</vt:i4>
      </vt:variant>
      <vt:variant>
        <vt:i4>48</vt:i4>
      </vt:variant>
      <vt:variant>
        <vt:i4>0</vt:i4>
      </vt:variant>
      <vt:variant>
        <vt:i4>5</vt:i4>
      </vt:variant>
      <vt:variant>
        <vt:lpwstr>http://www.nevo.co.il/law/74501/64b</vt:lpwstr>
      </vt:variant>
      <vt:variant>
        <vt:lpwstr/>
      </vt:variant>
      <vt:variant>
        <vt:i4>5242955</vt:i4>
      </vt:variant>
      <vt:variant>
        <vt:i4>45</vt:i4>
      </vt:variant>
      <vt:variant>
        <vt:i4>0</vt:i4>
      </vt:variant>
      <vt:variant>
        <vt:i4>5</vt:i4>
      </vt:variant>
      <vt:variant>
        <vt:lpwstr>http://www.nevo.co.il/law/74501/62.3</vt:lpwstr>
      </vt:variant>
      <vt:variant>
        <vt:lpwstr/>
      </vt:variant>
      <vt:variant>
        <vt:i4>8323169</vt:i4>
      </vt:variant>
      <vt:variant>
        <vt:i4>42</vt:i4>
      </vt:variant>
      <vt:variant>
        <vt:i4>0</vt:i4>
      </vt:variant>
      <vt:variant>
        <vt:i4>5</vt:i4>
      </vt:variant>
      <vt:variant>
        <vt:lpwstr>http://www.nevo.co.il/law/74501/2.a</vt:lpwstr>
      </vt:variant>
      <vt:variant>
        <vt:lpwstr/>
      </vt:variant>
      <vt:variant>
        <vt:i4>8257634</vt:i4>
      </vt:variant>
      <vt:variant>
        <vt:i4>39</vt:i4>
      </vt:variant>
      <vt:variant>
        <vt:i4>0</vt:i4>
      </vt:variant>
      <vt:variant>
        <vt:i4>5</vt:i4>
      </vt:variant>
      <vt:variant>
        <vt:lpwstr>http://www.nevo.co.il/law/74501</vt:lpwstr>
      </vt:variant>
      <vt:variant>
        <vt:lpwstr/>
      </vt:variant>
      <vt:variant>
        <vt:i4>4784200</vt:i4>
      </vt:variant>
      <vt:variant>
        <vt:i4>36</vt:i4>
      </vt:variant>
      <vt:variant>
        <vt:i4>0</vt:i4>
      </vt:variant>
      <vt:variant>
        <vt:i4>5</vt:i4>
      </vt:variant>
      <vt:variant>
        <vt:lpwstr>http://www.nevo.co.il/law/5227/67</vt:lpwstr>
      </vt:variant>
      <vt:variant>
        <vt:lpwstr/>
      </vt:variant>
      <vt:variant>
        <vt:i4>2949233</vt:i4>
      </vt:variant>
      <vt:variant>
        <vt:i4>33</vt:i4>
      </vt:variant>
      <vt:variant>
        <vt:i4>0</vt:i4>
      </vt:variant>
      <vt:variant>
        <vt:i4>5</vt:i4>
      </vt:variant>
      <vt:variant>
        <vt:lpwstr>http://www.nevo.co.il/law/5227/39a</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2097274</vt:i4>
      </vt:variant>
      <vt:variant>
        <vt:i4>15</vt:i4>
      </vt:variant>
      <vt:variant>
        <vt:i4>0</vt:i4>
      </vt:variant>
      <vt:variant>
        <vt:i4>5</vt:i4>
      </vt:variant>
      <vt:variant>
        <vt:lpwstr>http://www.nevo.co.il/law/4216/40jb</vt:lpwstr>
      </vt:variant>
      <vt:variant>
        <vt:lpwstr/>
      </vt:variant>
      <vt:variant>
        <vt:i4>2097274</vt:i4>
      </vt:variant>
      <vt:variant>
        <vt:i4>12</vt:i4>
      </vt:variant>
      <vt:variant>
        <vt:i4>0</vt:i4>
      </vt:variant>
      <vt:variant>
        <vt:i4>5</vt:i4>
      </vt:variant>
      <vt:variant>
        <vt:lpwstr>http://www.nevo.co.il/law/4216/40ja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19601</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חסן אבו זאיד</vt:lpwstr>
  </property>
  <property fmtid="{D5CDD505-2E9C-101B-9397-08002B2CF9AE}" pid="10" name="LAWYER">
    <vt:lpwstr>יאנה מרוסיאק;דרור בוזגלו;ישראל קליין</vt:lpwstr>
  </property>
  <property fmtid="{D5CDD505-2E9C-101B-9397-08002B2CF9AE}" pid="11" name="JUDGE">
    <vt:lpwstr>צחי עוזיאל</vt:lpwstr>
  </property>
  <property fmtid="{D5CDD505-2E9C-101B-9397-08002B2CF9AE}" pid="12" name="CITY">
    <vt:lpwstr>ת"א</vt:lpwstr>
  </property>
  <property fmtid="{D5CDD505-2E9C-101B-9397-08002B2CF9AE}" pid="13" name="DATE">
    <vt:lpwstr>20130512</vt:lpwstr>
  </property>
  <property fmtid="{D5CDD505-2E9C-101B-9397-08002B2CF9AE}" pid="14" name="TYPE_N_DATE">
    <vt:lpwstr>38020130512</vt:lpwstr>
  </property>
  <property fmtid="{D5CDD505-2E9C-101B-9397-08002B2CF9AE}" pid="15" name="CASENOTES1">
    <vt:lpwstr>ProcID=279;184&amp;PartA=96826&amp;PartC=11</vt:lpwstr>
  </property>
  <property fmtid="{D5CDD505-2E9C-101B-9397-08002B2CF9AE}" pid="16" name="WORDNUMPAGES">
    <vt:lpwstr>7</vt:lpwstr>
  </property>
  <property fmtid="{D5CDD505-2E9C-101B-9397-08002B2CF9AE}" pid="17" name="TYPE_ABS_DATE">
    <vt:lpwstr>380020130512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4216/007.a:4;007.c:4;013;40ja;40jb</vt:lpwstr>
  </property>
  <property fmtid="{D5CDD505-2E9C-101B-9397-08002B2CF9AE}" pid="37" name="LAWLISTTMP2">
    <vt:lpwstr>70301/287.a:3;40jc.b</vt:lpwstr>
  </property>
  <property fmtid="{D5CDD505-2E9C-101B-9397-08002B2CF9AE}" pid="38" name="LAWLISTTMP3">
    <vt:lpwstr>5227/067;010.a;039a</vt:lpwstr>
  </property>
  <property fmtid="{D5CDD505-2E9C-101B-9397-08002B2CF9AE}" pid="39" name="LAWLISTTMP4">
    <vt:lpwstr>74501/002.a;062.3;064b</vt:lpwstr>
  </property>
</Properties>
</file>