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57604" w:rsidRPr="00E3017A" w14:paraId="713A363C" w14:textId="77777777">
        <w:trPr>
          <w:trHeight w:hRule="exact" w:val="418"/>
          <w:jc w:val="center"/>
        </w:trPr>
        <w:tc>
          <w:tcPr>
            <w:tcW w:w="8720" w:type="dxa"/>
            <w:gridSpan w:val="3"/>
          </w:tcPr>
          <w:p w14:paraId="5FF91226" w14:textId="77777777" w:rsidR="00F57604" w:rsidRPr="00E3017A" w:rsidRDefault="00E3017A">
            <w:pPr>
              <w:pStyle w:val="a4"/>
              <w:tabs>
                <w:tab w:val="clear" w:pos="8306"/>
              </w:tabs>
              <w:jc w:val="center"/>
              <w:rPr>
                <w:rFonts w:ascii="Tahoma" w:hAnsi="Tahoma" w:cs="Tahoma"/>
                <w:b/>
                <w:bCs/>
                <w:color w:val="000080"/>
                <w:sz w:val="20"/>
                <w:szCs w:val="20"/>
                <w:rtl/>
              </w:rPr>
            </w:pPr>
            <w:bookmarkStart w:id="0" w:name="LastJudge"/>
            <w:r w:rsidRPr="00E3017A">
              <w:rPr>
                <w:rFonts w:ascii="Tahoma" w:hAnsi="Tahoma" w:cs="Tahoma"/>
                <w:b/>
                <w:bCs/>
                <w:color w:val="000080"/>
                <w:sz w:val="20"/>
                <w:szCs w:val="20"/>
                <w:rtl/>
              </w:rPr>
              <w:t>בית משפט השלום בנתניה</w:t>
            </w:r>
          </w:p>
        </w:tc>
      </w:tr>
      <w:tr w:rsidR="00F57604" w:rsidRPr="00E3017A" w14:paraId="7C3D2B42" w14:textId="77777777">
        <w:trPr>
          <w:trHeight w:val="337"/>
          <w:jc w:val="center"/>
        </w:trPr>
        <w:tc>
          <w:tcPr>
            <w:tcW w:w="3973" w:type="dxa"/>
          </w:tcPr>
          <w:p w14:paraId="613F945B" w14:textId="77777777" w:rsidR="00F57604" w:rsidRPr="00E3017A" w:rsidRDefault="00E3017A" w:rsidP="00154213">
            <w:pPr>
              <w:rPr>
                <w:rFonts w:hint="cs"/>
                <w:b/>
                <w:bCs/>
                <w:sz w:val="26"/>
                <w:szCs w:val="26"/>
                <w:rtl/>
              </w:rPr>
            </w:pPr>
            <w:r w:rsidRPr="00E3017A">
              <w:rPr>
                <w:b/>
                <w:bCs/>
                <w:sz w:val="26"/>
                <w:szCs w:val="26"/>
                <w:rtl/>
              </w:rPr>
              <w:t>ת"פ</w:t>
            </w:r>
            <w:r w:rsidRPr="00E3017A">
              <w:rPr>
                <w:rFonts w:hint="cs"/>
                <w:b/>
                <w:bCs/>
                <w:sz w:val="26"/>
                <w:szCs w:val="26"/>
                <w:rtl/>
              </w:rPr>
              <w:t xml:space="preserve"> </w:t>
            </w:r>
            <w:r w:rsidRPr="00E3017A">
              <w:rPr>
                <w:b/>
                <w:bCs/>
                <w:sz w:val="26"/>
                <w:szCs w:val="26"/>
                <w:rtl/>
              </w:rPr>
              <w:t>16312-10-12</w:t>
            </w:r>
            <w:r w:rsidRPr="00E3017A">
              <w:rPr>
                <w:rFonts w:hint="cs"/>
                <w:b/>
                <w:bCs/>
                <w:sz w:val="26"/>
                <w:szCs w:val="26"/>
                <w:rtl/>
              </w:rPr>
              <w:t xml:space="preserve"> </w:t>
            </w:r>
            <w:r w:rsidR="00154213">
              <w:rPr>
                <w:b/>
                <w:bCs/>
                <w:sz w:val="26"/>
                <w:szCs w:val="26"/>
                <w:rtl/>
              </w:rPr>
              <w:t>מדינת ישראל נ' ואקים</w:t>
            </w:r>
          </w:p>
          <w:p w14:paraId="5F2B4AF0" w14:textId="77777777" w:rsidR="00F57604" w:rsidRPr="00E3017A" w:rsidRDefault="00F57604">
            <w:pPr>
              <w:rPr>
                <w:b/>
                <w:bCs/>
                <w:sz w:val="26"/>
                <w:szCs w:val="26"/>
                <w:rtl/>
              </w:rPr>
            </w:pPr>
          </w:p>
        </w:tc>
        <w:tc>
          <w:tcPr>
            <w:tcW w:w="1068" w:type="dxa"/>
          </w:tcPr>
          <w:p w14:paraId="1AE6B7E6" w14:textId="77777777" w:rsidR="00F57604" w:rsidRPr="00E3017A" w:rsidRDefault="00F57604">
            <w:pPr>
              <w:pStyle w:val="a4"/>
              <w:jc w:val="right"/>
              <w:rPr>
                <w:b/>
                <w:bCs/>
                <w:sz w:val="26"/>
                <w:szCs w:val="26"/>
                <w:rtl/>
              </w:rPr>
            </w:pPr>
          </w:p>
        </w:tc>
        <w:tc>
          <w:tcPr>
            <w:tcW w:w="3679" w:type="dxa"/>
          </w:tcPr>
          <w:p w14:paraId="2029BCD0" w14:textId="77777777" w:rsidR="00F57604" w:rsidRPr="00E3017A" w:rsidRDefault="00E3017A">
            <w:pPr>
              <w:pStyle w:val="a4"/>
              <w:tabs>
                <w:tab w:val="clear" w:pos="4153"/>
              </w:tabs>
              <w:jc w:val="right"/>
              <w:rPr>
                <w:b/>
                <w:bCs/>
                <w:sz w:val="26"/>
                <w:szCs w:val="26"/>
                <w:rtl/>
              </w:rPr>
            </w:pPr>
            <w:r w:rsidRPr="00E3017A">
              <w:rPr>
                <w:b/>
                <w:bCs/>
                <w:sz w:val="26"/>
                <w:szCs w:val="26"/>
                <w:rtl/>
              </w:rPr>
              <w:t>29 פברואר 2016</w:t>
            </w:r>
          </w:p>
        </w:tc>
      </w:tr>
    </w:tbl>
    <w:p w14:paraId="51B18FEA" w14:textId="77777777" w:rsidR="00F57604" w:rsidRPr="00E3017A" w:rsidRDefault="00F57604">
      <w:pPr>
        <w:pStyle w:val="a4"/>
        <w:jc w:val="center"/>
        <w:rPr>
          <w:rFonts w:ascii="Tahoma" w:hAnsi="Tahoma" w:cs="Tahoma"/>
          <w:b/>
          <w:bCs/>
          <w:color w:val="000080"/>
          <w:sz w:val="20"/>
          <w:szCs w:val="20"/>
          <w:rtl/>
        </w:rPr>
      </w:pPr>
    </w:p>
    <w:p w14:paraId="23EAF779" w14:textId="77777777" w:rsidR="00F57604" w:rsidRPr="00E3017A" w:rsidRDefault="00F57604">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F57604" w:rsidRPr="00E3017A" w14:paraId="74E33E2E" w14:textId="77777777">
        <w:trPr>
          <w:gridAfter w:val="1"/>
          <w:wAfter w:w="55" w:type="dxa"/>
        </w:trPr>
        <w:tc>
          <w:tcPr>
            <w:tcW w:w="8719" w:type="dxa"/>
            <w:gridSpan w:val="2"/>
            <w:shd w:val="clear" w:color="auto" w:fill="auto"/>
          </w:tcPr>
          <w:p w14:paraId="0824B347" w14:textId="77777777" w:rsidR="00F57604" w:rsidRPr="00E3017A" w:rsidRDefault="00E3017A">
            <w:pPr>
              <w:rPr>
                <w:rFonts w:ascii="Arial" w:eastAsia="Times New Roman" w:hAnsi="Arial"/>
                <w:sz w:val="26"/>
                <w:szCs w:val="26"/>
                <w:highlight w:val="yellow"/>
              </w:rPr>
            </w:pPr>
            <w:r w:rsidRPr="00E3017A">
              <w:rPr>
                <w:rFonts w:ascii="Times New Roman" w:eastAsia="Times New Roman" w:hAnsi="Times New Roman" w:hint="cs"/>
                <w:b/>
                <w:bCs/>
                <w:sz w:val="26"/>
                <w:szCs w:val="26"/>
                <w:rtl/>
              </w:rPr>
              <w:t xml:space="preserve">בפני </w:t>
            </w:r>
            <w:r w:rsidRPr="00E3017A">
              <w:rPr>
                <w:rFonts w:ascii="Arial" w:eastAsia="Times New Roman" w:hAnsi="Arial" w:hint="cs"/>
                <w:b/>
                <w:bCs/>
                <w:sz w:val="26"/>
                <w:szCs w:val="26"/>
                <w:rtl/>
              </w:rPr>
              <w:t xml:space="preserve">כב' השופטת הבכירה </w:t>
            </w:r>
            <w:r w:rsidRPr="00E3017A">
              <w:rPr>
                <w:rFonts w:ascii="Arial" w:eastAsia="Times New Roman" w:hAnsi="Arial"/>
                <w:b/>
                <w:bCs/>
                <w:sz w:val="26"/>
                <w:szCs w:val="26"/>
                <w:rtl/>
              </w:rPr>
              <w:t>גלית ציגלר</w:t>
            </w:r>
          </w:p>
          <w:p w14:paraId="02FE67DD" w14:textId="77777777" w:rsidR="00F57604" w:rsidRPr="00E3017A" w:rsidRDefault="00F57604">
            <w:pPr>
              <w:spacing w:line="360" w:lineRule="auto"/>
              <w:jc w:val="both"/>
              <w:rPr>
                <w:rFonts w:ascii="Arial" w:eastAsia="Times New Roman" w:hAnsi="Arial" w:cs="Times New Roman"/>
                <w:rtl/>
              </w:rPr>
            </w:pPr>
          </w:p>
        </w:tc>
      </w:tr>
      <w:tr w:rsidR="00F57604" w:rsidRPr="00E3017A" w14:paraId="20EB2F8F" w14:textId="77777777">
        <w:tc>
          <w:tcPr>
            <w:tcW w:w="2880" w:type="dxa"/>
            <w:shd w:val="clear" w:color="auto" w:fill="auto"/>
          </w:tcPr>
          <w:p w14:paraId="4CD5740E" w14:textId="77777777" w:rsidR="00F57604" w:rsidRPr="00E3017A" w:rsidRDefault="00E3017A">
            <w:pPr>
              <w:ind w:left="26"/>
              <w:rPr>
                <w:rFonts w:ascii="Times New Roman" w:eastAsia="Times New Roman" w:hAnsi="Times New Roman"/>
                <w:b/>
                <w:bCs/>
                <w:sz w:val="26"/>
                <w:szCs w:val="26"/>
                <w:rtl/>
              </w:rPr>
            </w:pPr>
            <w:bookmarkStart w:id="1" w:name="FirstAppellant"/>
            <w:r w:rsidRPr="00E3017A">
              <w:rPr>
                <w:rFonts w:ascii="Times New Roman" w:eastAsia="Times New Roman" w:hAnsi="Times New Roman" w:hint="cs"/>
                <w:b/>
                <w:bCs/>
                <w:sz w:val="26"/>
                <w:szCs w:val="26"/>
                <w:rtl/>
              </w:rPr>
              <w:t>ה</w:t>
            </w:r>
            <w:r w:rsidRPr="00E3017A">
              <w:rPr>
                <w:rFonts w:ascii="Times New Roman" w:eastAsia="Times New Roman" w:hAnsi="Times New Roman" w:hint="cs"/>
                <w:rtl/>
              </w:rPr>
              <w:t>מאשימה</w:t>
            </w:r>
          </w:p>
        </w:tc>
        <w:tc>
          <w:tcPr>
            <w:tcW w:w="5922" w:type="dxa"/>
            <w:gridSpan w:val="2"/>
            <w:shd w:val="clear" w:color="auto" w:fill="auto"/>
          </w:tcPr>
          <w:p w14:paraId="33D22BE8" w14:textId="77777777" w:rsidR="00F57604" w:rsidRPr="00E3017A" w:rsidRDefault="00E3017A">
            <w:pPr>
              <w:rPr>
                <w:rFonts w:ascii="Times New Roman" w:eastAsia="Times New Roman" w:hAnsi="Times New Roman"/>
                <w:b/>
                <w:bCs/>
                <w:sz w:val="26"/>
                <w:szCs w:val="26"/>
                <w:rtl/>
              </w:rPr>
            </w:pPr>
            <w:r w:rsidRPr="00E3017A">
              <w:rPr>
                <w:rFonts w:ascii="Times New Roman" w:eastAsia="Times New Roman" w:hAnsi="Times New Roman" w:hint="cs"/>
                <w:b/>
                <w:bCs/>
                <w:sz w:val="26"/>
                <w:szCs w:val="26"/>
                <w:rtl/>
              </w:rPr>
              <w:t xml:space="preserve"> </w:t>
            </w:r>
            <w:r w:rsidRPr="00E3017A">
              <w:rPr>
                <w:rFonts w:ascii="Times New Roman" w:eastAsia="Times New Roman" w:hAnsi="Times New Roman" w:hint="cs"/>
                <w:rtl/>
              </w:rPr>
              <w:t>מדינת ישראל</w:t>
            </w:r>
          </w:p>
        </w:tc>
      </w:tr>
      <w:bookmarkEnd w:id="1"/>
      <w:tr w:rsidR="00F57604" w:rsidRPr="00E3017A" w14:paraId="11A06839" w14:textId="77777777">
        <w:tc>
          <w:tcPr>
            <w:tcW w:w="8802" w:type="dxa"/>
            <w:gridSpan w:val="3"/>
            <w:shd w:val="clear" w:color="auto" w:fill="auto"/>
          </w:tcPr>
          <w:p w14:paraId="798C5757" w14:textId="77777777" w:rsidR="00F57604" w:rsidRPr="00E3017A" w:rsidRDefault="00F57604">
            <w:pPr>
              <w:jc w:val="both"/>
              <w:rPr>
                <w:rFonts w:ascii="Arial" w:eastAsia="Times New Roman" w:hAnsi="Arial"/>
                <w:b/>
                <w:bCs/>
                <w:sz w:val="26"/>
                <w:szCs w:val="26"/>
                <w:rtl/>
              </w:rPr>
            </w:pPr>
          </w:p>
          <w:p w14:paraId="17FF8F02" w14:textId="77777777" w:rsidR="00F57604" w:rsidRPr="00E3017A" w:rsidRDefault="00E3017A">
            <w:pPr>
              <w:jc w:val="center"/>
              <w:rPr>
                <w:rFonts w:ascii="Arial" w:eastAsia="Times New Roman" w:hAnsi="Arial"/>
                <w:b/>
                <w:bCs/>
                <w:sz w:val="26"/>
                <w:szCs w:val="26"/>
                <w:rtl/>
              </w:rPr>
            </w:pPr>
            <w:r w:rsidRPr="00E3017A">
              <w:rPr>
                <w:rFonts w:ascii="Arial" w:eastAsia="Times New Roman" w:hAnsi="Arial"/>
                <w:b/>
                <w:bCs/>
                <w:sz w:val="26"/>
                <w:szCs w:val="26"/>
                <w:rtl/>
              </w:rPr>
              <w:t>נגד</w:t>
            </w:r>
          </w:p>
          <w:p w14:paraId="421DF081" w14:textId="77777777" w:rsidR="00F57604" w:rsidRPr="00E3017A" w:rsidRDefault="00F57604">
            <w:pPr>
              <w:jc w:val="center"/>
              <w:rPr>
                <w:rFonts w:ascii="Arial" w:eastAsia="Times New Roman" w:hAnsi="Arial"/>
                <w:b/>
                <w:bCs/>
                <w:sz w:val="26"/>
                <w:szCs w:val="26"/>
              </w:rPr>
            </w:pPr>
          </w:p>
        </w:tc>
      </w:tr>
      <w:tr w:rsidR="00F57604" w:rsidRPr="00E3017A" w14:paraId="19837EDF" w14:textId="77777777">
        <w:tc>
          <w:tcPr>
            <w:tcW w:w="2880" w:type="dxa"/>
            <w:shd w:val="clear" w:color="auto" w:fill="auto"/>
          </w:tcPr>
          <w:p w14:paraId="51CB00A3" w14:textId="77777777" w:rsidR="00F57604" w:rsidRPr="00E3017A" w:rsidRDefault="00E3017A">
            <w:pPr>
              <w:ind w:left="26"/>
              <w:rPr>
                <w:rFonts w:ascii="Times New Roman" w:eastAsia="Times New Roman" w:hAnsi="Times New Roman"/>
                <w:b/>
                <w:bCs/>
                <w:sz w:val="26"/>
                <w:szCs w:val="26"/>
                <w:rtl/>
              </w:rPr>
            </w:pPr>
            <w:r w:rsidRPr="00E3017A">
              <w:rPr>
                <w:rFonts w:ascii="Times New Roman" w:eastAsia="Times New Roman" w:hAnsi="Times New Roman" w:hint="cs"/>
                <w:b/>
                <w:bCs/>
                <w:sz w:val="26"/>
                <w:szCs w:val="26"/>
                <w:rtl/>
              </w:rPr>
              <w:t>ה</w:t>
            </w:r>
            <w:r w:rsidRPr="00E3017A">
              <w:rPr>
                <w:rFonts w:ascii="Times New Roman" w:eastAsia="Times New Roman" w:hAnsi="Times New Roman" w:hint="cs"/>
                <w:rtl/>
              </w:rPr>
              <w:t>נאשם</w:t>
            </w:r>
          </w:p>
        </w:tc>
        <w:tc>
          <w:tcPr>
            <w:tcW w:w="5922" w:type="dxa"/>
            <w:gridSpan w:val="2"/>
            <w:shd w:val="clear" w:color="auto" w:fill="auto"/>
          </w:tcPr>
          <w:p w14:paraId="73E45450" w14:textId="77777777" w:rsidR="00F57604" w:rsidRPr="00E3017A" w:rsidRDefault="00E3017A">
            <w:pPr>
              <w:rPr>
                <w:rFonts w:ascii="Times New Roman" w:eastAsia="Times New Roman" w:hAnsi="Times New Roman"/>
                <w:b/>
                <w:bCs/>
                <w:sz w:val="26"/>
                <w:szCs w:val="26"/>
                <w:rtl/>
              </w:rPr>
            </w:pPr>
            <w:r w:rsidRPr="00E3017A">
              <w:rPr>
                <w:rFonts w:ascii="Times New Roman" w:eastAsia="Times New Roman" w:hAnsi="Times New Roman" w:hint="cs"/>
                <w:rtl/>
              </w:rPr>
              <w:t xml:space="preserve">עבוד ואקים </w:t>
            </w:r>
          </w:p>
        </w:tc>
      </w:tr>
    </w:tbl>
    <w:p w14:paraId="64A6E396" w14:textId="77777777" w:rsidR="00F57604" w:rsidRPr="00E3017A" w:rsidRDefault="00F57604">
      <w:pPr>
        <w:spacing w:line="360" w:lineRule="auto"/>
        <w:jc w:val="both"/>
        <w:rPr>
          <w:rtl/>
        </w:rPr>
      </w:pPr>
    </w:p>
    <w:p w14:paraId="7175E2A2" w14:textId="77777777" w:rsidR="00F57604" w:rsidRPr="00E3017A" w:rsidRDefault="00E3017A">
      <w:pPr>
        <w:spacing w:line="360" w:lineRule="auto"/>
        <w:jc w:val="both"/>
        <w:rPr>
          <w:sz w:val="6"/>
          <w:szCs w:val="6"/>
          <w:rtl/>
        </w:rPr>
      </w:pPr>
      <w:r w:rsidRPr="00E3017A">
        <w:rPr>
          <w:sz w:val="6"/>
          <w:szCs w:val="6"/>
          <w:rtl/>
        </w:rPr>
        <w:t>&lt;#1#&gt;</w:t>
      </w:r>
    </w:p>
    <w:p w14:paraId="52844554" w14:textId="77777777" w:rsidR="00F57604" w:rsidRPr="00E3017A" w:rsidRDefault="00E3017A">
      <w:pPr>
        <w:rPr>
          <w:rFonts w:ascii="Times New Roman" w:eastAsia="Times New Roman" w:hAnsi="Times New Roman"/>
          <w:rtl/>
        </w:rPr>
      </w:pPr>
      <w:r w:rsidRPr="00E3017A">
        <w:rPr>
          <w:rFonts w:ascii="Times New Roman" w:eastAsia="Times New Roman" w:hAnsi="Times New Roman"/>
          <w:rtl/>
        </w:rPr>
        <w:t>נוכחים:</w:t>
      </w:r>
    </w:p>
    <w:p w14:paraId="376497AF" w14:textId="77777777" w:rsidR="00F57604" w:rsidRPr="00E3017A" w:rsidRDefault="00E3017A">
      <w:pPr>
        <w:rPr>
          <w:rFonts w:ascii="Times New Roman" w:eastAsia="Times New Roman" w:hAnsi="Times New Roman"/>
          <w:rtl/>
        </w:rPr>
      </w:pPr>
      <w:bookmarkStart w:id="2" w:name="FirstLawyer"/>
      <w:r w:rsidRPr="00E3017A">
        <w:rPr>
          <w:rFonts w:ascii="Times New Roman" w:eastAsia="Times New Roman" w:hAnsi="Times New Roman"/>
          <w:rtl/>
        </w:rPr>
        <w:t>ב"כ</w:t>
      </w:r>
      <w:bookmarkEnd w:id="2"/>
      <w:r w:rsidRPr="00E3017A">
        <w:rPr>
          <w:rFonts w:ascii="Times New Roman" w:eastAsia="Times New Roman" w:hAnsi="Times New Roman"/>
          <w:rtl/>
        </w:rPr>
        <w:t xml:space="preserve"> המאשימה עו"ד יפעת פינצובר</w:t>
      </w:r>
    </w:p>
    <w:p w14:paraId="291BEB31" w14:textId="77777777" w:rsidR="00F57604" w:rsidRPr="00E3017A" w:rsidRDefault="00E3017A">
      <w:pPr>
        <w:rPr>
          <w:rFonts w:ascii="Times New Roman" w:eastAsia="Times New Roman" w:hAnsi="Times New Roman"/>
          <w:rtl/>
        </w:rPr>
      </w:pPr>
      <w:r w:rsidRPr="00E3017A">
        <w:rPr>
          <w:rFonts w:ascii="Times New Roman" w:eastAsia="Times New Roman" w:hAnsi="Times New Roman"/>
          <w:rtl/>
        </w:rPr>
        <w:t>הנאשם –</w:t>
      </w:r>
      <w:r w:rsidRPr="00E3017A">
        <w:rPr>
          <w:rFonts w:ascii="Times New Roman" w:eastAsia="Times New Roman" w:hAnsi="Times New Roman" w:hint="cs"/>
          <w:rtl/>
        </w:rPr>
        <w:t xml:space="preserve"> הובא ובאת כוחו עו"ד מירי כהן</w:t>
      </w:r>
    </w:p>
    <w:p w14:paraId="2F1A8FBE" w14:textId="77777777" w:rsidR="00F57604" w:rsidRPr="00E3017A" w:rsidRDefault="00F57604">
      <w:pPr>
        <w:pStyle w:val="12"/>
        <w:rPr>
          <w:b w:val="0"/>
          <w:bCs w:val="0"/>
          <w:u w:val="none"/>
          <w:rtl/>
        </w:rPr>
      </w:pPr>
    </w:p>
    <w:p w14:paraId="290936CE" w14:textId="77777777" w:rsidR="000E172C" w:rsidRDefault="00E3017A" w:rsidP="000E172C">
      <w:pPr>
        <w:spacing w:line="360" w:lineRule="auto"/>
        <w:jc w:val="both"/>
        <w:rPr>
          <w:sz w:val="6"/>
          <w:szCs w:val="6"/>
          <w:rtl/>
        </w:rPr>
      </w:pPr>
      <w:r w:rsidRPr="00E3017A">
        <w:rPr>
          <w:sz w:val="6"/>
          <w:szCs w:val="6"/>
          <w:rtl/>
        </w:rPr>
        <w:t>&lt;#2#</w:t>
      </w:r>
      <w:bookmarkStart w:id="3" w:name="LawTable"/>
      <w:bookmarkEnd w:id="3"/>
    </w:p>
    <w:p w14:paraId="61883AF3" w14:textId="77777777" w:rsidR="000E172C" w:rsidRPr="000E172C" w:rsidRDefault="000E172C" w:rsidP="000E172C">
      <w:pPr>
        <w:spacing w:after="120" w:line="240" w:lineRule="exact"/>
        <w:ind w:left="283" w:hanging="283"/>
        <w:jc w:val="both"/>
        <w:rPr>
          <w:rFonts w:ascii="FrankRuehl" w:hAnsi="FrankRuehl" w:cs="FrankRuehl"/>
          <w:rtl/>
        </w:rPr>
      </w:pPr>
    </w:p>
    <w:p w14:paraId="424A6C5F" w14:textId="77777777" w:rsidR="000E172C" w:rsidRPr="000E172C" w:rsidRDefault="000E172C" w:rsidP="000E172C">
      <w:pPr>
        <w:spacing w:after="120" w:line="240" w:lineRule="exact"/>
        <w:ind w:left="283" w:hanging="283"/>
        <w:jc w:val="both"/>
        <w:rPr>
          <w:rFonts w:ascii="FrankRuehl" w:hAnsi="FrankRuehl" w:cs="FrankRuehl"/>
          <w:rtl/>
        </w:rPr>
      </w:pPr>
      <w:r w:rsidRPr="000E172C">
        <w:rPr>
          <w:rFonts w:ascii="FrankRuehl" w:hAnsi="FrankRuehl" w:cs="FrankRuehl"/>
          <w:rtl/>
        </w:rPr>
        <w:t xml:space="preserve">חקיקה שאוזכרה: </w:t>
      </w:r>
    </w:p>
    <w:p w14:paraId="3C2C4829" w14:textId="77777777" w:rsidR="000E172C" w:rsidRPr="000E172C" w:rsidRDefault="000E172C" w:rsidP="000E172C">
      <w:pPr>
        <w:spacing w:after="120" w:line="240" w:lineRule="exact"/>
        <w:ind w:left="283" w:hanging="283"/>
        <w:jc w:val="both"/>
        <w:rPr>
          <w:rFonts w:ascii="FrankRuehl" w:hAnsi="FrankRuehl" w:cs="FrankRuehl"/>
          <w:rtl/>
        </w:rPr>
      </w:pPr>
      <w:hyperlink r:id="rId7" w:history="1">
        <w:r w:rsidRPr="000E172C">
          <w:rPr>
            <w:rFonts w:ascii="FrankRuehl" w:hAnsi="FrankRuehl" w:cs="FrankRuehl"/>
            <w:color w:val="0000FF"/>
            <w:u w:val="single"/>
            <w:rtl/>
          </w:rPr>
          <w:t>פקודת הסמים המסוכנים [נוסח חדש], תשל"ג-1973</w:t>
        </w:r>
      </w:hyperlink>
      <w:r w:rsidRPr="000E172C">
        <w:rPr>
          <w:rFonts w:ascii="FrankRuehl" w:hAnsi="FrankRuehl" w:cs="FrankRuehl"/>
          <w:rtl/>
        </w:rPr>
        <w:t xml:space="preserve">: סע'  </w:t>
      </w:r>
      <w:hyperlink r:id="rId8" w:history="1">
        <w:r w:rsidRPr="000E172C">
          <w:rPr>
            <w:rFonts w:ascii="FrankRuehl" w:hAnsi="FrankRuehl" w:cs="FrankRuehl"/>
            <w:color w:val="0000FF"/>
            <w:u w:val="single"/>
            <w:rtl/>
          </w:rPr>
          <w:t>7 (א)</w:t>
        </w:r>
      </w:hyperlink>
      <w:r w:rsidRPr="000E172C">
        <w:rPr>
          <w:rFonts w:ascii="FrankRuehl" w:hAnsi="FrankRuehl" w:cs="FrankRuehl"/>
          <w:rtl/>
        </w:rPr>
        <w:t xml:space="preserve">, </w:t>
      </w:r>
      <w:hyperlink r:id="rId9" w:history="1">
        <w:r w:rsidRPr="000E172C">
          <w:rPr>
            <w:rFonts w:ascii="FrankRuehl" w:hAnsi="FrankRuehl" w:cs="FrankRuehl"/>
            <w:color w:val="0000FF"/>
            <w:u w:val="single"/>
            <w:rtl/>
          </w:rPr>
          <w:t>7 (ג)</w:t>
        </w:r>
      </w:hyperlink>
    </w:p>
    <w:p w14:paraId="09D929F6" w14:textId="77777777" w:rsidR="000E172C" w:rsidRPr="000E172C" w:rsidRDefault="000E172C" w:rsidP="000E172C">
      <w:pPr>
        <w:spacing w:after="120" w:line="240" w:lineRule="exact"/>
        <w:ind w:left="283" w:hanging="283"/>
        <w:jc w:val="both"/>
        <w:rPr>
          <w:rFonts w:ascii="FrankRuehl" w:hAnsi="FrankRuehl" w:cs="FrankRuehl"/>
          <w:rtl/>
        </w:rPr>
      </w:pPr>
    </w:p>
    <w:p w14:paraId="6B2B6668" w14:textId="77777777" w:rsidR="000E172C" w:rsidRPr="000E172C" w:rsidRDefault="000E172C" w:rsidP="000E172C">
      <w:pPr>
        <w:spacing w:line="360" w:lineRule="auto"/>
        <w:jc w:val="both"/>
        <w:rPr>
          <w:sz w:val="6"/>
          <w:szCs w:val="6"/>
          <w:rtl/>
        </w:rPr>
      </w:pPr>
      <w:bookmarkStart w:id="4" w:name="LawTable_End"/>
      <w:bookmarkEnd w:id="4"/>
    </w:p>
    <w:p w14:paraId="7B048BC7" w14:textId="77777777" w:rsidR="000E172C" w:rsidRPr="000E172C" w:rsidRDefault="000E172C" w:rsidP="000E172C">
      <w:pPr>
        <w:spacing w:line="360" w:lineRule="auto"/>
        <w:jc w:val="both"/>
        <w:rPr>
          <w:sz w:val="6"/>
          <w:szCs w:val="6"/>
          <w:rtl/>
        </w:rPr>
      </w:pPr>
    </w:p>
    <w:p w14:paraId="787355FD" w14:textId="77777777" w:rsidR="00154213" w:rsidRPr="00154213" w:rsidRDefault="00E3017A" w:rsidP="000E172C">
      <w:pPr>
        <w:spacing w:line="360" w:lineRule="auto"/>
        <w:jc w:val="both"/>
        <w:rPr>
          <w:rFonts w:ascii="FrankRuehl" w:hAnsi="FrankRuehl" w:cs="FrankRuehl"/>
          <w:rtl/>
        </w:rPr>
      </w:pPr>
      <w:r w:rsidRPr="000E172C">
        <w:rPr>
          <w:sz w:val="6"/>
          <w:szCs w:val="6"/>
          <w:rtl/>
        </w:rPr>
        <w:t>&gt;</w:t>
      </w:r>
    </w:p>
    <w:p w14:paraId="7BB6BF1F" w14:textId="77777777" w:rsidR="00154213" w:rsidRPr="00154213" w:rsidRDefault="00154213">
      <w:pPr>
        <w:spacing w:line="360" w:lineRule="auto"/>
        <w:jc w:val="both"/>
        <w:rPr>
          <w:sz w:val="6"/>
          <w:szCs w:val="6"/>
          <w:rtl/>
        </w:rPr>
      </w:pPr>
    </w:p>
    <w:p w14:paraId="2CCEFDFA" w14:textId="77777777" w:rsidR="00F57604" w:rsidRPr="00154213" w:rsidRDefault="00F57604">
      <w:pPr>
        <w:spacing w:line="360" w:lineRule="auto"/>
        <w:jc w:val="both"/>
        <w:rPr>
          <w:sz w:val="6"/>
          <w:szCs w:val="6"/>
          <w:rtl/>
        </w:rPr>
      </w:pPr>
    </w:p>
    <w:p w14:paraId="1BF22116" w14:textId="77777777" w:rsidR="00E3017A" w:rsidRPr="00E3017A" w:rsidRDefault="00E3017A">
      <w:pPr>
        <w:spacing w:line="360" w:lineRule="auto"/>
        <w:jc w:val="center"/>
        <w:rPr>
          <w:rFonts w:ascii="Arial" w:hAnsi="Arial"/>
          <w:b/>
          <w:bCs/>
          <w:sz w:val="28"/>
          <w:szCs w:val="28"/>
          <w:rtl/>
        </w:rPr>
      </w:pPr>
    </w:p>
    <w:p w14:paraId="32EC047D" w14:textId="77777777" w:rsidR="00E3017A" w:rsidRPr="00E3017A" w:rsidRDefault="00E3017A" w:rsidP="00E3017A">
      <w:pPr>
        <w:spacing w:line="360" w:lineRule="auto"/>
        <w:jc w:val="center"/>
        <w:rPr>
          <w:rFonts w:ascii="Arial" w:hAnsi="Arial"/>
          <w:b/>
          <w:bCs/>
          <w:sz w:val="28"/>
          <w:szCs w:val="28"/>
          <w:u w:val="single"/>
          <w:rtl/>
        </w:rPr>
      </w:pPr>
      <w:bookmarkStart w:id="5" w:name="PsakDin"/>
      <w:bookmarkEnd w:id="0"/>
      <w:r w:rsidRPr="00E3017A">
        <w:rPr>
          <w:rFonts w:ascii="Arial" w:hAnsi="Arial"/>
          <w:b/>
          <w:bCs/>
          <w:sz w:val="28"/>
          <w:szCs w:val="28"/>
          <w:u w:val="single"/>
          <w:rtl/>
        </w:rPr>
        <w:t>גזר דין</w:t>
      </w:r>
    </w:p>
    <w:bookmarkEnd w:id="5"/>
    <w:p w14:paraId="2374EB6E" w14:textId="77777777" w:rsidR="00F57604" w:rsidRDefault="00F57604">
      <w:pPr>
        <w:spacing w:line="360" w:lineRule="auto"/>
        <w:jc w:val="both"/>
        <w:rPr>
          <w:rFonts w:ascii="Arial" w:hAnsi="Arial"/>
        </w:rPr>
      </w:pPr>
    </w:p>
    <w:p w14:paraId="5778A164" w14:textId="77777777" w:rsidR="00F57604" w:rsidRDefault="00E3017A">
      <w:pPr>
        <w:numPr>
          <w:ilvl w:val="0"/>
          <w:numId w:val="1"/>
        </w:numPr>
        <w:spacing w:line="360" w:lineRule="auto"/>
        <w:contextualSpacing/>
        <w:jc w:val="both"/>
        <w:rPr>
          <w:rFonts w:ascii="Calibri" w:hAnsi="Calibri"/>
          <w:sz w:val="28"/>
          <w:szCs w:val="28"/>
          <w:rtl/>
        </w:rPr>
      </w:pPr>
      <w:bookmarkStart w:id="6" w:name="ABSTRACT_START"/>
      <w:bookmarkEnd w:id="6"/>
      <w:r>
        <w:rPr>
          <w:rFonts w:ascii="Calibri" w:hAnsi="Calibri" w:hint="cs"/>
          <w:sz w:val="28"/>
          <w:szCs w:val="28"/>
          <w:rtl/>
        </w:rPr>
        <w:t>הנאשם, המרצה תקופת מאסר בבית הכלא, הורשע על פי הודאתו בשני כתבי אישום המייחסים לו עבירות של החזקת סמים בזמן ריצוי עונשו</w:t>
      </w:r>
      <w:bookmarkStart w:id="7" w:name="ABSTRACT_END"/>
      <w:bookmarkEnd w:id="7"/>
      <w:r>
        <w:rPr>
          <w:rFonts w:ascii="Calibri" w:hAnsi="Calibri" w:hint="cs"/>
          <w:sz w:val="28"/>
          <w:szCs w:val="28"/>
          <w:rtl/>
        </w:rPr>
        <w:t>:</w:t>
      </w:r>
    </w:p>
    <w:p w14:paraId="49D46FA4" w14:textId="77777777" w:rsidR="00F57604" w:rsidRDefault="00F57604">
      <w:pPr>
        <w:spacing w:line="360" w:lineRule="auto"/>
        <w:ind w:left="360"/>
        <w:contextualSpacing/>
        <w:jc w:val="both"/>
        <w:rPr>
          <w:rFonts w:ascii="Calibri" w:hAnsi="Calibri"/>
          <w:sz w:val="28"/>
          <w:szCs w:val="28"/>
        </w:rPr>
      </w:pPr>
    </w:p>
    <w:p w14:paraId="75CBB925" w14:textId="77777777" w:rsidR="00F57604" w:rsidRDefault="00E3017A">
      <w:pPr>
        <w:spacing w:line="360" w:lineRule="auto"/>
        <w:ind w:left="720" w:hanging="360"/>
        <w:contextualSpacing/>
        <w:jc w:val="both"/>
        <w:rPr>
          <w:rFonts w:ascii="Calibri" w:hAnsi="Calibri"/>
          <w:rtl/>
        </w:rPr>
      </w:pPr>
      <w:r>
        <w:rPr>
          <w:rFonts w:ascii="Calibri" w:hAnsi="Calibri" w:hint="cs"/>
          <w:sz w:val="28"/>
          <w:szCs w:val="28"/>
          <w:rtl/>
        </w:rPr>
        <w:t>א.</w:t>
      </w:r>
      <w:r>
        <w:rPr>
          <w:rFonts w:ascii="Calibri" w:hAnsi="Calibri" w:hint="cs"/>
          <w:sz w:val="28"/>
          <w:szCs w:val="28"/>
          <w:rtl/>
        </w:rPr>
        <w:tab/>
        <w:t xml:space="preserve">על פי המתואר בכתב אישום נשוא </w:t>
      </w:r>
      <w:hyperlink r:id="rId10" w:history="1">
        <w:r w:rsidRPr="00E3017A">
          <w:rPr>
            <w:rFonts w:ascii="Calibri" w:hAnsi="Calibri" w:hint="eastAsia"/>
            <w:color w:val="0000FF"/>
            <w:sz w:val="28"/>
            <w:szCs w:val="28"/>
            <w:u w:val="single"/>
            <w:rtl/>
          </w:rPr>
          <w:t>ת</w:t>
        </w:r>
        <w:r w:rsidRPr="00E3017A">
          <w:rPr>
            <w:rFonts w:ascii="Calibri" w:hAnsi="Calibri"/>
            <w:color w:val="0000FF"/>
            <w:sz w:val="28"/>
            <w:szCs w:val="28"/>
            <w:u w:val="single"/>
            <w:rtl/>
          </w:rPr>
          <w:t>"</w:t>
        </w:r>
        <w:r w:rsidRPr="00E3017A">
          <w:rPr>
            <w:rFonts w:ascii="Calibri" w:hAnsi="Calibri" w:hint="eastAsia"/>
            <w:color w:val="0000FF"/>
            <w:sz w:val="28"/>
            <w:szCs w:val="28"/>
            <w:u w:val="single"/>
            <w:rtl/>
          </w:rPr>
          <w:t>פ</w:t>
        </w:r>
        <w:r w:rsidRPr="00E3017A">
          <w:rPr>
            <w:rFonts w:ascii="Calibri" w:hAnsi="Calibri"/>
            <w:color w:val="0000FF"/>
            <w:sz w:val="28"/>
            <w:szCs w:val="28"/>
            <w:u w:val="single"/>
            <w:rtl/>
          </w:rPr>
          <w:t xml:space="preserve"> 16312-10-12</w:t>
        </w:r>
      </w:hyperlink>
      <w:r>
        <w:rPr>
          <w:rFonts w:ascii="Calibri" w:hAnsi="Calibri" w:hint="cs"/>
          <w:sz w:val="28"/>
          <w:szCs w:val="28"/>
          <w:rtl/>
        </w:rPr>
        <w:t xml:space="preserve"> ביום 5.7.11, ובעת שהותו של הנאשם בכלא אשמורת, הוא החזיק בגופו גליל ובתוכו סם מסוכן מסוג הירואין במשקל 12.246 גרם נטו, ובגינו הורשע בעבירה של </w:t>
      </w:r>
      <w:r>
        <w:rPr>
          <w:rFonts w:ascii="Calibri" w:hAnsi="Calibri" w:hint="cs"/>
          <w:b/>
          <w:bCs/>
          <w:sz w:val="28"/>
          <w:szCs w:val="28"/>
          <w:rtl/>
        </w:rPr>
        <w:t>החזקת סם שלא לצריכה עצמית</w:t>
      </w:r>
      <w:r>
        <w:rPr>
          <w:rFonts w:ascii="Calibri" w:hAnsi="Calibri" w:hint="cs"/>
          <w:sz w:val="28"/>
          <w:szCs w:val="28"/>
          <w:rtl/>
        </w:rPr>
        <w:t xml:space="preserve">, לפי </w:t>
      </w:r>
      <w:hyperlink r:id="rId11" w:history="1">
        <w:r w:rsidR="00154213" w:rsidRPr="00154213">
          <w:rPr>
            <w:rStyle w:val="Hyperlink"/>
            <w:rFonts w:ascii="Calibri" w:hAnsi="Calibri" w:hint="eastAsia"/>
            <w:sz w:val="28"/>
            <w:szCs w:val="28"/>
            <w:rtl/>
          </w:rPr>
          <w:t>סעיפים</w:t>
        </w:r>
        <w:r w:rsidR="00154213" w:rsidRPr="00154213">
          <w:rPr>
            <w:rStyle w:val="Hyperlink"/>
            <w:rFonts w:ascii="Calibri" w:hAnsi="Calibri"/>
            <w:sz w:val="28"/>
            <w:szCs w:val="28"/>
            <w:rtl/>
          </w:rPr>
          <w:t xml:space="preserve"> 7 (</w:t>
        </w:r>
        <w:r w:rsidR="00154213" w:rsidRPr="00154213">
          <w:rPr>
            <w:rStyle w:val="Hyperlink"/>
            <w:rFonts w:ascii="Calibri" w:hAnsi="Calibri" w:hint="eastAsia"/>
            <w:sz w:val="28"/>
            <w:szCs w:val="28"/>
            <w:rtl/>
          </w:rPr>
          <w:t>א</w:t>
        </w:r>
        <w:r w:rsidR="00154213" w:rsidRPr="00154213">
          <w:rPr>
            <w:rStyle w:val="Hyperlink"/>
            <w:rFonts w:ascii="Calibri" w:hAnsi="Calibri"/>
            <w:sz w:val="28"/>
            <w:szCs w:val="28"/>
            <w:rtl/>
          </w:rPr>
          <w:t>)</w:t>
        </w:r>
      </w:hyperlink>
      <w:r>
        <w:rPr>
          <w:rFonts w:ascii="Calibri" w:hAnsi="Calibri" w:hint="cs"/>
          <w:sz w:val="28"/>
          <w:szCs w:val="28"/>
          <w:rtl/>
        </w:rPr>
        <w:t xml:space="preserve"> + </w:t>
      </w:r>
      <w:hyperlink r:id="rId12" w:history="1">
        <w:r w:rsidR="00154213" w:rsidRPr="00154213">
          <w:rPr>
            <w:rStyle w:val="Hyperlink"/>
            <w:rFonts w:ascii="Calibri" w:hAnsi="Calibri"/>
            <w:sz w:val="28"/>
            <w:szCs w:val="28"/>
            <w:rtl/>
          </w:rPr>
          <w:t>7 (</w:t>
        </w:r>
        <w:r w:rsidR="00154213" w:rsidRPr="00154213">
          <w:rPr>
            <w:rStyle w:val="Hyperlink"/>
            <w:rFonts w:ascii="Calibri" w:hAnsi="Calibri" w:hint="eastAsia"/>
            <w:sz w:val="28"/>
            <w:szCs w:val="28"/>
            <w:rtl/>
          </w:rPr>
          <w:t>ג</w:t>
        </w:r>
        <w:r w:rsidR="00154213" w:rsidRPr="00154213">
          <w:rPr>
            <w:rStyle w:val="Hyperlink"/>
            <w:rFonts w:ascii="Calibri" w:hAnsi="Calibri"/>
            <w:sz w:val="28"/>
            <w:szCs w:val="28"/>
            <w:rtl/>
          </w:rPr>
          <w:t>)</w:t>
        </w:r>
      </w:hyperlink>
      <w:r>
        <w:rPr>
          <w:rFonts w:ascii="Calibri" w:hAnsi="Calibri" w:hint="cs"/>
          <w:sz w:val="28"/>
          <w:szCs w:val="28"/>
          <w:rtl/>
        </w:rPr>
        <w:t xml:space="preserve"> ריישא ל</w:t>
      </w:r>
      <w:hyperlink r:id="rId13" w:history="1">
        <w:r w:rsidRPr="00E3017A">
          <w:rPr>
            <w:rFonts w:ascii="Calibri" w:hAnsi="Calibri" w:hint="eastAsia"/>
            <w:color w:val="0000FF"/>
            <w:sz w:val="28"/>
            <w:szCs w:val="28"/>
            <w:u w:val="single"/>
            <w:rtl/>
          </w:rPr>
          <w:t>פקודת</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הסמים</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המסוכנים</w:t>
        </w:r>
      </w:hyperlink>
      <w:r>
        <w:rPr>
          <w:rFonts w:ascii="Calibri" w:hAnsi="Calibri" w:hint="cs"/>
          <w:sz w:val="28"/>
          <w:szCs w:val="28"/>
          <w:rtl/>
        </w:rPr>
        <w:t xml:space="preserve">, התשל"ג – 1973 </w:t>
      </w:r>
      <w:r>
        <w:rPr>
          <w:rFonts w:ascii="Calibri" w:hAnsi="Calibri" w:hint="cs"/>
          <w:rtl/>
        </w:rPr>
        <w:t>(להלן: "התיק העיקרי").</w:t>
      </w:r>
    </w:p>
    <w:p w14:paraId="238AC717" w14:textId="77777777" w:rsidR="00F57604" w:rsidRDefault="00F57604">
      <w:pPr>
        <w:spacing w:line="360" w:lineRule="auto"/>
        <w:ind w:left="360"/>
        <w:contextualSpacing/>
        <w:jc w:val="both"/>
        <w:rPr>
          <w:rFonts w:ascii="Calibri" w:hAnsi="Calibri"/>
          <w:rtl/>
        </w:rPr>
      </w:pPr>
    </w:p>
    <w:p w14:paraId="1E048092" w14:textId="77777777" w:rsidR="00F57604" w:rsidRDefault="00E3017A">
      <w:pPr>
        <w:spacing w:line="360" w:lineRule="auto"/>
        <w:ind w:left="720" w:hanging="360"/>
        <w:contextualSpacing/>
        <w:jc w:val="both"/>
        <w:rPr>
          <w:rFonts w:ascii="Calibri" w:hAnsi="Calibri"/>
          <w:rtl/>
        </w:rPr>
      </w:pPr>
      <w:r>
        <w:rPr>
          <w:rFonts w:ascii="Calibri" w:hAnsi="Calibri" w:hint="cs"/>
          <w:sz w:val="28"/>
          <w:szCs w:val="28"/>
          <w:rtl/>
        </w:rPr>
        <w:t>ב.</w:t>
      </w:r>
      <w:r>
        <w:rPr>
          <w:rFonts w:ascii="Calibri" w:hAnsi="Calibri" w:hint="cs"/>
          <w:sz w:val="28"/>
          <w:szCs w:val="28"/>
          <w:rtl/>
        </w:rPr>
        <w:tab/>
        <w:t xml:space="preserve">על פי המתואר בכתב אישום נשוא ת"פ </w:t>
      </w:r>
      <w:hyperlink r:id="rId14" w:history="1">
        <w:r w:rsidR="000E172C" w:rsidRPr="000E172C">
          <w:rPr>
            <w:rFonts w:ascii="Calibri" w:hAnsi="Calibri"/>
            <w:color w:val="0000FF"/>
            <w:sz w:val="28"/>
            <w:szCs w:val="28"/>
            <w:u w:val="single"/>
            <w:rtl/>
          </w:rPr>
          <w:t>25860-10-14</w:t>
        </w:r>
      </w:hyperlink>
      <w:r>
        <w:rPr>
          <w:rFonts w:ascii="Calibri" w:hAnsi="Calibri" w:hint="cs"/>
          <w:sz w:val="28"/>
          <w:szCs w:val="28"/>
          <w:rtl/>
        </w:rPr>
        <w:t xml:space="preserve">, ביום 30.6.14, ובעת שהותו של הנאשם בכלא השרון, הוא החזיק סם מסוכן מסוג בופרנורפין במשקל של 0.1099 גרם נטו, והורשע בעבירה של </w:t>
      </w:r>
      <w:r>
        <w:rPr>
          <w:rFonts w:ascii="Calibri" w:hAnsi="Calibri" w:hint="cs"/>
          <w:b/>
          <w:bCs/>
          <w:sz w:val="28"/>
          <w:szCs w:val="28"/>
          <w:rtl/>
        </w:rPr>
        <w:t>החזקת סם לצריכה עצמית</w:t>
      </w:r>
      <w:r>
        <w:rPr>
          <w:rFonts w:ascii="Calibri" w:hAnsi="Calibri" w:hint="cs"/>
          <w:sz w:val="28"/>
          <w:szCs w:val="28"/>
          <w:rtl/>
        </w:rPr>
        <w:t xml:space="preserve">, </w:t>
      </w:r>
      <w:r>
        <w:rPr>
          <w:rFonts w:ascii="Calibri" w:hAnsi="Calibri" w:hint="cs"/>
          <w:sz w:val="28"/>
          <w:szCs w:val="28"/>
          <w:rtl/>
        </w:rPr>
        <w:lastRenderedPageBreak/>
        <w:t xml:space="preserve">לפי </w:t>
      </w:r>
      <w:hyperlink r:id="rId15" w:history="1">
        <w:r w:rsidR="00154213" w:rsidRPr="00154213">
          <w:rPr>
            <w:rStyle w:val="Hyperlink"/>
            <w:rFonts w:ascii="Calibri" w:hAnsi="Calibri" w:hint="eastAsia"/>
            <w:sz w:val="28"/>
            <w:szCs w:val="28"/>
            <w:rtl/>
          </w:rPr>
          <w:t>סעיפים</w:t>
        </w:r>
        <w:r w:rsidR="00154213" w:rsidRPr="00154213">
          <w:rPr>
            <w:rStyle w:val="Hyperlink"/>
            <w:rFonts w:ascii="Calibri" w:hAnsi="Calibri"/>
            <w:sz w:val="28"/>
            <w:szCs w:val="28"/>
            <w:rtl/>
          </w:rPr>
          <w:t xml:space="preserve"> 7 (</w:t>
        </w:r>
        <w:r w:rsidR="00154213" w:rsidRPr="00154213">
          <w:rPr>
            <w:rStyle w:val="Hyperlink"/>
            <w:rFonts w:ascii="Calibri" w:hAnsi="Calibri" w:hint="eastAsia"/>
            <w:sz w:val="28"/>
            <w:szCs w:val="28"/>
            <w:rtl/>
          </w:rPr>
          <w:t>א</w:t>
        </w:r>
        <w:r w:rsidR="00154213" w:rsidRPr="00154213">
          <w:rPr>
            <w:rStyle w:val="Hyperlink"/>
            <w:rFonts w:ascii="Calibri" w:hAnsi="Calibri"/>
            <w:sz w:val="28"/>
            <w:szCs w:val="28"/>
            <w:rtl/>
          </w:rPr>
          <w:t>)</w:t>
        </w:r>
      </w:hyperlink>
      <w:r>
        <w:rPr>
          <w:rFonts w:ascii="Calibri" w:hAnsi="Calibri" w:hint="cs"/>
          <w:sz w:val="28"/>
          <w:szCs w:val="28"/>
          <w:rtl/>
        </w:rPr>
        <w:t xml:space="preserve"> + </w:t>
      </w:r>
      <w:hyperlink r:id="rId16" w:history="1">
        <w:r w:rsidR="00154213" w:rsidRPr="00154213">
          <w:rPr>
            <w:rStyle w:val="Hyperlink"/>
            <w:rFonts w:ascii="Calibri" w:hAnsi="Calibri"/>
            <w:sz w:val="28"/>
            <w:szCs w:val="28"/>
            <w:rtl/>
          </w:rPr>
          <w:t>7 (</w:t>
        </w:r>
        <w:r w:rsidR="00154213" w:rsidRPr="00154213">
          <w:rPr>
            <w:rStyle w:val="Hyperlink"/>
            <w:rFonts w:ascii="Calibri" w:hAnsi="Calibri" w:hint="eastAsia"/>
            <w:sz w:val="28"/>
            <w:szCs w:val="28"/>
            <w:rtl/>
          </w:rPr>
          <w:t>ג</w:t>
        </w:r>
        <w:r w:rsidR="00154213" w:rsidRPr="00154213">
          <w:rPr>
            <w:rStyle w:val="Hyperlink"/>
            <w:rFonts w:ascii="Calibri" w:hAnsi="Calibri"/>
            <w:sz w:val="28"/>
            <w:szCs w:val="28"/>
            <w:rtl/>
          </w:rPr>
          <w:t>)</w:t>
        </w:r>
      </w:hyperlink>
      <w:r>
        <w:rPr>
          <w:rFonts w:ascii="Calibri" w:hAnsi="Calibri" w:hint="cs"/>
          <w:sz w:val="28"/>
          <w:szCs w:val="28"/>
          <w:rtl/>
        </w:rPr>
        <w:t xml:space="preserve"> סיפא ל</w:t>
      </w:r>
      <w:hyperlink r:id="rId17" w:history="1">
        <w:r w:rsidRPr="00E3017A">
          <w:rPr>
            <w:rFonts w:ascii="Calibri" w:hAnsi="Calibri" w:hint="eastAsia"/>
            <w:color w:val="0000FF"/>
            <w:sz w:val="28"/>
            <w:szCs w:val="28"/>
            <w:u w:val="single"/>
            <w:rtl/>
          </w:rPr>
          <w:t>פקודת</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הסמים</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המסוכנים</w:t>
        </w:r>
      </w:hyperlink>
      <w:r>
        <w:rPr>
          <w:rFonts w:ascii="Calibri" w:hAnsi="Calibri" w:hint="cs"/>
          <w:sz w:val="28"/>
          <w:szCs w:val="28"/>
          <w:rtl/>
        </w:rPr>
        <w:t xml:space="preserve"> </w:t>
      </w:r>
      <w:r>
        <w:rPr>
          <w:rFonts w:ascii="Calibri" w:hAnsi="Calibri" w:hint="cs"/>
          <w:rtl/>
        </w:rPr>
        <w:t xml:space="preserve">(להלן: "התיק הנוסף"). </w:t>
      </w:r>
    </w:p>
    <w:p w14:paraId="2DC511E5" w14:textId="77777777" w:rsidR="00F57604" w:rsidRDefault="00F57604">
      <w:pPr>
        <w:spacing w:line="360" w:lineRule="auto"/>
        <w:ind w:left="720"/>
        <w:contextualSpacing/>
        <w:jc w:val="both"/>
        <w:rPr>
          <w:rFonts w:ascii="Calibri" w:hAnsi="Calibri"/>
          <w:sz w:val="28"/>
          <w:szCs w:val="28"/>
          <w:rtl/>
        </w:rPr>
      </w:pPr>
    </w:p>
    <w:p w14:paraId="7C4C4226" w14:textId="77777777" w:rsidR="00F57604" w:rsidRDefault="00E3017A">
      <w:pPr>
        <w:numPr>
          <w:ilvl w:val="0"/>
          <w:numId w:val="1"/>
        </w:numPr>
        <w:spacing w:line="360" w:lineRule="auto"/>
        <w:contextualSpacing/>
        <w:jc w:val="both"/>
        <w:rPr>
          <w:rFonts w:ascii="Calibri" w:hAnsi="Calibri"/>
          <w:sz w:val="28"/>
          <w:szCs w:val="28"/>
          <w:rtl/>
        </w:rPr>
      </w:pPr>
      <w:r>
        <w:rPr>
          <w:rFonts w:ascii="Calibri" w:hAnsi="Calibri" w:hint="cs"/>
          <w:sz w:val="28"/>
          <w:szCs w:val="28"/>
          <w:rtl/>
        </w:rPr>
        <w:t xml:space="preserve">הצדדים הציגו הסדר טיעון חלקי, במסגרתו הודה הנאשם בשני התיקים ונשלח לשירות מבחן לצורך קבלת תסקיר בעניינו, וזאת ללא שהושגו הסכמות לעניין העונש. </w:t>
      </w:r>
    </w:p>
    <w:p w14:paraId="1492A258" w14:textId="77777777" w:rsidR="00F57604" w:rsidRDefault="00E3017A">
      <w:pPr>
        <w:spacing w:line="360" w:lineRule="auto"/>
        <w:ind w:firstLine="360"/>
        <w:jc w:val="both"/>
        <w:rPr>
          <w:rFonts w:ascii="Calibri" w:hAnsi="Calibri"/>
          <w:b/>
          <w:bCs/>
          <w:sz w:val="28"/>
          <w:szCs w:val="28"/>
          <w:u w:val="single"/>
          <w:rtl/>
        </w:rPr>
      </w:pPr>
      <w:r>
        <w:rPr>
          <w:rFonts w:ascii="Calibri" w:hAnsi="Calibri" w:hint="cs"/>
          <w:b/>
          <w:bCs/>
          <w:sz w:val="28"/>
          <w:szCs w:val="28"/>
          <w:u w:val="single"/>
          <w:rtl/>
        </w:rPr>
        <w:t>תסקיר שירות המבחן</w:t>
      </w:r>
    </w:p>
    <w:p w14:paraId="586ACB3B" w14:textId="77777777" w:rsidR="00F57604" w:rsidRDefault="00F57604">
      <w:pPr>
        <w:spacing w:line="360" w:lineRule="auto"/>
        <w:ind w:firstLine="360"/>
        <w:jc w:val="both"/>
        <w:rPr>
          <w:rFonts w:ascii="Calibri" w:hAnsi="Calibri"/>
          <w:b/>
          <w:bCs/>
          <w:sz w:val="28"/>
          <w:szCs w:val="28"/>
          <w:u w:val="single"/>
          <w:rtl/>
        </w:rPr>
      </w:pPr>
    </w:p>
    <w:p w14:paraId="1403784B" w14:textId="77777777" w:rsidR="00F57604" w:rsidRDefault="00E3017A">
      <w:pPr>
        <w:numPr>
          <w:ilvl w:val="0"/>
          <w:numId w:val="1"/>
        </w:numPr>
        <w:spacing w:line="360" w:lineRule="auto"/>
        <w:contextualSpacing/>
        <w:jc w:val="both"/>
        <w:rPr>
          <w:rFonts w:ascii="Calibri" w:hAnsi="Calibri"/>
          <w:sz w:val="28"/>
          <w:szCs w:val="28"/>
          <w:rtl/>
        </w:rPr>
      </w:pPr>
      <w:r>
        <w:rPr>
          <w:rFonts w:ascii="Calibri" w:hAnsi="Calibri" w:hint="cs"/>
          <w:sz w:val="28"/>
          <w:szCs w:val="28"/>
          <w:rtl/>
        </w:rPr>
        <w:t>מהתסקיר שהתקבל ביום 24.9.15 עולה כי מדובר בנאשם כבן 36, בעל עבר פלילי עשיר, המרצה עונש מאסר בגין עבירות רכוש.</w:t>
      </w:r>
    </w:p>
    <w:p w14:paraId="642A9143" w14:textId="77777777" w:rsidR="00F57604" w:rsidRDefault="00E3017A">
      <w:pPr>
        <w:spacing w:line="360" w:lineRule="auto"/>
        <w:ind w:left="357"/>
        <w:jc w:val="both"/>
        <w:rPr>
          <w:rFonts w:ascii="Calibri" w:hAnsi="Calibri"/>
          <w:sz w:val="28"/>
          <w:szCs w:val="28"/>
          <w:rtl/>
        </w:rPr>
      </w:pPr>
      <w:r>
        <w:rPr>
          <w:rFonts w:ascii="Calibri" w:hAnsi="Calibri" w:hint="cs"/>
          <w:sz w:val="28"/>
          <w:szCs w:val="28"/>
          <w:rtl/>
        </w:rPr>
        <w:t>התסקיר מתאר את הרקע המשפחתי המורכב, היחסים הבעייתיים עם הוריו, מצוקה כלכלית קשה ממנה סבל לאורך השנים, עבודתו כמוכר בשוק מגיל צעיר והתחברותו עם חברה שולית, שהובילה לכך שהחל לצרוך סמים ולבצע עבירות פליליות, כאשר גם היום הוא מנהל אורח חיים התמכרותי אשר אינו מטופל כנדרש.</w:t>
      </w:r>
    </w:p>
    <w:p w14:paraId="5013A423" w14:textId="77777777" w:rsidR="00F57604" w:rsidRDefault="00E3017A">
      <w:pPr>
        <w:spacing w:line="360" w:lineRule="auto"/>
        <w:ind w:left="357"/>
        <w:jc w:val="both"/>
        <w:rPr>
          <w:rFonts w:ascii="Calibri" w:hAnsi="Calibri"/>
          <w:sz w:val="28"/>
          <w:szCs w:val="28"/>
          <w:rtl/>
        </w:rPr>
      </w:pPr>
      <w:r>
        <w:rPr>
          <w:rFonts w:ascii="Calibri" w:hAnsi="Calibri" w:hint="cs"/>
          <w:sz w:val="28"/>
          <w:szCs w:val="28"/>
          <w:rtl/>
        </w:rPr>
        <w:t xml:space="preserve">בשיחה עם קצינת המבחן התייחס הנאשם לעבירת החזקת הסמים שלא לצריכה עצמית </w:t>
      </w:r>
      <w:r>
        <w:rPr>
          <w:rFonts w:ascii="Calibri" w:hAnsi="Calibri" w:hint="cs"/>
          <w:rtl/>
        </w:rPr>
        <w:t>(בתיק העיקרי)</w:t>
      </w:r>
      <w:r>
        <w:rPr>
          <w:rFonts w:ascii="Calibri" w:hAnsi="Calibri" w:hint="cs"/>
          <w:sz w:val="28"/>
          <w:szCs w:val="28"/>
          <w:rtl/>
        </w:rPr>
        <w:t xml:space="preserve">, הודה במיוחס לו ותלה זאת בשימוש המתמשך בסמים, ואילו ביחס לתיק הנוסף, הוא לא הודה בפניה באופן מלא, וביטא כעס על ניהול ההליך נגדו, כשלדבריו אינו מעוניין בטיפול והוא מסוגל להשתקם בכוחות עצמו, הגם שהוא משתמש באופן תדיר בסמים "כבדים" ומבטא חוסר אונים ממצבו ההתמכרותי.   </w:t>
      </w:r>
    </w:p>
    <w:p w14:paraId="1C8CA2AA" w14:textId="77777777" w:rsidR="00F57604" w:rsidRDefault="00E3017A">
      <w:pPr>
        <w:spacing w:line="360" w:lineRule="auto"/>
        <w:ind w:left="360"/>
        <w:jc w:val="both"/>
        <w:rPr>
          <w:rFonts w:ascii="Calibri" w:hAnsi="Calibri" w:cs="Arial"/>
          <w:sz w:val="22"/>
          <w:szCs w:val="22"/>
          <w:rtl/>
        </w:rPr>
      </w:pPr>
      <w:r>
        <w:rPr>
          <w:rFonts w:ascii="Calibri" w:hAnsi="Calibri" w:hint="cs"/>
          <w:sz w:val="28"/>
          <w:szCs w:val="28"/>
          <w:rtl/>
        </w:rPr>
        <w:t xml:space="preserve">קצינת המבחן התרשמה שמדובר באדם שהחל לצרוך חומרים ממכרים על רקע מצבו המשפחתי המורכב, ועם השנים פיתח בהם תלות פיזית ורגשית, מבלי שפנה לטיפול שיסייע לו, הגם שכיום הוא נעזר רק בתחליף סם. כך, ולאור אורח החיים העברייני וההסתבכויות החוזרות עם החוק, כמו גם היחס שביטא כלפי העבירות ושאין בו משום לקיחת אחריות מלאה – קבעה קצינת המבחן שקיים סיכון גבוה להישנות המעשים, ולא ניתן לגבש כל המלצה טיפולית בעניינו של הנאשם. </w:t>
      </w:r>
    </w:p>
    <w:p w14:paraId="5A492654" w14:textId="77777777" w:rsidR="00F57604" w:rsidRDefault="00F57604">
      <w:pPr>
        <w:spacing w:line="360" w:lineRule="auto"/>
        <w:rPr>
          <w:rFonts w:ascii="Calibri" w:hAnsi="Calibri" w:cs="Arial"/>
          <w:sz w:val="22"/>
          <w:szCs w:val="22"/>
          <w:rtl/>
        </w:rPr>
      </w:pPr>
    </w:p>
    <w:p w14:paraId="435044CC" w14:textId="77777777" w:rsidR="00F57604" w:rsidRDefault="00E3017A">
      <w:pPr>
        <w:spacing w:line="360" w:lineRule="auto"/>
        <w:ind w:firstLine="360"/>
        <w:jc w:val="both"/>
        <w:rPr>
          <w:rFonts w:ascii="Calibri" w:hAnsi="Calibri"/>
          <w:b/>
          <w:bCs/>
          <w:sz w:val="28"/>
          <w:szCs w:val="28"/>
          <w:u w:val="single"/>
          <w:rtl/>
        </w:rPr>
      </w:pPr>
      <w:r>
        <w:rPr>
          <w:rFonts w:ascii="Calibri" w:hAnsi="Calibri" w:hint="cs"/>
          <w:b/>
          <w:bCs/>
          <w:sz w:val="28"/>
          <w:szCs w:val="28"/>
          <w:u w:val="single"/>
          <w:rtl/>
        </w:rPr>
        <w:t>טיעוני הצדדים</w:t>
      </w:r>
    </w:p>
    <w:p w14:paraId="796C2F9B" w14:textId="77777777" w:rsidR="00F57604" w:rsidRDefault="00F57604">
      <w:pPr>
        <w:spacing w:line="360" w:lineRule="auto"/>
        <w:ind w:firstLine="360"/>
        <w:jc w:val="both"/>
        <w:rPr>
          <w:rFonts w:ascii="Calibri" w:hAnsi="Calibri"/>
          <w:b/>
          <w:bCs/>
          <w:sz w:val="28"/>
          <w:szCs w:val="28"/>
          <w:u w:val="single"/>
          <w:rtl/>
        </w:rPr>
      </w:pPr>
    </w:p>
    <w:p w14:paraId="466B43EC" w14:textId="77777777" w:rsidR="00F57604" w:rsidRDefault="00E3017A">
      <w:pPr>
        <w:numPr>
          <w:ilvl w:val="0"/>
          <w:numId w:val="1"/>
        </w:numPr>
        <w:spacing w:line="360" w:lineRule="auto"/>
        <w:contextualSpacing/>
        <w:jc w:val="both"/>
        <w:rPr>
          <w:rFonts w:ascii="Calibri" w:hAnsi="Calibri"/>
          <w:sz w:val="28"/>
          <w:szCs w:val="28"/>
          <w:rtl/>
        </w:rPr>
      </w:pPr>
      <w:r>
        <w:rPr>
          <w:rFonts w:ascii="Calibri" w:hAnsi="Calibri" w:hint="cs"/>
          <w:sz w:val="28"/>
          <w:szCs w:val="28"/>
          <w:rtl/>
        </w:rPr>
        <w:t xml:space="preserve">ב"כ המאשימה טענה, כי בתיק העיקרי הנאשם החזיק כמות גדולה של סם הירואין, תוך שעמדה על חומרת שתי העבירות והערכים המוגנים שנפגעו בעקבות </w:t>
      </w:r>
      <w:r>
        <w:rPr>
          <w:rFonts w:ascii="Calibri" w:hAnsi="Calibri" w:hint="cs"/>
          <w:sz w:val="28"/>
          <w:szCs w:val="28"/>
          <w:rtl/>
        </w:rPr>
        <w:lastRenderedPageBreak/>
        <w:t>ביצוען, והפנתה לפסיקה, לגיליון הרישום הפלילי ולמאסר על תנאי שתלוי ועומד כנגד הנאשם. לטענת ב"כ המאשימה, מתחם העונש הראוי בגין העבירות נע בין 16 ועד 30 חודשי מאסר בפועל, כשיש לגזור את העונש באמצע המתחם, ובמצטבר לכל עונש מאסר אותו הוא מרצה כיום.</w:t>
      </w:r>
    </w:p>
    <w:p w14:paraId="1C197CE5" w14:textId="77777777" w:rsidR="00F57604" w:rsidRDefault="00F57604">
      <w:pPr>
        <w:spacing w:line="360" w:lineRule="auto"/>
        <w:ind w:left="360"/>
        <w:contextualSpacing/>
        <w:jc w:val="both"/>
        <w:rPr>
          <w:rFonts w:ascii="Calibri" w:hAnsi="Calibri"/>
          <w:sz w:val="28"/>
          <w:szCs w:val="28"/>
        </w:rPr>
      </w:pPr>
    </w:p>
    <w:p w14:paraId="18D90D99" w14:textId="77777777" w:rsidR="00F57604" w:rsidRDefault="00E3017A">
      <w:pPr>
        <w:numPr>
          <w:ilvl w:val="0"/>
          <w:numId w:val="1"/>
        </w:numPr>
        <w:spacing w:line="360" w:lineRule="auto"/>
        <w:contextualSpacing/>
        <w:jc w:val="both"/>
        <w:rPr>
          <w:rFonts w:ascii="Calibri" w:hAnsi="Calibri"/>
          <w:sz w:val="28"/>
          <w:szCs w:val="28"/>
          <w:rtl/>
        </w:rPr>
      </w:pPr>
      <w:r>
        <w:rPr>
          <w:rFonts w:ascii="Calibri" w:hAnsi="Calibri" w:hint="cs"/>
          <w:sz w:val="28"/>
          <w:szCs w:val="28"/>
          <w:rtl/>
        </w:rPr>
        <w:t xml:space="preserve">מנגד טענה הסנגורית, כי אין למצות את הדין עם הנאשם, אשר לא היה זה שהחדיר את הסמים לכלא, מה גם שלמרות הכמות הגדולה של ההרואין שהחזיק – אין ראיה כי הוא ייעד אותו לאסירים אחרים, ולא לשימוש עצמי. </w:t>
      </w:r>
    </w:p>
    <w:p w14:paraId="59EB6718" w14:textId="77777777" w:rsidR="00F57604" w:rsidRDefault="00E3017A">
      <w:pPr>
        <w:spacing w:line="360" w:lineRule="auto"/>
        <w:ind w:left="360"/>
        <w:contextualSpacing/>
        <w:jc w:val="both"/>
        <w:rPr>
          <w:rFonts w:ascii="Calibri" w:hAnsi="Calibri"/>
          <w:sz w:val="28"/>
          <w:szCs w:val="28"/>
          <w:rtl/>
        </w:rPr>
      </w:pPr>
      <w:r>
        <w:rPr>
          <w:rFonts w:ascii="Calibri" w:hAnsi="Calibri" w:hint="cs"/>
          <w:sz w:val="28"/>
          <w:szCs w:val="28"/>
          <w:rtl/>
        </w:rPr>
        <w:t xml:space="preserve">הסנגורית הוסיפה, כי מדובר בנאשם בעל סיפור חיים קשה, אשר מגיל צעיר נאלץ לפרנס את משפחתו, ורק משום שנמצא לא מתאים להליך טיפולי – הוא לא פנה לגמילה מסמים, תוך שהפנתה לחומר רפואי המלמד על בעיות בריאותיות מהן הוא סובל ועל שימוש מצומצם יותר בתחליף הסם אותו הוא נוטל. </w:t>
      </w:r>
    </w:p>
    <w:p w14:paraId="36DEEC9F" w14:textId="77777777" w:rsidR="00F57604" w:rsidRDefault="00E3017A">
      <w:pPr>
        <w:spacing w:line="360" w:lineRule="auto"/>
        <w:ind w:left="360"/>
        <w:contextualSpacing/>
        <w:jc w:val="both"/>
        <w:rPr>
          <w:rFonts w:ascii="Calibri" w:hAnsi="Calibri"/>
          <w:sz w:val="28"/>
          <w:szCs w:val="28"/>
        </w:rPr>
      </w:pPr>
      <w:r>
        <w:rPr>
          <w:rFonts w:ascii="Calibri" w:hAnsi="Calibri" w:hint="cs"/>
          <w:sz w:val="28"/>
          <w:szCs w:val="28"/>
          <w:rtl/>
        </w:rPr>
        <w:t xml:space="preserve">עוד הפנתה הסנגורית לחלוף הזמן מאז ביצוע העבירה בתיק העיקרי, בשנת 2011, ולכך שבתיק הנוסף מדובר בהחזקת סם בכמות קטנה מאד ולמטרת שיכוך כאבים, כשלטענתה מתחם העונש נע בין 6 חודשי מאסר שניתן לרצות בדרך של עבודות שירות ועד 12 חודשי מאסר, וזאת בחופף לכל עונש מאסר אותו הוא מרצה. </w:t>
      </w:r>
    </w:p>
    <w:p w14:paraId="21284EA1" w14:textId="77777777" w:rsidR="00F57604" w:rsidRDefault="00F57604">
      <w:pPr>
        <w:spacing w:line="360" w:lineRule="auto"/>
        <w:ind w:left="360"/>
        <w:jc w:val="both"/>
        <w:rPr>
          <w:sz w:val="28"/>
          <w:szCs w:val="28"/>
          <w:rtl/>
        </w:rPr>
      </w:pPr>
    </w:p>
    <w:p w14:paraId="225D392D" w14:textId="77777777" w:rsidR="00F57604" w:rsidRDefault="00E3017A">
      <w:pPr>
        <w:spacing w:line="360" w:lineRule="auto"/>
        <w:ind w:left="360"/>
        <w:jc w:val="both"/>
        <w:rPr>
          <w:rFonts w:ascii="Times New Roman" w:hAnsi="Times New Roman"/>
          <w:sz w:val="28"/>
          <w:szCs w:val="28"/>
          <w:rtl/>
        </w:rPr>
      </w:pPr>
      <w:r>
        <w:rPr>
          <w:rFonts w:hint="cs"/>
          <w:sz w:val="28"/>
          <w:szCs w:val="28"/>
          <w:rtl/>
        </w:rPr>
        <w:t>הנאשם עצמו ביקש שלא למצות עימו את הדין, ולהתחשב במצבו האישי והמשפחתי הלא פשוט, וברצונו לצאת ממעגל הסמים.</w:t>
      </w:r>
    </w:p>
    <w:p w14:paraId="6D674026" w14:textId="77777777" w:rsidR="00F57604" w:rsidRDefault="00F57604">
      <w:pPr>
        <w:spacing w:line="360" w:lineRule="auto"/>
        <w:jc w:val="both"/>
        <w:rPr>
          <w:rFonts w:ascii="Calibri" w:hAnsi="Calibri"/>
          <w:b/>
          <w:bCs/>
          <w:sz w:val="28"/>
          <w:szCs w:val="28"/>
          <w:u w:val="single"/>
          <w:rtl/>
        </w:rPr>
      </w:pPr>
    </w:p>
    <w:p w14:paraId="2D14D29D" w14:textId="77777777" w:rsidR="00F57604" w:rsidRDefault="00E3017A">
      <w:pPr>
        <w:spacing w:line="360" w:lineRule="auto"/>
        <w:ind w:left="360"/>
        <w:jc w:val="both"/>
        <w:rPr>
          <w:rFonts w:ascii="Calibri" w:hAnsi="Calibri"/>
          <w:b/>
          <w:bCs/>
          <w:sz w:val="28"/>
          <w:szCs w:val="28"/>
          <w:u w:val="single"/>
          <w:rtl/>
        </w:rPr>
      </w:pPr>
      <w:r>
        <w:rPr>
          <w:rFonts w:ascii="Calibri" w:hAnsi="Calibri" w:hint="cs"/>
          <w:b/>
          <w:bCs/>
          <w:sz w:val="28"/>
          <w:szCs w:val="28"/>
          <w:u w:val="single"/>
          <w:rtl/>
        </w:rPr>
        <w:t>מתחם העונש ההולם לעבירות</w:t>
      </w:r>
    </w:p>
    <w:p w14:paraId="12E09E97" w14:textId="77777777" w:rsidR="00F57604" w:rsidRDefault="00F57604">
      <w:pPr>
        <w:spacing w:line="360" w:lineRule="auto"/>
        <w:ind w:left="360"/>
        <w:jc w:val="both"/>
        <w:rPr>
          <w:rFonts w:ascii="Calibri" w:hAnsi="Calibri"/>
          <w:b/>
          <w:bCs/>
          <w:sz w:val="28"/>
          <w:szCs w:val="28"/>
          <w:u w:val="single"/>
          <w:rtl/>
        </w:rPr>
      </w:pPr>
    </w:p>
    <w:p w14:paraId="4E30BA41" w14:textId="77777777" w:rsidR="00F57604" w:rsidRDefault="00E3017A">
      <w:pPr>
        <w:numPr>
          <w:ilvl w:val="0"/>
          <w:numId w:val="1"/>
        </w:numPr>
        <w:spacing w:line="360" w:lineRule="auto"/>
        <w:contextualSpacing/>
        <w:jc w:val="both"/>
        <w:rPr>
          <w:rFonts w:ascii="Times New Roman" w:hAnsi="Times New Roman"/>
          <w:sz w:val="28"/>
          <w:szCs w:val="28"/>
          <w:rtl/>
        </w:rPr>
      </w:pPr>
      <w:r>
        <w:rPr>
          <w:rFonts w:ascii="Calibri" w:hAnsi="Calibri" w:hint="cs"/>
          <w:sz w:val="28"/>
          <w:szCs w:val="28"/>
          <w:rtl/>
        </w:rPr>
        <w:t>הנאשם הודה בביצוע עבירה של החזקת סם שלא לצריכה עצמית בתוך הכלא, ובכך  פגע בערכים של הגנה על שלום הציבור מפני פגיעתם הקשה של סמים מסוכנים, וכשהעבירה מבוצעת בתוך כתלי הכלא, עלול הדבר להשליך על האסירים האחרים ועל התנהלותם מול שלטונות הכלא. במעשיו פגע הנאשם בסדר היום המקובל ובצורך לשמור על סדר ומשמעת בקרב האסירים, והיווה פוטנציאל מסוכנות לעצמו ולסביבה.</w:t>
      </w:r>
    </w:p>
    <w:p w14:paraId="3E6640AE" w14:textId="77777777" w:rsidR="00F57604" w:rsidRDefault="00F57604">
      <w:pPr>
        <w:spacing w:line="360" w:lineRule="auto"/>
        <w:ind w:left="360"/>
        <w:contextualSpacing/>
        <w:jc w:val="both"/>
        <w:rPr>
          <w:sz w:val="28"/>
          <w:szCs w:val="28"/>
        </w:rPr>
      </w:pPr>
    </w:p>
    <w:p w14:paraId="73CC30B8" w14:textId="77777777" w:rsidR="00F57604" w:rsidRDefault="00E3017A">
      <w:pPr>
        <w:spacing w:line="360" w:lineRule="auto"/>
        <w:ind w:left="360"/>
        <w:jc w:val="both"/>
        <w:rPr>
          <w:sz w:val="28"/>
          <w:szCs w:val="28"/>
          <w:rtl/>
        </w:rPr>
      </w:pPr>
      <w:r>
        <w:rPr>
          <w:rFonts w:hint="cs"/>
          <w:sz w:val="28"/>
          <w:szCs w:val="28"/>
          <w:rtl/>
        </w:rPr>
        <w:t>במקרה זה, מדובר על פגיעה ממשית בערכים מוגנים, ואין לקבל מצב בו אדם שנשלח לרצות מאסר מאחורי סורג ובריח ימשיך לבצע עבירות, ובמיוחד כשמדובר בעבירה של החזקת סם קטלני מסוג הרואין במשקל לא מבוטל של כ- 12 גרם, אותו הסתיר הנאשם בגופו, בשעה שריצה עונש מאסר אחר שהוטל עליו, ולמרות היותו תחת פיקוח שלטונות הכלא.</w:t>
      </w:r>
    </w:p>
    <w:p w14:paraId="7B75F70E" w14:textId="77777777" w:rsidR="00F57604" w:rsidRDefault="00E3017A">
      <w:pPr>
        <w:spacing w:line="360" w:lineRule="auto"/>
        <w:ind w:left="360"/>
        <w:jc w:val="both"/>
        <w:rPr>
          <w:sz w:val="28"/>
          <w:szCs w:val="28"/>
          <w:rtl/>
        </w:rPr>
      </w:pPr>
      <w:r>
        <w:rPr>
          <w:rFonts w:hint="cs"/>
          <w:sz w:val="28"/>
          <w:szCs w:val="28"/>
          <w:rtl/>
        </w:rPr>
        <w:t>בבחינת הפסיקה עולה כי קיימת התייחסות מחמירה של בתי המשפט למי שנתפס מחזיק סמים בכלא, כאשר לטיב הסם ולכמות יש משמעות בקביעת העונש ההולם, ואפילו מהפסיקה שהגישה הסניגורית מסתמנת אותה המגמה</w:t>
      </w:r>
      <w:r>
        <w:rPr>
          <w:rFonts w:hint="cs"/>
          <w:rtl/>
        </w:rPr>
        <w:t xml:space="preserve"> (למעט תיק אחד שבו מדובר בהסדר טיעון שאינו משקף את עניינו של הנאשם). </w:t>
      </w:r>
      <w:r>
        <w:rPr>
          <w:rFonts w:hint="cs"/>
          <w:sz w:val="28"/>
          <w:szCs w:val="28"/>
          <w:rtl/>
        </w:rPr>
        <w:t>אומנם כל מקרה נבחן לגופו, ובהתאם לנסיבותיו של הנאשם, ובמקרים בהם נמצא אינטרס שיקומי ממשי או שהסם היה "קל" יחסית  - הסתפקו בתי המשפט בעונשים מקלים יותר, ואילו במקרים בהם הסם הוא ממכר וקשה נקבע מתחם שנע בין 10 חודשים ועד תקופות מאסר ממושכות יותר.</w:t>
      </w:r>
      <w:r>
        <w:rPr>
          <w:rFonts w:ascii="Calibri" w:hAnsi="Calibri" w:hint="cs"/>
          <w:sz w:val="28"/>
          <w:szCs w:val="28"/>
          <w:rtl/>
        </w:rPr>
        <w:t xml:space="preserve"> </w:t>
      </w:r>
      <w:r>
        <w:rPr>
          <w:rFonts w:hint="cs"/>
          <w:rtl/>
        </w:rPr>
        <w:t>(</w:t>
      </w:r>
      <w:hyperlink r:id="rId18" w:history="1">
        <w:r w:rsidRPr="00E3017A">
          <w:rPr>
            <w:color w:val="0000FF"/>
            <w:u w:val="single"/>
            <w:rtl/>
          </w:rPr>
          <w:t>ת"פ 54451-06-12</w:t>
        </w:r>
      </w:hyperlink>
      <w:r>
        <w:rPr>
          <w:rFonts w:hint="cs"/>
          <w:rtl/>
        </w:rPr>
        <w:t xml:space="preserve"> במסגרת הסדר טיעון נגזרו על הנאשם שהודה בהחזקת סם מסוג חשיש במשקל 16.01 גרם בכלא, 10 חודשי מאסר בפועל, שחלקם חופפים למאסר אותו הוא מרצה; </w:t>
      </w:r>
      <w:hyperlink r:id="rId19" w:history="1">
        <w:r w:rsidRPr="00E3017A">
          <w:rPr>
            <w:color w:val="0000FF"/>
            <w:u w:val="single"/>
            <w:rtl/>
          </w:rPr>
          <w:t>ת"פ 1445-07-07</w:t>
        </w:r>
      </w:hyperlink>
      <w:r>
        <w:rPr>
          <w:rFonts w:hint="cs"/>
          <w:rtl/>
        </w:rPr>
        <w:t xml:space="preserve"> מדינת ישראל נ' לוי (2.10.08), נגזר דינו של נאשם שהחזיק על גופו בעת מאסרו</w:t>
      </w:r>
      <w:r>
        <w:rPr>
          <w:rFonts w:hint="cs"/>
        </w:rPr>
        <w:t xml:space="preserve"> </w:t>
      </w:r>
      <w:r>
        <w:rPr>
          <w:rFonts w:hint="cs"/>
          <w:rtl/>
        </w:rPr>
        <w:t>שלוש אריזות</w:t>
      </w:r>
      <w:r>
        <w:rPr>
          <w:rFonts w:hint="cs"/>
        </w:rPr>
        <w:t xml:space="preserve"> </w:t>
      </w:r>
      <w:r>
        <w:rPr>
          <w:rFonts w:hint="cs"/>
          <w:rtl/>
        </w:rPr>
        <w:t>סמים מסוג הרואין</w:t>
      </w:r>
      <w:r>
        <w:rPr>
          <w:rFonts w:hint="cs"/>
        </w:rPr>
        <w:t xml:space="preserve"> </w:t>
      </w:r>
      <w:r>
        <w:rPr>
          <w:rFonts w:hint="cs"/>
          <w:rtl/>
        </w:rPr>
        <w:t xml:space="preserve">במשקל של כחצי גרם כל אחת, והוטלו עליו 12 חודשי מאסר בפועל, ובסך הכל 20 חודשי מאסר לאחר הפעלת מאסר מותנה בן 12 חודשים; </w:t>
      </w:r>
      <w:hyperlink r:id="rId20" w:history="1">
        <w:r w:rsidR="000E172C" w:rsidRPr="000E172C">
          <w:rPr>
            <w:color w:val="0000FF"/>
            <w:u w:val="single"/>
            <w:rtl/>
          </w:rPr>
          <w:t>עפ"א 279/09</w:t>
        </w:r>
      </w:hyperlink>
      <w:r>
        <w:rPr>
          <w:rFonts w:hint="cs"/>
          <w:rtl/>
        </w:rPr>
        <w:t xml:space="preserve"> (נצרת) אברמוב נ' מדינת ישראל דחה בית המשפט המחוזי את ערעורו של נאשם שהורשע בהחזקת סם מסוג הירואין לצריכה עצמית במשקל 0.4997, בהיותו אסיר בכלא, ונגזר עליו עונש של 10 חודשי מאסר בפועל;  </w:t>
      </w:r>
      <w:hyperlink r:id="rId21" w:history="1">
        <w:r w:rsidRPr="00E3017A">
          <w:rPr>
            <w:color w:val="0000FF"/>
            <w:u w:val="single"/>
            <w:rtl/>
          </w:rPr>
          <w:t>ת"פ 54451-06-12</w:t>
        </w:r>
      </w:hyperlink>
      <w:r>
        <w:rPr>
          <w:rFonts w:hint="cs"/>
          <w:rtl/>
        </w:rPr>
        <w:t xml:space="preserve"> מדינת ישראל נ' משעל, במסגרת הסדר טיעון, נגזרו על הנאשם שהודה בהחזקת סם מסוג חשיש במשקל </w:t>
      </w:r>
      <w:smartTag w:uri="urn:schemas-microsoft-com:office:smarttags" w:element="metricconverter">
        <w:smartTagPr>
          <w:attr w:name="ProductID" w:val="16.01 גרם"/>
        </w:smartTagPr>
        <w:r>
          <w:rPr>
            <w:rFonts w:hint="cs"/>
            <w:rtl/>
          </w:rPr>
          <w:t>16.01 גרם</w:t>
        </w:r>
      </w:smartTag>
      <w:r>
        <w:rPr>
          <w:rFonts w:hint="cs"/>
          <w:rtl/>
        </w:rPr>
        <w:t xml:space="preserve"> בכלא, 10 חודשי מאסר בפועל, שחלקם חופפים למאסר שריצה באותה עת; </w:t>
      </w:r>
      <w:hyperlink r:id="rId22" w:history="1">
        <w:r w:rsidRPr="00E3017A">
          <w:rPr>
            <w:color w:val="0000FF"/>
            <w:u w:val="single"/>
            <w:rtl/>
          </w:rPr>
          <w:t>ת"פ 43128-10-10</w:t>
        </w:r>
      </w:hyperlink>
      <w:r>
        <w:rPr>
          <w:rFonts w:hint="cs"/>
          <w:rtl/>
        </w:rPr>
        <w:t xml:space="preserve"> מדינת ישראל נ' גאבר הורשע נאשם שהודה בהחזקת סם מסוג הרואין בכמות של </w:t>
      </w:r>
      <w:smartTag w:uri="urn:schemas-microsoft-com:office:smarttags" w:element="metricconverter">
        <w:smartTagPr>
          <w:attr w:name="ProductID" w:val="23.9 גרם"/>
        </w:smartTagPr>
        <w:r>
          <w:rPr>
            <w:rFonts w:hint="cs"/>
            <w:rtl/>
          </w:rPr>
          <w:t>23.9 גרם</w:t>
        </w:r>
      </w:smartTag>
      <w:r>
        <w:rPr>
          <w:rFonts w:hint="cs"/>
          <w:rtl/>
        </w:rPr>
        <w:t xml:space="preserve">, בעת ששהה בתנאי מעצר בבית הכלא, ונגזר עליו עונש של 10 חודשי מאסר בפועל, ובצירוף עונש מאסר שהוטל עליו במאוחד עם תיק אחר, בסך הכל 24 חודשי מאסר לריצוי מאחורי סורג ובריח; </w:t>
      </w:r>
      <w:hyperlink r:id="rId23" w:history="1">
        <w:r w:rsidRPr="00E3017A">
          <w:rPr>
            <w:color w:val="0000FF"/>
            <w:u w:val="single"/>
            <w:rtl/>
          </w:rPr>
          <w:t>ת"פ 11211-05-14</w:t>
        </w:r>
      </w:hyperlink>
      <w:r>
        <w:rPr>
          <w:rFonts w:hint="cs"/>
          <w:rtl/>
        </w:rPr>
        <w:t xml:space="preserve"> מדינת ישראל נ' חג'ג', שם נידון נאשם בגין החזקת של 2.39 גרם הירואין בתוך הכלא ל – 15 חודשי מאסר בפועל; </w:t>
      </w:r>
      <w:hyperlink r:id="rId24" w:history="1">
        <w:r w:rsidRPr="00E3017A">
          <w:rPr>
            <w:color w:val="0000FF"/>
            <w:u w:val="single"/>
            <w:rtl/>
          </w:rPr>
          <w:t>ע"פ 1277/06</w:t>
        </w:r>
      </w:hyperlink>
      <w:r>
        <w:rPr>
          <w:rFonts w:hint="cs"/>
          <w:rtl/>
        </w:rPr>
        <w:t xml:space="preserve"> סחאר נ' מדינת ישראל נדחה ערעורו של נאשם אשר החזיק הירואין במשקל 12.221 גרם בין כתלי הכלא ונדון ל- 18 חודשי מאסר בפועל). </w:t>
      </w:r>
    </w:p>
    <w:p w14:paraId="7793C9CC" w14:textId="77777777" w:rsidR="00F57604" w:rsidRDefault="00E3017A">
      <w:pPr>
        <w:spacing w:line="360" w:lineRule="auto"/>
        <w:ind w:left="360"/>
        <w:jc w:val="both"/>
        <w:rPr>
          <w:sz w:val="28"/>
          <w:szCs w:val="28"/>
          <w:rtl/>
        </w:rPr>
      </w:pPr>
      <w:r>
        <w:rPr>
          <w:rFonts w:hint="cs"/>
          <w:sz w:val="28"/>
          <w:szCs w:val="28"/>
          <w:rtl/>
        </w:rPr>
        <w:t>לטעמי, בנסיבות אלו ולאור הפסיקה שפירטתי, מתחם הענישה ההולם לעבירה זו הוא מאסר בפועל שנע בין 10 חודשים ועד ל- 24 חודשי מאסר בפועל.</w:t>
      </w:r>
    </w:p>
    <w:p w14:paraId="7BB17EBB" w14:textId="77777777" w:rsidR="00F57604" w:rsidRDefault="00F57604">
      <w:pPr>
        <w:spacing w:line="360" w:lineRule="auto"/>
        <w:ind w:left="720"/>
        <w:jc w:val="both"/>
        <w:rPr>
          <w:sz w:val="28"/>
          <w:szCs w:val="28"/>
          <w:rtl/>
        </w:rPr>
      </w:pPr>
    </w:p>
    <w:p w14:paraId="6357D43A" w14:textId="77777777" w:rsidR="00F57604" w:rsidRDefault="00E3017A">
      <w:pPr>
        <w:numPr>
          <w:ilvl w:val="0"/>
          <w:numId w:val="1"/>
        </w:numPr>
        <w:spacing w:line="360" w:lineRule="auto"/>
        <w:contextualSpacing/>
        <w:jc w:val="both"/>
        <w:rPr>
          <w:rFonts w:ascii="Calibri" w:hAnsi="Calibri"/>
          <w:sz w:val="28"/>
          <w:szCs w:val="28"/>
          <w:rtl/>
        </w:rPr>
      </w:pPr>
      <w:r>
        <w:rPr>
          <w:rFonts w:ascii="Calibri" w:hAnsi="Calibri" w:hint="cs"/>
          <w:sz w:val="28"/>
          <w:szCs w:val="28"/>
          <w:rtl/>
        </w:rPr>
        <w:t>באשר לעבירה בתיק הנוסף - החזקת סם לצריכה עצמית, והגם שמדובר בכמות קטנה של סם שאינו נמנה על הסמים הקטלניים - לא ניתן לראות בה כזניחה או קלת ערך, ועצם ההחזקה של הסם בתוך כתלי הכלא פוגעת בכל אחד מהערכים המוגנים שפירטתי לעיל, כאשר הפגיעה במקרה זה הינה בעוצמה נמוכה, ולטעמי, הענישה הנדרשת בהתאם לנסיבות שפירטתי ולפסיקה הנוהגת, צריכה לנוע במתחם שנע בין מאסר לתקופה קצרה ועד מספר חודשים, ובמקרה זה ניתן להסתפק במתחם הכולל שנקבע לעבירה החמורה יותר בתיק העיקרי.</w:t>
      </w:r>
    </w:p>
    <w:p w14:paraId="3B759E7F" w14:textId="77777777" w:rsidR="00F57604" w:rsidRDefault="00F57604">
      <w:pPr>
        <w:spacing w:line="360" w:lineRule="auto"/>
        <w:ind w:left="360"/>
        <w:contextualSpacing/>
        <w:jc w:val="both"/>
        <w:rPr>
          <w:rFonts w:ascii="Calibri" w:hAnsi="Calibri"/>
          <w:sz w:val="28"/>
          <w:szCs w:val="28"/>
        </w:rPr>
      </w:pPr>
    </w:p>
    <w:p w14:paraId="2A4E376B" w14:textId="77777777" w:rsidR="00F57604" w:rsidRDefault="00E3017A">
      <w:pPr>
        <w:numPr>
          <w:ilvl w:val="0"/>
          <w:numId w:val="1"/>
        </w:numPr>
        <w:spacing w:line="360" w:lineRule="auto"/>
        <w:contextualSpacing/>
        <w:jc w:val="both"/>
        <w:rPr>
          <w:rFonts w:ascii="Times New Roman" w:hAnsi="Times New Roman"/>
          <w:sz w:val="28"/>
          <w:szCs w:val="28"/>
          <w:rtl/>
        </w:rPr>
      </w:pPr>
      <w:r>
        <w:rPr>
          <w:rFonts w:hint="cs"/>
          <w:sz w:val="28"/>
          <w:szCs w:val="28"/>
          <w:rtl/>
        </w:rPr>
        <w:t xml:space="preserve">הנאשם, יליד 1980, בעל עבר פלילי מכביד בעבירות מגוונות הכוללות סמים, רכוש, אלימות, החזקת סכין ועבירות אחרות, בגינן אף ריצה מאסרים בפועל לתקופות ממושכות, ותלוי ועומד כנגדו מאסר על תנאי בן 3 חודשים, בגין עבירה של החזקת סמים לצריכה עצמית </w:t>
      </w:r>
      <w:r>
        <w:rPr>
          <w:rFonts w:hint="cs"/>
          <w:rtl/>
        </w:rPr>
        <w:t>(</w:t>
      </w:r>
      <w:hyperlink r:id="rId25" w:history="1">
        <w:r w:rsidRPr="00E3017A">
          <w:rPr>
            <w:color w:val="0000FF"/>
            <w:u w:val="single"/>
            <w:rtl/>
          </w:rPr>
          <w:t>ת"פ 18868-05-12</w:t>
        </w:r>
      </w:hyperlink>
      <w:r>
        <w:rPr>
          <w:rFonts w:hint="cs"/>
          <w:rtl/>
        </w:rPr>
        <w:t>),</w:t>
      </w:r>
      <w:r>
        <w:rPr>
          <w:rFonts w:hint="cs"/>
          <w:sz w:val="28"/>
          <w:szCs w:val="28"/>
          <w:rtl/>
        </w:rPr>
        <w:t xml:space="preserve"> כשנסיבות אלה והסתבכויותיו החוזרות עם החוק, כמו גם לקיחת האחריות החלקית על המעשים בפני קצינת המבחן, מלמדים כי יחסו לסמים בעייתי והוא אינו מודע לחומרת העבירות  ולחומרת מצבו, ונראה כי הדרך בה בחר לנהל את חייו אינה דרך הישר </w:t>
      </w:r>
      <w:r>
        <w:rPr>
          <w:rFonts w:hint="cs"/>
          <w:rtl/>
        </w:rPr>
        <w:t xml:space="preserve">(ת/1-ת/2). </w:t>
      </w:r>
    </w:p>
    <w:p w14:paraId="15B0D013" w14:textId="77777777" w:rsidR="00F57604" w:rsidRDefault="00F57604">
      <w:pPr>
        <w:spacing w:line="360" w:lineRule="auto"/>
        <w:ind w:left="360"/>
        <w:contextualSpacing/>
        <w:jc w:val="both"/>
        <w:rPr>
          <w:sz w:val="28"/>
          <w:szCs w:val="28"/>
          <w:rtl/>
        </w:rPr>
      </w:pPr>
    </w:p>
    <w:p w14:paraId="3B2B3854" w14:textId="77777777" w:rsidR="00F57604" w:rsidRDefault="00E3017A">
      <w:pPr>
        <w:spacing w:line="360" w:lineRule="auto"/>
        <w:ind w:left="360"/>
        <w:contextualSpacing/>
        <w:jc w:val="both"/>
        <w:rPr>
          <w:sz w:val="28"/>
          <w:szCs w:val="28"/>
          <w:rtl/>
        </w:rPr>
      </w:pPr>
      <w:r>
        <w:rPr>
          <w:rFonts w:hint="cs"/>
          <w:sz w:val="28"/>
          <w:szCs w:val="28"/>
          <w:rtl/>
        </w:rPr>
        <w:t xml:space="preserve">הסניגורית טענה כי חלף זמן מאז ביצוע העבירה בתיק העיקרי, ושכיום הנאשם אינו צורך הרואין אלא מטופל באופן קבוע בתחליף סם, והפנתה למסמך מטעם שירות בתי הסוהר, לפיו נבחנת אפשרות שהנאשם ישתלב בהליך גמילה, וכן למסמך בדיקה נוסף לפיו הוא נמצא בתהליך של ירידה בשימוש בתחליף סם ועתיד לסיים את הטיפול באמצעותו </w:t>
      </w:r>
      <w:r>
        <w:rPr>
          <w:rFonts w:hint="cs"/>
          <w:rtl/>
        </w:rPr>
        <w:t>(נ/1, נ/2).</w:t>
      </w:r>
    </w:p>
    <w:p w14:paraId="041CB6AD" w14:textId="77777777" w:rsidR="00F57604" w:rsidRDefault="00E3017A">
      <w:pPr>
        <w:spacing w:line="360" w:lineRule="auto"/>
        <w:ind w:left="360"/>
        <w:contextualSpacing/>
        <w:jc w:val="both"/>
        <w:rPr>
          <w:sz w:val="28"/>
          <w:szCs w:val="28"/>
          <w:rtl/>
        </w:rPr>
      </w:pPr>
      <w:r>
        <w:rPr>
          <w:rFonts w:hint="cs"/>
          <w:sz w:val="28"/>
          <w:szCs w:val="28"/>
          <w:rtl/>
        </w:rPr>
        <w:t>אלא שמסמכים אלו, אשר נערכו לפני כשנה – מעלים שהנאשם נמצא בסיכון לחזור להשתמש בסמים, ובשעה שלא נמצאה מסגרת טיפולית מסודרת, והנאשם שלל אפשרות להליך שיקומי בהזדמנות שניתנה לו ובמפגש עם קצינת המבחן, הרי שגם בפרק הזמן שחלף מאז בוצעה העבירה בתיק העיקרי לא חל שינוי ממשי לטובה במצבו, וחלוף הזמן אינו מפחית מטיבן ומחומרתן של העבירות.</w:t>
      </w:r>
    </w:p>
    <w:p w14:paraId="5C98BB40" w14:textId="77777777" w:rsidR="00F57604" w:rsidRDefault="00F57604">
      <w:pPr>
        <w:spacing w:line="360" w:lineRule="auto"/>
        <w:ind w:left="360"/>
        <w:jc w:val="both"/>
        <w:rPr>
          <w:sz w:val="28"/>
          <w:szCs w:val="28"/>
          <w:rtl/>
        </w:rPr>
      </w:pPr>
    </w:p>
    <w:p w14:paraId="6A546D20" w14:textId="77777777" w:rsidR="00F57604" w:rsidRDefault="00E3017A">
      <w:pPr>
        <w:numPr>
          <w:ilvl w:val="0"/>
          <w:numId w:val="1"/>
        </w:numPr>
        <w:spacing w:line="360" w:lineRule="auto"/>
        <w:contextualSpacing/>
        <w:jc w:val="both"/>
        <w:rPr>
          <w:sz w:val="28"/>
          <w:szCs w:val="28"/>
          <w:rtl/>
        </w:rPr>
      </w:pPr>
      <w:r>
        <w:rPr>
          <w:rFonts w:hint="cs"/>
          <w:sz w:val="28"/>
          <w:szCs w:val="28"/>
          <w:rtl/>
        </w:rPr>
        <w:t>לצד חומרת העבירות ונסיבות ביצוען, יש להביא בחשבון גם את השיקולים לזכותו של הנאשם, ובהם הודייתו ולקיחת האחריות – ככל שמתייחסת לעבירה בתיק העיקרי, כמו גם החסכון בזמן ציבורי יקר ובזמנם של כל העדים המעורבים.</w:t>
      </w:r>
    </w:p>
    <w:p w14:paraId="43EB4D86" w14:textId="77777777" w:rsidR="00F57604" w:rsidRDefault="00F57604">
      <w:pPr>
        <w:spacing w:line="360" w:lineRule="auto"/>
        <w:ind w:left="360"/>
        <w:jc w:val="both"/>
        <w:rPr>
          <w:sz w:val="28"/>
          <w:szCs w:val="28"/>
        </w:rPr>
      </w:pPr>
    </w:p>
    <w:p w14:paraId="3509F2E9" w14:textId="77777777" w:rsidR="00F57604" w:rsidRDefault="00E3017A">
      <w:pPr>
        <w:spacing w:line="360" w:lineRule="auto"/>
        <w:ind w:left="360"/>
        <w:jc w:val="both"/>
        <w:rPr>
          <w:sz w:val="28"/>
          <w:szCs w:val="28"/>
          <w:rtl/>
        </w:rPr>
      </w:pPr>
      <w:r>
        <w:rPr>
          <w:rFonts w:hint="cs"/>
          <w:sz w:val="28"/>
          <w:szCs w:val="28"/>
          <w:rtl/>
        </w:rPr>
        <w:t>לנאשם נסיבות חיים לא קלות, והוא גדל במשפחה מורכבת, ובה נחשף לדמויות בעייתיות ולנורמות התנהגות פסולות, והוא גם סובל מבעיות בריאותיות שונות,</w:t>
      </w:r>
      <w:r>
        <w:rPr>
          <w:rFonts w:hint="cs"/>
          <w:rtl/>
        </w:rPr>
        <w:t xml:space="preserve"> </w:t>
      </w:r>
      <w:r>
        <w:rPr>
          <w:rFonts w:hint="cs"/>
          <w:sz w:val="28"/>
          <w:szCs w:val="28"/>
          <w:rtl/>
        </w:rPr>
        <w:t xml:space="preserve">ויש לקוות כי למרות כל האמור, הרי שהשימוש בתחליף סם וההפחתה בכמויות יביאו לשיפור במצבו ולהימנעות מביצוע עבירות בעתיד </w:t>
      </w:r>
      <w:r>
        <w:rPr>
          <w:rFonts w:hint="cs"/>
          <w:rtl/>
        </w:rPr>
        <w:t>(נ/3)</w:t>
      </w:r>
      <w:r>
        <w:rPr>
          <w:rFonts w:hint="cs"/>
          <w:sz w:val="28"/>
          <w:szCs w:val="28"/>
          <w:rtl/>
        </w:rPr>
        <w:t>.</w:t>
      </w:r>
    </w:p>
    <w:p w14:paraId="59B89754" w14:textId="77777777" w:rsidR="00F57604" w:rsidRDefault="00F57604">
      <w:pPr>
        <w:spacing w:line="360" w:lineRule="auto"/>
        <w:ind w:left="720" w:hanging="720"/>
        <w:jc w:val="both"/>
        <w:rPr>
          <w:sz w:val="28"/>
          <w:szCs w:val="28"/>
          <w:rtl/>
        </w:rPr>
      </w:pPr>
    </w:p>
    <w:p w14:paraId="199264AF" w14:textId="77777777" w:rsidR="00F57604" w:rsidRDefault="00E3017A">
      <w:pPr>
        <w:numPr>
          <w:ilvl w:val="0"/>
          <w:numId w:val="1"/>
        </w:numPr>
        <w:spacing w:line="360" w:lineRule="auto"/>
        <w:contextualSpacing/>
        <w:jc w:val="both"/>
        <w:rPr>
          <w:rFonts w:ascii="Calibri" w:hAnsi="Calibri"/>
          <w:sz w:val="28"/>
          <w:szCs w:val="28"/>
          <w:rtl/>
        </w:rPr>
      </w:pPr>
      <w:r>
        <w:rPr>
          <w:rFonts w:hint="cs"/>
          <w:sz w:val="28"/>
          <w:szCs w:val="28"/>
          <w:rtl/>
        </w:rPr>
        <w:t>בשקלול כל הגורמים שציינתי, לרבות טיבן של העבירות ונסיבותיו האישיות של הנאשם, לצד הצורך בענישה מרתיעה שתהווה מסר הן לנאשם עצמו והן לאחרים, בהתחשב בהסדר החלקי אליו הגיעו הצדדים ובענישה הנדרשת בעבירות סמים, ובהתחשב גם בחלוף הזמן מאז ביצוע העבירה, אני גוזרת על הנאשם את העונשים הבאים:</w:t>
      </w:r>
    </w:p>
    <w:p w14:paraId="202D4805" w14:textId="77777777" w:rsidR="00F57604" w:rsidRDefault="00E3017A">
      <w:pPr>
        <w:spacing w:line="360" w:lineRule="auto"/>
        <w:ind w:left="360"/>
        <w:jc w:val="both"/>
        <w:rPr>
          <w:rFonts w:ascii="Times New Roman" w:hAnsi="Times New Roman"/>
          <w:sz w:val="28"/>
          <w:szCs w:val="28"/>
          <w:rtl/>
        </w:rPr>
      </w:pPr>
      <w:r>
        <w:rPr>
          <w:rFonts w:hint="cs"/>
          <w:sz w:val="28"/>
          <w:szCs w:val="28"/>
          <w:rtl/>
        </w:rPr>
        <w:tab/>
      </w:r>
    </w:p>
    <w:p w14:paraId="0430B55F" w14:textId="77777777" w:rsidR="00F57604" w:rsidRDefault="00E3017A">
      <w:pPr>
        <w:spacing w:line="360" w:lineRule="auto"/>
        <w:ind w:left="360"/>
        <w:contextualSpacing/>
        <w:jc w:val="both"/>
        <w:rPr>
          <w:sz w:val="28"/>
          <w:szCs w:val="28"/>
          <w:rtl/>
        </w:rPr>
      </w:pPr>
      <w:r>
        <w:rPr>
          <w:rFonts w:hint="cs"/>
          <w:sz w:val="28"/>
          <w:szCs w:val="28"/>
          <w:rtl/>
        </w:rPr>
        <w:t>א.</w:t>
      </w:r>
      <w:r>
        <w:rPr>
          <w:rFonts w:hint="cs"/>
          <w:sz w:val="28"/>
          <w:szCs w:val="28"/>
          <w:rtl/>
        </w:rPr>
        <w:tab/>
        <w:t>12 חודשי מאסר בפועל.</w:t>
      </w:r>
    </w:p>
    <w:p w14:paraId="5BAAB0E9" w14:textId="77777777" w:rsidR="00F57604" w:rsidRDefault="00F57604">
      <w:pPr>
        <w:spacing w:line="360" w:lineRule="auto"/>
        <w:ind w:left="720" w:hanging="360"/>
        <w:jc w:val="both"/>
        <w:rPr>
          <w:sz w:val="28"/>
          <w:szCs w:val="28"/>
          <w:rtl/>
        </w:rPr>
      </w:pPr>
    </w:p>
    <w:p w14:paraId="3E51CBB6" w14:textId="77777777" w:rsidR="00F57604" w:rsidRDefault="00E3017A">
      <w:pPr>
        <w:spacing w:line="360" w:lineRule="auto"/>
        <w:ind w:left="720" w:hanging="360"/>
        <w:jc w:val="both"/>
        <w:rPr>
          <w:sz w:val="28"/>
          <w:szCs w:val="28"/>
        </w:rPr>
      </w:pPr>
      <w:r>
        <w:rPr>
          <w:rFonts w:hint="cs"/>
          <w:sz w:val="28"/>
          <w:szCs w:val="28"/>
          <w:rtl/>
        </w:rPr>
        <w:t xml:space="preserve">ב.  אני מפעילה את עונש המאסר המותנה שהוטל על הנאשם </w:t>
      </w:r>
      <w:r>
        <w:rPr>
          <w:rFonts w:hint="cs"/>
          <w:sz w:val="26"/>
          <w:szCs w:val="26"/>
          <w:u w:val="single"/>
          <w:rtl/>
        </w:rPr>
        <w:t>ב</w:t>
      </w:r>
      <w:hyperlink r:id="rId26" w:history="1">
        <w:r w:rsidRPr="00E3017A">
          <w:rPr>
            <w:color w:val="0000FF"/>
            <w:sz w:val="26"/>
            <w:szCs w:val="26"/>
            <w:u w:val="single"/>
            <w:rtl/>
          </w:rPr>
          <w:t>ת"פ 18868-05-12</w:t>
        </w:r>
      </w:hyperlink>
      <w:r>
        <w:rPr>
          <w:rFonts w:hint="cs"/>
          <w:sz w:val="28"/>
          <w:szCs w:val="28"/>
          <w:rtl/>
        </w:rPr>
        <w:t xml:space="preserve"> לתקופה של 3 חודשים, אשר חלקו ירוצה בחופף וחלקו במצטבר לעונש המאסר לעיל, ובסה"כ ירצה הנאשם 14 חודשי מאסר בפועל.</w:t>
      </w:r>
    </w:p>
    <w:p w14:paraId="6300E2A0" w14:textId="77777777" w:rsidR="00F57604" w:rsidRDefault="00E3017A">
      <w:pPr>
        <w:spacing w:line="360" w:lineRule="auto"/>
        <w:ind w:left="360"/>
        <w:jc w:val="both"/>
        <w:rPr>
          <w:sz w:val="28"/>
          <w:szCs w:val="28"/>
          <w:rtl/>
        </w:rPr>
      </w:pPr>
      <w:r>
        <w:rPr>
          <w:sz w:val="28"/>
          <w:szCs w:val="28"/>
          <w:rtl/>
        </w:rPr>
        <w:tab/>
      </w:r>
      <w:r>
        <w:rPr>
          <w:rFonts w:hint="cs"/>
          <w:sz w:val="28"/>
          <w:szCs w:val="28"/>
          <w:rtl/>
        </w:rPr>
        <w:t>העונש הכולל ירוצה במצטבר לכל תקופת מאסר אחרת שנגזרה על הנאשם.</w:t>
      </w:r>
    </w:p>
    <w:p w14:paraId="34030857" w14:textId="77777777" w:rsidR="00F57604" w:rsidRDefault="00F57604">
      <w:pPr>
        <w:spacing w:line="360" w:lineRule="auto"/>
        <w:ind w:left="360"/>
        <w:jc w:val="both"/>
        <w:rPr>
          <w:sz w:val="28"/>
          <w:szCs w:val="28"/>
        </w:rPr>
      </w:pPr>
    </w:p>
    <w:p w14:paraId="7363C0E0" w14:textId="77777777" w:rsidR="00F57604" w:rsidRDefault="00E3017A">
      <w:pPr>
        <w:spacing w:line="360" w:lineRule="auto"/>
        <w:ind w:left="720" w:hanging="360"/>
        <w:jc w:val="both"/>
        <w:rPr>
          <w:rFonts w:ascii="Calibri" w:hAnsi="Calibri"/>
          <w:sz w:val="28"/>
          <w:szCs w:val="28"/>
          <w:rtl/>
        </w:rPr>
      </w:pPr>
      <w:r>
        <w:rPr>
          <w:rFonts w:ascii="Calibri" w:hAnsi="Calibri" w:hint="cs"/>
          <w:sz w:val="28"/>
          <w:szCs w:val="28"/>
          <w:rtl/>
        </w:rPr>
        <w:t>ג.</w:t>
      </w:r>
      <w:r>
        <w:rPr>
          <w:rFonts w:ascii="Calibri" w:hAnsi="Calibri" w:hint="cs"/>
          <w:sz w:val="28"/>
          <w:szCs w:val="28"/>
          <w:rtl/>
        </w:rPr>
        <w:tab/>
        <w:t xml:space="preserve">7 חודשי מאסר על תנאי לתקופה של 3 שנים, והתנאי הוא שהנאשם לא יעבור עבירה מסוג פשע על </w:t>
      </w:r>
      <w:hyperlink r:id="rId27" w:history="1">
        <w:r w:rsidRPr="00E3017A">
          <w:rPr>
            <w:rFonts w:ascii="Calibri" w:hAnsi="Calibri" w:hint="eastAsia"/>
            <w:color w:val="0000FF"/>
            <w:sz w:val="28"/>
            <w:szCs w:val="28"/>
            <w:u w:val="single"/>
            <w:rtl/>
          </w:rPr>
          <w:t>פקודת</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הסמים</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המסוכנים</w:t>
        </w:r>
      </w:hyperlink>
      <w:r>
        <w:rPr>
          <w:rFonts w:ascii="Calibri" w:hAnsi="Calibri" w:hint="cs"/>
          <w:sz w:val="28"/>
          <w:szCs w:val="28"/>
          <w:rtl/>
        </w:rPr>
        <w:t>.</w:t>
      </w:r>
    </w:p>
    <w:p w14:paraId="54EB5852" w14:textId="77777777" w:rsidR="00F57604" w:rsidRDefault="00F57604">
      <w:pPr>
        <w:spacing w:line="360" w:lineRule="auto"/>
        <w:ind w:left="720" w:hanging="360"/>
        <w:jc w:val="both"/>
        <w:rPr>
          <w:rFonts w:ascii="Calibri" w:hAnsi="Calibri"/>
          <w:sz w:val="28"/>
          <w:szCs w:val="28"/>
          <w:rtl/>
        </w:rPr>
      </w:pPr>
    </w:p>
    <w:p w14:paraId="63A820DF" w14:textId="77777777" w:rsidR="00F57604" w:rsidRDefault="00E3017A">
      <w:pPr>
        <w:spacing w:line="360" w:lineRule="auto"/>
        <w:ind w:left="720" w:hanging="360"/>
        <w:jc w:val="both"/>
        <w:rPr>
          <w:rFonts w:ascii="Calibri" w:hAnsi="Calibri"/>
          <w:sz w:val="28"/>
          <w:szCs w:val="28"/>
          <w:rtl/>
        </w:rPr>
      </w:pPr>
      <w:r>
        <w:rPr>
          <w:rFonts w:ascii="Calibri" w:hAnsi="Calibri" w:hint="cs"/>
          <w:sz w:val="28"/>
          <w:szCs w:val="28"/>
          <w:rtl/>
        </w:rPr>
        <w:t>ד.</w:t>
      </w:r>
      <w:r>
        <w:rPr>
          <w:rFonts w:ascii="Calibri" w:hAnsi="Calibri" w:hint="cs"/>
          <w:sz w:val="28"/>
          <w:szCs w:val="28"/>
          <w:rtl/>
        </w:rPr>
        <w:tab/>
        <w:t xml:space="preserve">3 חודשי מאסר על תנאי לתקופה של 3 שנים, והתנאי הוא שהנאשם לא יעבור עבירה מסוג עוון על </w:t>
      </w:r>
      <w:hyperlink r:id="rId28" w:history="1">
        <w:r w:rsidRPr="00E3017A">
          <w:rPr>
            <w:rFonts w:ascii="Calibri" w:hAnsi="Calibri" w:hint="eastAsia"/>
            <w:color w:val="0000FF"/>
            <w:sz w:val="28"/>
            <w:szCs w:val="28"/>
            <w:u w:val="single"/>
            <w:rtl/>
          </w:rPr>
          <w:t>פקודת</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הסמים</w:t>
        </w:r>
        <w:r w:rsidRPr="00E3017A">
          <w:rPr>
            <w:rFonts w:ascii="Calibri" w:hAnsi="Calibri"/>
            <w:color w:val="0000FF"/>
            <w:sz w:val="28"/>
            <w:szCs w:val="28"/>
            <w:u w:val="single"/>
            <w:rtl/>
          </w:rPr>
          <w:t xml:space="preserve"> </w:t>
        </w:r>
        <w:r w:rsidRPr="00E3017A">
          <w:rPr>
            <w:rFonts w:ascii="Calibri" w:hAnsi="Calibri" w:hint="eastAsia"/>
            <w:color w:val="0000FF"/>
            <w:sz w:val="28"/>
            <w:szCs w:val="28"/>
            <w:u w:val="single"/>
            <w:rtl/>
          </w:rPr>
          <w:t>המסוכנים</w:t>
        </w:r>
      </w:hyperlink>
      <w:r>
        <w:rPr>
          <w:rFonts w:ascii="Calibri" w:hAnsi="Calibri" w:hint="cs"/>
          <w:sz w:val="28"/>
          <w:szCs w:val="28"/>
          <w:rtl/>
        </w:rPr>
        <w:t>.</w:t>
      </w:r>
    </w:p>
    <w:p w14:paraId="4401F81B" w14:textId="77777777" w:rsidR="00F57604" w:rsidRDefault="00F57604">
      <w:pPr>
        <w:spacing w:line="360" w:lineRule="auto"/>
        <w:ind w:left="720" w:hanging="360"/>
        <w:jc w:val="both"/>
        <w:rPr>
          <w:rFonts w:ascii="Calibri" w:hAnsi="Calibri"/>
          <w:sz w:val="28"/>
          <w:szCs w:val="28"/>
          <w:rtl/>
        </w:rPr>
      </w:pPr>
    </w:p>
    <w:p w14:paraId="1A980FA2" w14:textId="77777777" w:rsidR="00F57604" w:rsidRDefault="00E3017A">
      <w:pPr>
        <w:spacing w:line="360" w:lineRule="auto"/>
        <w:ind w:left="360"/>
        <w:jc w:val="both"/>
        <w:rPr>
          <w:rFonts w:ascii="Calibri" w:hAnsi="Calibri"/>
          <w:sz w:val="28"/>
          <w:szCs w:val="28"/>
          <w:rtl/>
        </w:rPr>
      </w:pPr>
      <w:r>
        <w:rPr>
          <w:rFonts w:ascii="Calibri" w:hAnsi="Calibri" w:hint="cs"/>
          <w:sz w:val="28"/>
          <w:szCs w:val="28"/>
          <w:rtl/>
        </w:rPr>
        <w:t>ה.</w:t>
      </w:r>
      <w:r>
        <w:rPr>
          <w:rFonts w:ascii="Calibri" w:hAnsi="Calibri" w:hint="cs"/>
          <w:sz w:val="28"/>
          <w:szCs w:val="28"/>
          <w:rtl/>
        </w:rPr>
        <w:tab/>
        <w:t>הסמים יושמדו.</w:t>
      </w:r>
    </w:p>
    <w:p w14:paraId="569C7BF0" w14:textId="77777777" w:rsidR="00F57604" w:rsidRDefault="00F57604">
      <w:pPr>
        <w:spacing w:line="360" w:lineRule="auto"/>
        <w:ind w:left="360"/>
        <w:jc w:val="both"/>
        <w:rPr>
          <w:rFonts w:ascii="Calibri" w:hAnsi="Calibri"/>
          <w:b/>
          <w:bCs/>
          <w:sz w:val="28"/>
          <w:szCs w:val="28"/>
          <w:u w:val="single"/>
          <w:rtl/>
        </w:rPr>
      </w:pPr>
    </w:p>
    <w:p w14:paraId="4C4B87F8" w14:textId="77777777" w:rsidR="00F57604" w:rsidRDefault="00E3017A">
      <w:pPr>
        <w:spacing w:line="360" w:lineRule="auto"/>
        <w:ind w:left="360"/>
        <w:jc w:val="both"/>
        <w:rPr>
          <w:rFonts w:ascii="Calibri" w:hAnsi="Calibri"/>
          <w:b/>
          <w:bCs/>
          <w:sz w:val="28"/>
          <w:szCs w:val="28"/>
          <w:u w:val="single"/>
          <w:rtl/>
        </w:rPr>
      </w:pPr>
      <w:r>
        <w:rPr>
          <w:rFonts w:ascii="Calibri" w:hAnsi="Calibri" w:hint="cs"/>
          <w:b/>
          <w:bCs/>
          <w:sz w:val="28"/>
          <w:szCs w:val="28"/>
          <w:u w:val="single"/>
          <w:rtl/>
        </w:rPr>
        <w:t>זכות ערעור תוך 45 יום מהיום.</w:t>
      </w:r>
    </w:p>
    <w:p w14:paraId="08AC1083" w14:textId="77777777" w:rsidR="00F57604" w:rsidRDefault="00F57604">
      <w:pPr>
        <w:spacing w:line="360" w:lineRule="auto"/>
        <w:jc w:val="both"/>
        <w:rPr>
          <w:rFonts w:ascii="Arial" w:hAnsi="Arial"/>
        </w:rPr>
      </w:pPr>
    </w:p>
    <w:p w14:paraId="4C0215C8" w14:textId="77777777" w:rsidR="00F57604" w:rsidRDefault="00E3017A">
      <w:pPr>
        <w:spacing w:line="360" w:lineRule="auto"/>
        <w:jc w:val="both"/>
        <w:rPr>
          <w:rFonts w:ascii="Arial" w:hAnsi="Arial"/>
          <w:sz w:val="6"/>
          <w:szCs w:val="6"/>
          <w:rtl/>
        </w:rPr>
      </w:pPr>
      <w:r>
        <w:rPr>
          <w:rFonts w:ascii="Arial" w:hAnsi="Arial"/>
          <w:sz w:val="6"/>
          <w:szCs w:val="6"/>
          <w:rtl/>
        </w:rPr>
        <w:t>&lt;#3#&gt;</w:t>
      </w:r>
    </w:p>
    <w:p w14:paraId="070A693C" w14:textId="77777777" w:rsidR="00F57604" w:rsidRDefault="00F57604">
      <w:pPr>
        <w:jc w:val="right"/>
        <w:rPr>
          <w:rtl/>
        </w:rPr>
      </w:pPr>
    </w:p>
    <w:p w14:paraId="3573D287" w14:textId="77777777" w:rsidR="00F57604" w:rsidRDefault="00E3017A">
      <w:pPr>
        <w:jc w:val="center"/>
        <w:rPr>
          <w:rtl/>
        </w:rPr>
      </w:pPr>
      <w:r>
        <w:rPr>
          <w:b/>
          <w:bCs/>
          <w:rtl/>
        </w:rPr>
        <w:t xml:space="preserve">ניתן והודע היום כ' אדר א' תשע"ו, 29/02/2016 במעמד הנוכחים. </w:t>
      </w:r>
    </w:p>
    <w:p w14:paraId="37605392" w14:textId="77777777" w:rsidR="00F57604" w:rsidRPr="00E3017A" w:rsidRDefault="00E3017A">
      <w:pPr>
        <w:jc w:val="right"/>
        <w:rPr>
          <w:color w:val="FFFFFF"/>
          <w:sz w:val="2"/>
          <w:szCs w:val="2"/>
          <w:rtl/>
        </w:rPr>
      </w:pPr>
      <w:r w:rsidRPr="00E3017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57604" w14:paraId="1FA170D5" w14:textId="77777777">
        <w:trPr>
          <w:trHeight w:val="364"/>
          <w:jc w:val="right"/>
        </w:trPr>
        <w:tc>
          <w:tcPr>
            <w:tcW w:w="3708" w:type="dxa"/>
            <w:shd w:val="clear" w:color="auto" w:fill="auto"/>
          </w:tcPr>
          <w:p w14:paraId="0572C94E" w14:textId="77777777" w:rsidR="00F57604" w:rsidRPr="00E3017A" w:rsidRDefault="00E3017A">
            <w:pPr>
              <w:jc w:val="center"/>
              <w:rPr>
                <w:rFonts w:ascii="Times New Roman" w:eastAsia="Times New Roman" w:hAnsi="Times New Roman" w:cs="Times New Roman"/>
                <w:color w:val="FFFFFF"/>
                <w:sz w:val="2"/>
                <w:szCs w:val="2"/>
                <w:rtl/>
              </w:rPr>
            </w:pPr>
            <w:r w:rsidRPr="00E3017A">
              <w:rPr>
                <w:rFonts w:ascii="Times New Roman" w:eastAsia="Times New Roman" w:hAnsi="Times New Roman" w:cs="Times New Roman"/>
                <w:color w:val="FFFFFF"/>
                <w:sz w:val="2"/>
                <w:szCs w:val="2"/>
                <w:rtl/>
              </w:rPr>
              <w:t>54678313</w:t>
            </w:r>
          </w:p>
        </w:tc>
      </w:tr>
      <w:tr w:rsidR="00F57604" w14:paraId="308FAA7D" w14:textId="77777777">
        <w:trPr>
          <w:trHeight w:val="415"/>
          <w:jc w:val="right"/>
        </w:trPr>
        <w:tc>
          <w:tcPr>
            <w:tcW w:w="3708" w:type="dxa"/>
            <w:shd w:val="clear" w:color="auto" w:fill="auto"/>
          </w:tcPr>
          <w:p w14:paraId="0F725766" w14:textId="77777777" w:rsidR="00F57604" w:rsidRDefault="00E3017A">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128C4D5D" w14:textId="77777777" w:rsidR="00F57604" w:rsidRDefault="00F57604">
      <w:pPr>
        <w:jc w:val="right"/>
        <w:rPr>
          <w:rtl/>
        </w:rPr>
      </w:pPr>
    </w:p>
    <w:p w14:paraId="2B8094FF" w14:textId="77777777" w:rsidR="00F57604" w:rsidRDefault="00E3017A">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7EE0B48E" w14:textId="77777777" w:rsidR="00E3017A" w:rsidRPr="00E3017A" w:rsidRDefault="00E3017A" w:rsidP="00E3017A">
      <w:pPr>
        <w:keepNext/>
        <w:rPr>
          <w:color w:val="000000"/>
          <w:sz w:val="22"/>
          <w:szCs w:val="22"/>
          <w:rtl/>
        </w:rPr>
      </w:pPr>
    </w:p>
    <w:p w14:paraId="0D7B9517" w14:textId="77777777" w:rsidR="00E3017A" w:rsidRPr="00E3017A" w:rsidRDefault="00E3017A" w:rsidP="00E3017A">
      <w:pPr>
        <w:keepNext/>
        <w:rPr>
          <w:color w:val="000000"/>
          <w:sz w:val="22"/>
          <w:szCs w:val="22"/>
          <w:rtl/>
        </w:rPr>
      </w:pPr>
      <w:r w:rsidRPr="00E3017A">
        <w:rPr>
          <w:color w:val="000000"/>
          <w:sz w:val="22"/>
          <w:szCs w:val="22"/>
          <w:rtl/>
        </w:rPr>
        <w:t>גלית ציגלר 54678313</w:t>
      </w:r>
    </w:p>
    <w:p w14:paraId="59133D3D" w14:textId="77777777" w:rsidR="00E3017A" w:rsidRDefault="00E3017A" w:rsidP="00E3017A">
      <w:r w:rsidRPr="00E3017A">
        <w:rPr>
          <w:color w:val="000000"/>
          <w:rtl/>
        </w:rPr>
        <w:t>נוסח מסמך זה כפוף לשינויי ניסוח ועריכה</w:t>
      </w:r>
    </w:p>
    <w:p w14:paraId="52213B9B" w14:textId="77777777" w:rsidR="00E3017A" w:rsidRDefault="00E3017A" w:rsidP="00E3017A">
      <w:pPr>
        <w:rPr>
          <w:rtl/>
        </w:rPr>
      </w:pPr>
    </w:p>
    <w:p w14:paraId="5FF8791B" w14:textId="77777777" w:rsidR="00E3017A" w:rsidRDefault="00E3017A" w:rsidP="00E3017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0E172C">
        <w:rPr>
          <w:rFonts w:hint="cs"/>
          <w:color w:val="0000FF"/>
          <w:u w:val="single"/>
          <w:rtl/>
        </w:rPr>
        <w:t xml:space="preserve"> </w:t>
      </w:r>
    </w:p>
    <w:p w14:paraId="5A4AEBCE" w14:textId="77777777" w:rsidR="00F57604" w:rsidRPr="00E3017A" w:rsidRDefault="00F57604" w:rsidP="00E3017A">
      <w:pPr>
        <w:jc w:val="center"/>
        <w:rPr>
          <w:color w:val="0000FF"/>
          <w:u w:val="single"/>
        </w:rPr>
      </w:pPr>
    </w:p>
    <w:sectPr w:rsidR="00F57604" w:rsidRPr="00E3017A" w:rsidSect="00E3017A">
      <w:headerReference w:type="even" r:id="rId30"/>
      <w:headerReference w:type="default" r:id="rId31"/>
      <w:footerReference w:type="even" r:id="rId32"/>
      <w:footerReference w:type="default" r:id="rId3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94226" w14:textId="77777777" w:rsidR="004D72B5" w:rsidRDefault="004D72B5">
      <w:r>
        <w:separator/>
      </w:r>
    </w:p>
  </w:endnote>
  <w:endnote w:type="continuationSeparator" w:id="0">
    <w:p w14:paraId="7A4EC7EB" w14:textId="77777777" w:rsidR="004D72B5" w:rsidRDefault="004D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CFA03" w14:textId="77777777" w:rsidR="005F0C4E" w:rsidRDefault="005F0C4E" w:rsidP="00E3017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1A0FEBD5" w14:textId="77777777" w:rsidR="005F0C4E" w:rsidRPr="00E3017A" w:rsidRDefault="005F0C4E" w:rsidP="00E3017A">
    <w:pPr>
      <w:pStyle w:val="a6"/>
      <w:pBdr>
        <w:top w:val="single" w:sz="4" w:space="1" w:color="auto"/>
        <w:between w:val="single" w:sz="4" w:space="0" w:color="auto"/>
      </w:pBdr>
      <w:spacing w:after="60"/>
      <w:jc w:val="center"/>
      <w:rPr>
        <w:rFonts w:ascii="FrankRuehl" w:hAnsi="FrankRuehl" w:cs="FrankRuehl"/>
        <w:color w:val="000000"/>
      </w:rPr>
    </w:pPr>
    <w:r w:rsidRPr="00E301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E7250" w14:textId="77777777" w:rsidR="005F0C4E" w:rsidRDefault="005F0C4E" w:rsidP="00E3017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0102">
      <w:rPr>
        <w:rFonts w:ascii="FrankRuehl" w:hAnsi="FrankRuehl" w:cs="FrankRuehl"/>
        <w:noProof/>
        <w:rtl/>
      </w:rPr>
      <w:t>1</w:t>
    </w:r>
    <w:r>
      <w:rPr>
        <w:rFonts w:ascii="FrankRuehl" w:hAnsi="FrankRuehl" w:cs="FrankRuehl"/>
        <w:rtl/>
      </w:rPr>
      <w:fldChar w:fldCharType="end"/>
    </w:r>
  </w:p>
  <w:p w14:paraId="4D841C09" w14:textId="77777777" w:rsidR="005F0C4E" w:rsidRPr="00E3017A" w:rsidRDefault="005F0C4E" w:rsidP="00E3017A">
    <w:pPr>
      <w:pStyle w:val="a6"/>
      <w:pBdr>
        <w:top w:val="single" w:sz="4" w:space="1" w:color="auto"/>
        <w:between w:val="single" w:sz="4" w:space="0" w:color="auto"/>
      </w:pBdr>
      <w:spacing w:after="60"/>
      <w:jc w:val="center"/>
      <w:rPr>
        <w:rFonts w:ascii="FrankRuehl" w:hAnsi="FrankRuehl" w:cs="FrankRuehl"/>
        <w:color w:val="000000"/>
      </w:rPr>
    </w:pPr>
    <w:r w:rsidRPr="00E3017A">
      <w:rPr>
        <w:rFonts w:ascii="FrankRuehl" w:hAnsi="FrankRuehl" w:cs="FrankRuehl"/>
        <w:color w:val="000000"/>
      </w:rPr>
      <w:pict w14:anchorId="2831D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D802D" w14:textId="77777777" w:rsidR="004D72B5" w:rsidRDefault="004D72B5">
      <w:r>
        <w:separator/>
      </w:r>
    </w:p>
  </w:footnote>
  <w:footnote w:type="continuationSeparator" w:id="0">
    <w:p w14:paraId="1B0A41BA" w14:textId="77777777" w:rsidR="004D72B5" w:rsidRDefault="004D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0E057" w14:textId="77777777" w:rsidR="005F0C4E" w:rsidRPr="00E3017A" w:rsidRDefault="005F0C4E" w:rsidP="00E3017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16312-10-12</w:t>
    </w:r>
    <w:r>
      <w:rPr>
        <w:color w:val="000000"/>
        <w:sz w:val="22"/>
        <w:szCs w:val="22"/>
        <w:rtl/>
      </w:rPr>
      <w:tab/>
      <w:t xml:space="preserve"> מדינת ישראל נ' עבוד ואקים (אסיר)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215AE" w14:textId="77777777" w:rsidR="005F0C4E" w:rsidRPr="00E3017A" w:rsidRDefault="005F0C4E" w:rsidP="00E3017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16312-10-12</w:t>
    </w:r>
    <w:r>
      <w:rPr>
        <w:color w:val="000000"/>
        <w:sz w:val="22"/>
        <w:szCs w:val="22"/>
        <w:rtl/>
      </w:rPr>
      <w:tab/>
      <w:t xml:space="preserve"> מדינת ישראל נ' עבוד ואקים (אסיר)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017D7"/>
    <w:multiLevelType w:val="hybridMultilevel"/>
    <w:tmpl w:val="126053D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400446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7604"/>
    <w:rsid w:val="000E172C"/>
    <w:rsid w:val="00154213"/>
    <w:rsid w:val="004D72B5"/>
    <w:rsid w:val="005F0C4E"/>
    <w:rsid w:val="00660102"/>
    <w:rsid w:val="00737621"/>
    <w:rsid w:val="008B1EAB"/>
    <w:rsid w:val="00A738D0"/>
    <w:rsid w:val="00B0466E"/>
    <w:rsid w:val="00E1438B"/>
    <w:rsid w:val="00E3017A"/>
    <w:rsid w:val="00F57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FEF18E4"/>
  <w15:chartTrackingRefBased/>
  <w15:docId w15:val="{CFCD90C9-5E71-430D-8AD5-245379DE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760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57604"/>
  </w:style>
  <w:style w:type="paragraph" w:styleId="a4">
    <w:name w:val="header"/>
    <w:basedOn w:val="a"/>
    <w:link w:val="a5"/>
    <w:rsid w:val="00F57604"/>
    <w:pPr>
      <w:tabs>
        <w:tab w:val="center" w:pos="4153"/>
        <w:tab w:val="right" w:pos="8306"/>
      </w:tabs>
    </w:pPr>
  </w:style>
  <w:style w:type="paragraph" w:styleId="a6">
    <w:name w:val="footer"/>
    <w:basedOn w:val="a"/>
    <w:rsid w:val="00F57604"/>
    <w:pPr>
      <w:tabs>
        <w:tab w:val="center" w:pos="4153"/>
        <w:tab w:val="right" w:pos="8306"/>
      </w:tabs>
    </w:pPr>
  </w:style>
  <w:style w:type="character" w:styleId="a7">
    <w:name w:val="page number"/>
    <w:basedOn w:val="a0"/>
    <w:rsid w:val="00F57604"/>
  </w:style>
  <w:style w:type="paragraph" w:customStyle="1" w:styleId="12">
    <w:name w:val="רגיל + ‏12 נק'"/>
    <w:aliases w:val="מיושר לשני הצדדים,מרווח בין שורות:  שורה וחצי"/>
    <w:basedOn w:val="a"/>
    <w:rsid w:val="00F57604"/>
    <w:rPr>
      <w:rFonts w:ascii="Times New Roman" w:eastAsia="Times New Roman" w:hAnsi="Times New Roman"/>
      <w:b/>
      <w:bCs/>
      <w:u w:val="single"/>
    </w:rPr>
  </w:style>
  <w:style w:type="character" w:customStyle="1" w:styleId="a5">
    <w:name w:val="כותרת עליונה תו"/>
    <w:link w:val="a4"/>
    <w:rsid w:val="00F57604"/>
    <w:rPr>
      <w:rFonts w:ascii="David" w:eastAsia="David" w:hAnsi="David" w:cs="David"/>
      <w:sz w:val="24"/>
      <w:szCs w:val="24"/>
      <w:lang w:val="en-US" w:eastAsia="en-US" w:bidi="he-IL"/>
    </w:rPr>
  </w:style>
  <w:style w:type="character" w:styleId="Hyperlink">
    <w:name w:val="Hyperlink"/>
    <w:rsid w:val="00F57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3749395" TargetMode="External"/><Relationship Id="rId26" Type="http://schemas.openxmlformats.org/officeDocument/2006/relationships/hyperlink" Target="http://www.nevo.co.il/case/5268593" TargetMode="External"/><Relationship Id="rId3" Type="http://schemas.openxmlformats.org/officeDocument/2006/relationships/settings" Target="settings.xml"/><Relationship Id="rId21" Type="http://schemas.openxmlformats.org/officeDocument/2006/relationships/hyperlink" Target="http://www.nevo.co.il/case/3749395"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26859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0507956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48721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16914746" TargetMode="External"/><Relationship Id="rId28" Type="http://schemas.openxmlformats.org/officeDocument/2006/relationships/hyperlink" Target="http://www.nevo.co.il/law/4216" TargetMode="External"/><Relationship Id="rId10" Type="http://schemas.openxmlformats.org/officeDocument/2006/relationships/hyperlink" Target="http://www.nevo.co.il/case/3974264" TargetMode="External"/><Relationship Id="rId19" Type="http://schemas.openxmlformats.org/officeDocument/2006/relationships/hyperlink" Target="http://www.nevo.co.il/case/674557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8099618" TargetMode="External"/><Relationship Id="rId22" Type="http://schemas.openxmlformats.org/officeDocument/2006/relationships/hyperlink" Target="http://www.nevo.co.il/case/2948401"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1745</Words>
  <Characters>8728</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10453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3473527</vt:i4>
      </vt:variant>
      <vt:variant>
        <vt:i4>57</vt:i4>
      </vt:variant>
      <vt:variant>
        <vt:i4>0</vt:i4>
      </vt:variant>
      <vt:variant>
        <vt:i4>5</vt:i4>
      </vt:variant>
      <vt:variant>
        <vt:lpwstr>http://www.nevo.co.il/case/5268593</vt:lpwstr>
      </vt:variant>
      <vt:variant>
        <vt:lpwstr/>
      </vt:variant>
      <vt:variant>
        <vt:i4>3473527</vt:i4>
      </vt:variant>
      <vt:variant>
        <vt:i4>54</vt:i4>
      </vt:variant>
      <vt:variant>
        <vt:i4>0</vt:i4>
      </vt:variant>
      <vt:variant>
        <vt:i4>5</vt:i4>
      </vt:variant>
      <vt:variant>
        <vt:lpwstr>http://www.nevo.co.il/case/5268593</vt:lpwstr>
      </vt:variant>
      <vt:variant>
        <vt:lpwstr/>
      </vt:variant>
      <vt:variant>
        <vt:i4>131150</vt:i4>
      </vt:variant>
      <vt:variant>
        <vt:i4>51</vt:i4>
      </vt:variant>
      <vt:variant>
        <vt:i4>0</vt:i4>
      </vt:variant>
      <vt:variant>
        <vt:i4>5</vt:i4>
      </vt:variant>
      <vt:variant>
        <vt:lpwstr>http://www.nevo.co.il/case/487216</vt:lpwstr>
      </vt:variant>
      <vt:variant>
        <vt:lpwstr/>
      </vt:variant>
      <vt:variant>
        <vt:i4>3670132</vt:i4>
      </vt:variant>
      <vt:variant>
        <vt:i4>48</vt:i4>
      </vt:variant>
      <vt:variant>
        <vt:i4>0</vt:i4>
      </vt:variant>
      <vt:variant>
        <vt:i4>5</vt:i4>
      </vt:variant>
      <vt:variant>
        <vt:lpwstr>http://www.nevo.co.il/case/16914746</vt:lpwstr>
      </vt:variant>
      <vt:variant>
        <vt:lpwstr/>
      </vt:variant>
      <vt:variant>
        <vt:i4>3342453</vt:i4>
      </vt:variant>
      <vt:variant>
        <vt:i4>45</vt:i4>
      </vt:variant>
      <vt:variant>
        <vt:i4>0</vt:i4>
      </vt:variant>
      <vt:variant>
        <vt:i4>5</vt:i4>
      </vt:variant>
      <vt:variant>
        <vt:lpwstr>http://www.nevo.co.il/case/2948401</vt:lpwstr>
      </vt:variant>
      <vt:variant>
        <vt:lpwstr/>
      </vt:variant>
      <vt:variant>
        <vt:i4>3211379</vt:i4>
      </vt:variant>
      <vt:variant>
        <vt:i4>42</vt:i4>
      </vt:variant>
      <vt:variant>
        <vt:i4>0</vt:i4>
      </vt:variant>
      <vt:variant>
        <vt:i4>5</vt:i4>
      </vt:variant>
      <vt:variant>
        <vt:lpwstr>http://www.nevo.co.il/case/3749395</vt:lpwstr>
      </vt:variant>
      <vt:variant>
        <vt:lpwstr/>
      </vt:variant>
      <vt:variant>
        <vt:i4>3080307</vt:i4>
      </vt:variant>
      <vt:variant>
        <vt:i4>39</vt:i4>
      </vt:variant>
      <vt:variant>
        <vt:i4>0</vt:i4>
      </vt:variant>
      <vt:variant>
        <vt:i4>5</vt:i4>
      </vt:variant>
      <vt:variant>
        <vt:lpwstr>http://www.nevo.co.il/case/ 5079565</vt:lpwstr>
      </vt:variant>
      <vt:variant>
        <vt:lpwstr/>
      </vt:variant>
      <vt:variant>
        <vt:i4>4063345</vt:i4>
      </vt:variant>
      <vt:variant>
        <vt:i4>36</vt:i4>
      </vt:variant>
      <vt:variant>
        <vt:i4>0</vt:i4>
      </vt:variant>
      <vt:variant>
        <vt:i4>5</vt:i4>
      </vt:variant>
      <vt:variant>
        <vt:lpwstr>http://www.nevo.co.il/case/6745579</vt:lpwstr>
      </vt:variant>
      <vt:variant>
        <vt:lpwstr/>
      </vt:variant>
      <vt:variant>
        <vt:i4>3211379</vt:i4>
      </vt:variant>
      <vt:variant>
        <vt:i4>33</vt:i4>
      </vt:variant>
      <vt:variant>
        <vt:i4>0</vt:i4>
      </vt:variant>
      <vt:variant>
        <vt:i4>5</vt:i4>
      </vt:variant>
      <vt:variant>
        <vt:lpwstr>http://www.nevo.co.il/case/3749395</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3735667</vt:i4>
      </vt:variant>
      <vt:variant>
        <vt:i4>21</vt:i4>
      </vt:variant>
      <vt:variant>
        <vt:i4>0</vt:i4>
      </vt:variant>
      <vt:variant>
        <vt:i4>5</vt:i4>
      </vt:variant>
      <vt:variant>
        <vt:lpwstr>http://www.nevo.co.il/case/18099618</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3276927</vt:i4>
      </vt:variant>
      <vt:variant>
        <vt:i4>9</vt:i4>
      </vt:variant>
      <vt:variant>
        <vt:i4>0</vt:i4>
      </vt:variant>
      <vt:variant>
        <vt:i4>5</vt:i4>
      </vt:variant>
      <vt:variant>
        <vt:lpwstr>http://www.nevo.co.il/case/3974264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16312</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עבוד ואקים </vt:lpwstr>
  </property>
  <property fmtid="{D5CDD505-2E9C-101B-9397-08002B2CF9AE}" pid="10" name="LAWYER">
    <vt:lpwstr>יפעת פינצובר;מירי כהן</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20160229</vt:lpwstr>
  </property>
  <property fmtid="{D5CDD505-2E9C-101B-9397-08002B2CF9AE}" pid="14" name="TYPE_N_DATE">
    <vt:lpwstr>38020160229</vt:lpwstr>
  </property>
  <property fmtid="{D5CDD505-2E9C-101B-9397-08002B2CF9AE}" pid="15" name="WORDNUMPAGES">
    <vt:lpwstr>7</vt:lpwstr>
  </property>
  <property fmtid="{D5CDD505-2E9C-101B-9397-08002B2CF9AE}" pid="16" name="TYPE_ABS_DATE">
    <vt:lpwstr>380020160229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3974264;18099618;3749395:2;6745579;5079565;2948401;16914746;487216;5268593:2</vt:lpwstr>
  </property>
  <property fmtid="{D5CDD505-2E9C-101B-9397-08002B2CF9AE}" pid="36" name="LAWLISTTMP1">
    <vt:lpwstr>4216/007.a:2;007.c:2</vt:lpwstr>
  </property>
</Properties>
</file>