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D4AFA" w:rsidRPr="00CC3586" w14:paraId="09A150FE" w14:textId="77777777">
        <w:trPr>
          <w:trHeight w:hRule="exact" w:val="418"/>
          <w:jc w:val="center"/>
        </w:trPr>
        <w:tc>
          <w:tcPr>
            <w:tcW w:w="8720" w:type="dxa"/>
            <w:gridSpan w:val="3"/>
          </w:tcPr>
          <w:p w14:paraId="2DC56ADC" w14:textId="77777777" w:rsidR="00DD4AFA" w:rsidRPr="00CC3586" w:rsidRDefault="00CC3586">
            <w:pPr>
              <w:pStyle w:val="a4"/>
              <w:tabs>
                <w:tab w:val="clear" w:pos="8306"/>
              </w:tabs>
              <w:jc w:val="center"/>
              <w:rPr>
                <w:rFonts w:ascii="Tahoma" w:hAnsi="Tahoma" w:cs="Tahoma"/>
                <w:b/>
                <w:bCs/>
                <w:color w:val="000080"/>
                <w:sz w:val="20"/>
                <w:szCs w:val="20"/>
                <w:rtl/>
              </w:rPr>
            </w:pPr>
            <w:bookmarkStart w:id="0" w:name="LastJudge"/>
            <w:r w:rsidRPr="00CC3586">
              <w:rPr>
                <w:rFonts w:ascii="Tahoma" w:hAnsi="Tahoma" w:cs="Tahoma"/>
                <w:b/>
                <w:bCs/>
                <w:color w:val="000080"/>
                <w:sz w:val="20"/>
                <w:szCs w:val="20"/>
                <w:rtl/>
              </w:rPr>
              <w:t>בית משפט השלום ברחובות</w:t>
            </w:r>
          </w:p>
        </w:tc>
      </w:tr>
      <w:tr w:rsidR="00DD4AFA" w:rsidRPr="00CC3586" w14:paraId="3BFC08FF" w14:textId="77777777">
        <w:trPr>
          <w:trHeight w:val="337"/>
          <w:jc w:val="center"/>
        </w:trPr>
        <w:tc>
          <w:tcPr>
            <w:tcW w:w="6396" w:type="dxa"/>
          </w:tcPr>
          <w:p w14:paraId="0CACD64D" w14:textId="77777777" w:rsidR="00DD4AFA" w:rsidRPr="00CC3586" w:rsidRDefault="00CC3586">
            <w:pPr>
              <w:rPr>
                <w:b/>
                <w:bCs/>
                <w:sz w:val="26"/>
                <w:szCs w:val="26"/>
                <w:rtl/>
              </w:rPr>
            </w:pPr>
            <w:r w:rsidRPr="00CC3586">
              <w:rPr>
                <w:b/>
                <w:bCs/>
                <w:sz w:val="26"/>
                <w:szCs w:val="26"/>
                <w:rtl/>
              </w:rPr>
              <w:t>ת"פ</w:t>
            </w:r>
            <w:r w:rsidRPr="00CC3586">
              <w:rPr>
                <w:rFonts w:hint="cs"/>
                <w:b/>
                <w:bCs/>
                <w:sz w:val="26"/>
                <w:szCs w:val="26"/>
                <w:rtl/>
              </w:rPr>
              <w:t xml:space="preserve"> </w:t>
            </w:r>
            <w:r w:rsidRPr="00CC3586">
              <w:rPr>
                <w:b/>
                <w:bCs/>
                <w:sz w:val="26"/>
                <w:szCs w:val="26"/>
                <w:rtl/>
              </w:rPr>
              <w:t>19487-10-12</w:t>
            </w:r>
            <w:r w:rsidRPr="00CC3586">
              <w:rPr>
                <w:rFonts w:hint="cs"/>
                <w:b/>
                <w:bCs/>
                <w:sz w:val="26"/>
                <w:szCs w:val="26"/>
                <w:rtl/>
              </w:rPr>
              <w:t xml:space="preserve"> </w:t>
            </w:r>
            <w:r w:rsidRPr="00CC3586">
              <w:rPr>
                <w:b/>
                <w:bCs/>
                <w:sz w:val="26"/>
                <w:szCs w:val="26"/>
                <w:rtl/>
              </w:rPr>
              <w:t>מדינת ישראל נ' סורג'יק</w:t>
            </w:r>
          </w:p>
          <w:p w14:paraId="5DA5FA06" w14:textId="77777777" w:rsidR="00DD4AFA" w:rsidRPr="00CC3586" w:rsidRDefault="00DD4AFA">
            <w:pPr>
              <w:rPr>
                <w:b/>
                <w:bCs/>
                <w:sz w:val="26"/>
                <w:szCs w:val="26"/>
                <w:rtl/>
              </w:rPr>
            </w:pPr>
          </w:p>
        </w:tc>
        <w:tc>
          <w:tcPr>
            <w:tcW w:w="236" w:type="dxa"/>
          </w:tcPr>
          <w:p w14:paraId="43759EE8" w14:textId="77777777" w:rsidR="00DD4AFA" w:rsidRPr="00CC3586" w:rsidRDefault="00DD4AFA">
            <w:pPr>
              <w:pStyle w:val="a4"/>
              <w:jc w:val="right"/>
              <w:rPr>
                <w:b/>
                <w:bCs/>
                <w:sz w:val="26"/>
                <w:szCs w:val="26"/>
                <w:rtl/>
              </w:rPr>
            </w:pPr>
          </w:p>
        </w:tc>
        <w:tc>
          <w:tcPr>
            <w:tcW w:w="2088" w:type="dxa"/>
          </w:tcPr>
          <w:p w14:paraId="125E053F" w14:textId="77777777" w:rsidR="00DD4AFA" w:rsidRPr="00CC3586" w:rsidRDefault="00CC3586">
            <w:pPr>
              <w:pStyle w:val="a4"/>
              <w:tabs>
                <w:tab w:val="clear" w:pos="4153"/>
              </w:tabs>
              <w:jc w:val="right"/>
              <w:rPr>
                <w:b/>
                <w:bCs/>
                <w:sz w:val="26"/>
                <w:szCs w:val="26"/>
                <w:rtl/>
              </w:rPr>
            </w:pPr>
            <w:r w:rsidRPr="00CC3586">
              <w:rPr>
                <w:b/>
                <w:bCs/>
                <w:sz w:val="26"/>
                <w:szCs w:val="26"/>
                <w:rtl/>
              </w:rPr>
              <w:t>01 יולי 2014</w:t>
            </w:r>
          </w:p>
        </w:tc>
      </w:tr>
    </w:tbl>
    <w:p w14:paraId="4EF1E093" w14:textId="77777777" w:rsidR="00DD4AFA" w:rsidRPr="00CC3586" w:rsidRDefault="00DD4AFA">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DD4AFA" w:rsidRPr="00CC3586" w14:paraId="518AC38A" w14:textId="77777777">
        <w:trPr>
          <w:gridAfter w:val="1"/>
          <w:wAfter w:w="83" w:type="dxa"/>
        </w:trPr>
        <w:tc>
          <w:tcPr>
            <w:tcW w:w="8719" w:type="dxa"/>
            <w:gridSpan w:val="2"/>
          </w:tcPr>
          <w:p w14:paraId="30413B40" w14:textId="77777777" w:rsidR="00DD4AFA" w:rsidRPr="00CC3586" w:rsidRDefault="00CC3586">
            <w:pPr>
              <w:spacing w:line="360" w:lineRule="auto"/>
              <w:rPr>
                <w:rFonts w:ascii="Times New Roman" w:eastAsia="Times New Roman" w:hAnsi="Times New Roman"/>
                <w:b/>
                <w:bCs/>
                <w:sz w:val="26"/>
                <w:szCs w:val="26"/>
                <w:rtl/>
              </w:rPr>
            </w:pPr>
            <w:r w:rsidRPr="00CC3586">
              <w:rPr>
                <w:rFonts w:ascii="Times New Roman" w:eastAsia="Times New Roman" w:hAnsi="Times New Roman" w:hint="cs"/>
                <w:b/>
                <w:bCs/>
                <w:sz w:val="26"/>
                <w:szCs w:val="26"/>
                <w:rtl/>
              </w:rPr>
              <w:t>בפני כב' ה</w:t>
            </w:r>
            <w:r w:rsidRPr="00CC3586">
              <w:rPr>
                <w:rFonts w:ascii="Times New Roman" w:eastAsia="Times New Roman" w:hAnsi="Times New Roman" w:hint="cs"/>
                <w:rtl/>
              </w:rPr>
              <w:t>שופטת אפרת פינק</w:t>
            </w:r>
            <w:r w:rsidRPr="00CC3586">
              <w:rPr>
                <w:rStyle w:val="TimesNewRomanTimesNewRoman"/>
                <w:rFonts w:eastAsia="Times New Roman"/>
                <w:rtl/>
              </w:rPr>
              <w:t xml:space="preserve"> </w:t>
            </w:r>
          </w:p>
        </w:tc>
      </w:tr>
      <w:tr w:rsidR="00DD4AFA" w:rsidRPr="00CC3586" w14:paraId="6BDDFAE3" w14:textId="77777777">
        <w:tc>
          <w:tcPr>
            <w:tcW w:w="2880" w:type="dxa"/>
          </w:tcPr>
          <w:p w14:paraId="537C754D" w14:textId="77777777" w:rsidR="00DD4AFA" w:rsidRPr="00CC3586" w:rsidRDefault="00CC3586">
            <w:pPr>
              <w:ind w:left="26"/>
              <w:rPr>
                <w:rFonts w:ascii="Times New Roman" w:eastAsia="Times New Roman" w:hAnsi="Times New Roman"/>
                <w:b/>
                <w:bCs/>
                <w:sz w:val="26"/>
                <w:szCs w:val="26"/>
                <w:rtl/>
              </w:rPr>
            </w:pPr>
            <w:bookmarkStart w:id="1" w:name="FirstAppellant"/>
            <w:r w:rsidRPr="00CC3586">
              <w:rPr>
                <w:rFonts w:ascii="Times New Roman" w:eastAsia="Times New Roman" w:hAnsi="Times New Roman" w:hint="cs"/>
                <w:b/>
                <w:bCs/>
                <w:sz w:val="26"/>
                <w:szCs w:val="26"/>
                <w:rtl/>
              </w:rPr>
              <w:t>ה</w:t>
            </w:r>
            <w:r w:rsidRPr="00CC3586">
              <w:rPr>
                <w:rFonts w:ascii="Times New Roman" w:eastAsia="Times New Roman" w:hAnsi="Times New Roman" w:hint="cs"/>
                <w:rtl/>
              </w:rPr>
              <w:t>מאשימה</w:t>
            </w:r>
          </w:p>
        </w:tc>
        <w:tc>
          <w:tcPr>
            <w:tcW w:w="5922" w:type="dxa"/>
            <w:gridSpan w:val="2"/>
          </w:tcPr>
          <w:p w14:paraId="68ACE196" w14:textId="77777777" w:rsidR="00DD4AFA" w:rsidRPr="00CC3586" w:rsidRDefault="00CC3586">
            <w:pPr>
              <w:rPr>
                <w:rFonts w:ascii="Times New Roman" w:eastAsia="Times New Roman" w:hAnsi="Times New Roman"/>
                <w:b/>
                <w:bCs/>
                <w:sz w:val="26"/>
                <w:szCs w:val="26"/>
                <w:rtl/>
              </w:rPr>
            </w:pPr>
            <w:r w:rsidRPr="00CC3586">
              <w:rPr>
                <w:rFonts w:ascii="Times New Roman" w:eastAsia="Times New Roman" w:hAnsi="Times New Roman" w:hint="cs"/>
                <w:rtl/>
              </w:rPr>
              <w:t>מדינת ישראל</w:t>
            </w:r>
          </w:p>
          <w:p w14:paraId="4B5736CC" w14:textId="77777777" w:rsidR="00DD4AFA" w:rsidRPr="00CC3586" w:rsidRDefault="00DD4AFA">
            <w:pPr>
              <w:rPr>
                <w:rFonts w:ascii="Times New Roman" w:eastAsia="Times New Roman" w:hAnsi="Times New Roman"/>
                <w:b/>
                <w:bCs/>
                <w:sz w:val="26"/>
                <w:szCs w:val="26"/>
                <w:rtl/>
              </w:rPr>
            </w:pPr>
          </w:p>
        </w:tc>
      </w:tr>
      <w:bookmarkEnd w:id="1"/>
      <w:tr w:rsidR="00DD4AFA" w:rsidRPr="00CC3586" w14:paraId="69AA2C75" w14:textId="77777777">
        <w:tc>
          <w:tcPr>
            <w:tcW w:w="8802" w:type="dxa"/>
            <w:gridSpan w:val="3"/>
          </w:tcPr>
          <w:p w14:paraId="3DEEBAF2" w14:textId="77777777" w:rsidR="00DD4AFA" w:rsidRPr="00CC3586" w:rsidRDefault="00CC3586">
            <w:pPr>
              <w:jc w:val="center"/>
              <w:rPr>
                <w:rFonts w:ascii="Arial" w:eastAsia="Times New Roman" w:hAnsi="Arial"/>
                <w:b/>
                <w:bCs/>
                <w:sz w:val="26"/>
                <w:szCs w:val="26"/>
                <w:rtl/>
              </w:rPr>
            </w:pPr>
            <w:r w:rsidRPr="00CC3586">
              <w:rPr>
                <w:rFonts w:ascii="Arial" w:eastAsia="Times New Roman" w:hAnsi="Arial"/>
                <w:b/>
                <w:bCs/>
                <w:sz w:val="26"/>
                <w:szCs w:val="26"/>
                <w:rtl/>
              </w:rPr>
              <w:t>נגד</w:t>
            </w:r>
          </w:p>
          <w:p w14:paraId="0A869FB9" w14:textId="77777777" w:rsidR="00DD4AFA" w:rsidRPr="00CC3586" w:rsidRDefault="00DD4AFA">
            <w:pPr>
              <w:jc w:val="center"/>
              <w:rPr>
                <w:rFonts w:ascii="Arial" w:eastAsia="Times New Roman" w:hAnsi="Arial"/>
                <w:b/>
                <w:bCs/>
                <w:sz w:val="26"/>
                <w:szCs w:val="26"/>
              </w:rPr>
            </w:pPr>
          </w:p>
        </w:tc>
      </w:tr>
      <w:tr w:rsidR="00DD4AFA" w:rsidRPr="00CC3586" w14:paraId="75D078B3" w14:textId="77777777">
        <w:tc>
          <w:tcPr>
            <w:tcW w:w="2880" w:type="dxa"/>
          </w:tcPr>
          <w:p w14:paraId="407883CF" w14:textId="77777777" w:rsidR="00DD4AFA" w:rsidRPr="00CC3586" w:rsidRDefault="00CC3586">
            <w:pPr>
              <w:ind w:left="26"/>
              <w:rPr>
                <w:rFonts w:ascii="Times New Roman" w:eastAsia="Times New Roman" w:hAnsi="Times New Roman"/>
                <w:b/>
                <w:bCs/>
                <w:sz w:val="26"/>
                <w:szCs w:val="26"/>
                <w:rtl/>
              </w:rPr>
            </w:pPr>
            <w:r w:rsidRPr="00CC3586">
              <w:rPr>
                <w:rFonts w:ascii="Times New Roman" w:eastAsia="Times New Roman" w:hAnsi="Times New Roman" w:hint="cs"/>
                <w:b/>
                <w:bCs/>
                <w:sz w:val="26"/>
                <w:szCs w:val="26"/>
                <w:rtl/>
              </w:rPr>
              <w:t>ה</w:t>
            </w:r>
            <w:r w:rsidRPr="00CC3586">
              <w:rPr>
                <w:rFonts w:ascii="Times New Roman" w:eastAsia="Times New Roman" w:hAnsi="Times New Roman" w:hint="cs"/>
                <w:rtl/>
              </w:rPr>
              <w:t>נאשם</w:t>
            </w:r>
          </w:p>
        </w:tc>
        <w:tc>
          <w:tcPr>
            <w:tcW w:w="5922" w:type="dxa"/>
            <w:gridSpan w:val="2"/>
          </w:tcPr>
          <w:p w14:paraId="6A6566FA" w14:textId="77777777" w:rsidR="00DD4AFA" w:rsidRPr="00CC3586" w:rsidRDefault="00CC3586">
            <w:pPr>
              <w:rPr>
                <w:rFonts w:ascii="Times New Roman" w:eastAsia="Times New Roman" w:hAnsi="Times New Roman"/>
                <w:b/>
                <w:bCs/>
                <w:sz w:val="26"/>
                <w:szCs w:val="26"/>
                <w:rtl/>
              </w:rPr>
            </w:pPr>
            <w:r w:rsidRPr="00CC3586">
              <w:rPr>
                <w:rFonts w:ascii="Times New Roman" w:eastAsia="Times New Roman" w:hAnsi="Times New Roman" w:hint="cs"/>
                <w:rtl/>
              </w:rPr>
              <w:t>סרגיי סורג'יק</w:t>
            </w:r>
          </w:p>
          <w:p w14:paraId="4F2C694C" w14:textId="77777777" w:rsidR="00DD4AFA" w:rsidRPr="00CC3586" w:rsidRDefault="00DD4AFA">
            <w:pPr>
              <w:rPr>
                <w:rFonts w:ascii="Times New Roman" w:eastAsia="Times New Roman" w:hAnsi="Times New Roman"/>
                <w:b/>
                <w:bCs/>
                <w:sz w:val="26"/>
                <w:szCs w:val="26"/>
                <w:rtl/>
              </w:rPr>
            </w:pPr>
          </w:p>
        </w:tc>
      </w:tr>
    </w:tbl>
    <w:p w14:paraId="59B3610A" w14:textId="77777777" w:rsidR="00DD4AFA" w:rsidRPr="00CC3586" w:rsidRDefault="00DD4AFA">
      <w:pPr>
        <w:spacing w:line="360" w:lineRule="auto"/>
        <w:jc w:val="both"/>
        <w:rPr>
          <w:rtl/>
        </w:rPr>
      </w:pPr>
    </w:p>
    <w:p w14:paraId="519E99C5" w14:textId="77777777" w:rsidR="00DD4AFA" w:rsidRPr="00CC3586" w:rsidRDefault="00CC3586">
      <w:pPr>
        <w:spacing w:line="360" w:lineRule="auto"/>
        <w:jc w:val="both"/>
        <w:rPr>
          <w:sz w:val="6"/>
          <w:szCs w:val="6"/>
          <w:rtl/>
        </w:rPr>
      </w:pPr>
      <w:r w:rsidRPr="00CC3586">
        <w:rPr>
          <w:sz w:val="6"/>
          <w:szCs w:val="6"/>
          <w:rtl/>
        </w:rPr>
        <w:t>&lt;#2#&gt;</w:t>
      </w:r>
    </w:p>
    <w:p w14:paraId="4C7DEBF0" w14:textId="77777777" w:rsidR="00DD4AFA" w:rsidRPr="00CC3586" w:rsidRDefault="00CC3586">
      <w:pPr>
        <w:pStyle w:val="12"/>
        <w:rPr>
          <w:u w:val="none"/>
          <w:rtl/>
        </w:rPr>
      </w:pPr>
      <w:r w:rsidRPr="00CC3586">
        <w:rPr>
          <w:rFonts w:hint="cs"/>
          <w:u w:val="none"/>
          <w:rtl/>
        </w:rPr>
        <w:t>נוכחים:</w:t>
      </w:r>
    </w:p>
    <w:p w14:paraId="15D13A12" w14:textId="77777777" w:rsidR="00DD4AFA" w:rsidRPr="00CC3586" w:rsidRDefault="00CC3586">
      <w:pPr>
        <w:pStyle w:val="12"/>
        <w:rPr>
          <w:sz w:val="4"/>
          <w:szCs w:val="4"/>
          <w:u w:val="none"/>
          <w:rtl/>
        </w:rPr>
      </w:pPr>
      <w:r w:rsidRPr="00CC3586">
        <w:rPr>
          <w:rFonts w:hint="cs"/>
          <w:b w:val="0"/>
          <w:bCs w:val="0"/>
          <w:sz w:val="4"/>
          <w:szCs w:val="4"/>
          <w:u w:val="none"/>
          <w:rtl/>
        </w:rPr>
        <w:t xml:space="preserve"> </w:t>
      </w:r>
    </w:p>
    <w:p w14:paraId="16AD7CE3" w14:textId="77777777" w:rsidR="00DD4AFA" w:rsidRPr="00CC3586" w:rsidRDefault="00CC3586">
      <w:pPr>
        <w:pStyle w:val="12"/>
        <w:rPr>
          <w:b w:val="0"/>
          <w:bCs w:val="0"/>
          <w:sz w:val="4"/>
          <w:szCs w:val="4"/>
          <w:u w:val="none"/>
        </w:rPr>
      </w:pPr>
      <w:bookmarkStart w:id="2" w:name="FirstLawyer"/>
      <w:r w:rsidRPr="00CC3586">
        <w:rPr>
          <w:rFonts w:hint="cs"/>
          <w:u w:val="none"/>
          <w:rtl/>
        </w:rPr>
        <w:t>ב"כ</w:t>
      </w:r>
      <w:bookmarkEnd w:id="2"/>
      <w:r w:rsidRPr="00CC3586">
        <w:rPr>
          <w:rFonts w:hint="cs"/>
          <w:u w:val="none"/>
          <w:rtl/>
        </w:rPr>
        <w:t xml:space="preserve"> המאשימה עו"ד אביטל פורטנוי </w:t>
      </w:r>
      <w:r w:rsidRPr="00CC3586">
        <w:rPr>
          <w:rFonts w:hint="cs"/>
          <w:u w:val="none"/>
          <w:rtl/>
        </w:rPr>
        <w:br/>
        <w:t xml:space="preserve">הנאשם בעצמו </w:t>
      </w:r>
      <w:r w:rsidRPr="00CC3586">
        <w:rPr>
          <w:rFonts w:hint="cs"/>
          <w:u w:val="none"/>
          <w:rtl/>
        </w:rPr>
        <w:br/>
        <w:t>ב"כ הנאשם עו"ד עזרא יצחקי</w:t>
      </w:r>
      <w:r w:rsidRPr="00CC3586">
        <w:rPr>
          <w:rFonts w:hint="cs"/>
          <w:b w:val="0"/>
          <w:bCs w:val="0"/>
          <w:u w:val="none"/>
          <w:rtl/>
        </w:rPr>
        <w:t xml:space="preserve"> </w:t>
      </w:r>
    </w:p>
    <w:p w14:paraId="189CDAB9" w14:textId="77777777" w:rsidR="00DD4AFA" w:rsidRPr="00CC3586" w:rsidRDefault="00DD4AFA">
      <w:pPr>
        <w:spacing w:line="360" w:lineRule="auto"/>
        <w:jc w:val="both"/>
        <w:rPr>
          <w:rFonts w:ascii="Arial" w:hAnsi="Arial"/>
          <w:b/>
          <w:bCs/>
          <w:rtl/>
        </w:rPr>
      </w:pPr>
    </w:p>
    <w:p w14:paraId="547F9EE8" w14:textId="77777777" w:rsidR="00865FA1" w:rsidRDefault="00CC3586">
      <w:pPr>
        <w:spacing w:line="360" w:lineRule="auto"/>
        <w:jc w:val="both"/>
        <w:rPr>
          <w:rFonts w:ascii="Arial" w:hAnsi="Arial"/>
          <w:sz w:val="6"/>
          <w:szCs w:val="6"/>
          <w:rtl/>
        </w:rPr>
      </w:pPr>
      <w:r w:rsidRPr="00CC3586">
        <w:rPr>
          <w:rFonts w:ascii="Arial" w:hAnsi="Arial"/>
          <w:b/>
          <w:bCs/>
          <w:sz w:val="6"/>
          <w:szCs w:val="6"/>
          <w:rtl/>
        </w:rPr>
        <w:t>&lt;#3#&gt;</w:t>
      </w:r>
      <w:bookmarkStart w:id="3" w:name="LawTable"/>
      <w:bookmarkEnd w:id="3"/>
    </w:p>
    <w:p w14:paraId="3F0010DC" w14:textId="77777777" w:rsidR="00865FA1" w:rsidRPr="00865FA1" w:rsidRDefault="00865FA1" w:rsidP="00865FA1">
      <w:pPr>
        <w:spacing w:after="120" w:line="240" w:lineRule="exact"/>
        <w:ind w:left="283" w:hanging="283"/>
        <w:jc w:val="both"/>
        <w:rPr>
          <w:rFonts w:ascii="FrankRuehl" w:hAnsi="FrankRuehl" w:cs="FrankRuehl"/>
          <w:rtl/>
        </w:rPr>
      </w:pPr>
    </w:p>
    <w:p w14:paraId="009394F4" w14:textId="77777777" w:rsidR="00865FA1" w:rsidRPr="00865FA1" w:rsidRDefault="00865FA1" w:rsidP="00865FA1">
      <w:pPr>
        <w:spacing w:after="120" w:line="240" w:lineRule="exact"/>
        <w:ind w:left="283" w:hanging="283"/>
        <w:jc w:val="both"/>
        <w:rPr>
          <w:rFonts w:ascii="FrankRuehl" w:hAnsi="FrankRuehl" w:cs="FrankRuehl"/>
          <w:rtl/>
        </w:rPr>
      </w:pPr>
      <w:r w:rsidRPr="00865FA1">
        <w:rPr>
          <w:rFonts w:ascii="FrankRuehl" w:hAnsi="FrankRuehl" w:cs="FrankRuehl"/>
          <w:rtl/>
        </w:rPr>
        <w:t xml:space="preserve">חקיקה שאוזכרה: </w:t>
      </w:r>
    </w:p>
    <w:p w14:paraId="38C5FDA1" w14:textId="77777777" w:rsidR="00865FA1" w:rsidRPr="00865FA1" w:rsidRDefault="00865FA1" w:rsidP="00865FA1">
      <w:pPr>
        <w:spacing w:after="120" w:line="240" w:lineRule="exact"/>
        <w:ind w:left="283" w:hanging="283"/>
        <w:jc w:val="both"/>
        <w:rPr>
          <w:rFonts w:ascii="FrankRuehl" w:hAnsi="FrankRuehl" w:cs="FrankRuehl"/>
          <w:rtl/>
        </w:rPr>
      </w:pPr>
      <w:hyperlink r:id="rId7" w:history="1">
        <w:r w:rsidRPr="00865FA1">
          <w:rPr>
            <w:rFonts w:ascii="FrankRuehl" w:hAnsi="FrankRuehl" w:cs="FrankRuehl"/>
            <w:color w:val="0000FF"/>
            <w:u w:val="single"/>
            <w:rtl/>
          </w:rPr>
          <w:t>פקודת הסמים המסוכנים [נוסח חדש], תשל"ג-1973</w:t>
        </w:r>
      </w:hyperlink>
      <w:r w:rsidRPr="00865FA1">
        <w:rPr>
          <w:rFonts w:ascii="FrankRuehl" w:hAnsi="FrankRuehl" w:cs="FrankRuehl"/>
          <w:rtl/>
        </w:rPr>
        <w:t xml:space="preserve">: סע'  </w:t>
      </w:r>
      <w:hyperlink r:id="rId8" w:history="1">
        <w:r w:rsidRPr="00865FA1">
          <w:rPr>
            <w:rFonts w:ascii="FrankRuehl" w:hAnsi="FrankRuehl" w:cs="FrankRuehl"/>
            <w:color w:val="0000FF"/>
            <w:u w:val="single"/>
            <w:rtl/>
          </w:rPr>
          <w:t>7(א)</w:t>
        </w:r>
      </w:hyperlink>
      <w:r w:rsidRPr="00865FA1">
        <w:rPr>
          <w:rFonts w:ascii="FrankRuehl" w:hAnsi="FrankRuehl" w:cs="FrankRuehl"/>
          <w:rtl/>
        </w:rPr>
        <w:t xml:space="preserve">, </w:t>
      </w:r>
      <w:hyperlink r:id="rId9" w:history="1">
        <w:r w:rsidRPr="00865FA1">
          <w:rPr>
            <w:rFonts w:ascii="FrankRuehl" w:hAnsi="FrankRuehl" w:cs="FrankRuehl"/>
            <w:color w:val="0000FF"/>
            <w:u w:val="single"/>
            <w:rtl/>
          </w:rPr>
          <w:t>7(ג)</w:t>
        </w:r>
      </w:hyperlink>
    </w:p>
    <w:p w14:paraId="1E9FCAAE" w14:textId="77777777" w:rsidR="00865FA1" w:rsidRPr="00865FA1" w:rsidRDefault="00865FA1" w:rsidP="00865FA1">
      <w:pPr>
        <w:spacing w:after="120" w:line="240" w:lineRule="exact"/>
        <w:ind w:left="283" w:hanging="283"/>
        <w:jc w:val="both"/>
        <w:rPr>
          <w:rFonts w:ascii="FrankRuehl" w:hAnsi="FrankRuehl" w:cs="FrankRuehl"/>
          <w:rtl/>
        </w:rPr>
      </w:pPr>
      <w:hyperlink r:id="rId10" w:history="1">
        <w:r w:rsidRPr="00865FA1">
          <w:rPr>
            <w:rFonts w:ascii="FrankRuehl" w:hAnsi="FrankRuehl" w:cs="FrankRuehl"/>
            <w:color w:val="0000FF"/>
            <w:u w:val="single"/>
            <w:rtl/>
          </w:rPr>
          <w:t>חוק העונשין, תשל"ז-1977</w:t>
        </w:r>
      </w:hyperlink>
      <w:r w:rsidRPr="00865FA1">
        <w:rPr>
          <w:rFonts w:ascii="FrankRuehl" w:hAnsi="FrankRuehl" w:cs="FrankRuehl"/>
          <w:rtl/>
        </w:rPr>
        <w:t xml:space="preserve">: סע'  </w:t>
      </w:r>
      <w:hyperlink r:id="rId11" w:history="1">
        <w:r w:rsidRPr="00865FA1">
          <w:rPr>
            <w:rFonts w:ascii="FrankRuehl" w:hAnsi="FrankRuehl" w:cs="FrankRuehl"/>
            <w:color w:val="0000FF"/>
            <w:u w:val="single"/>
            <w:rtl/>
          </w:rPr>
          <w:t>40ג</w:t>
        </w:r>
      </w:hyperlink>
      <w:r w:rsidRPr="00865FA1">
        <w:rPr>
          <w:rFonts w:ascii="FrankRuehl" w:hAnsi="FrankRuehl" w:cs="FrankRuehl"/>
          <w:rtl/>
        </w:rPr>
        <w:t xml:space="preserve">, </w:t>
      </w:r>
      <w:hyperlink r:id="rId12" w:history="1">
        <w:r w:rsidRPr="00865FA1">
          <w:rPr>
            <w:rFonts w:ascii="FrankRuehl" w:hAnsi="FrankRuehl" w:cs="FrankRuehl"/>
            <w:color w:val="0000FF"/>
            <w:u w:val="single"/>
            <w:rtl/>
          </w:rPr>
          <w:t>40ט</w:t>
        </w:r>
      </w:hyperlink>
      <w:r w:rsidRPr="00865FA1">
        <w:rPr>
          <w:rFonts w:ascii="FrankRuehl" w:hAnsi="FrankRuehl" w:cs="FrankRuehl"/>
          <w:rtl/>
        </w:rPr>
        <w:t xml:space="preserve">, </w:t>
      </w:r>
      <w:hyperlink r:id="rId13" w:history="1">
        <w:r w:rsidRPr="00865FA1">
          <w:rPr>
            <w:rFonts w:ascii="FrankRuehl" w:hAnsi="FrankRuehl" w:cs="FrankRuehl"/>
            <w:color w:val="0000FF"/>
            <w:u w:val="single"/>
            <w:rtl/>
          </w:rPr>
          <w:t>40יא</w:t>
        </w:r>
      </w:hyperlink>
    </w:p>
    <w:p w14:paraId="732F3532" w14:textId="77777777" w:rsidR="00865FA1" w:rsidRPr="00865FA1" w:rsidRDefault="00865FA1" w:rsidP="00865FA1">
      <w:pPr>
        <w:spacing w:after="120" w:line="240" w:lineRule="exact"/>
        <w:ind w:left="283" w:hanging="283"/>
        <w:jc w:val="both"/>
        <w:rPr>
          <w:rFonts w:ascii="FrankRuehl" w:hAnsi="FrankRuehl" w:cs="FrankRuehl"/>
          <w:rtl/>
        </w:rPr>
      </w:pPr>
    </w:p>
    <w:p w14:paraId="7518C402" w14:textId="77777777" w:rsidR="00DD4AFA" w:rsidRPr="00865FA1" w:rsidRDefault="00DD4AFA">
      <w:pPr>
        <w:spacing w:line="360" w:lineRule="auto"/>
        <w:jc w:val="both"/>
        <w:rPr>
          <w:rFonts w:ascii="Arial" w:hAnsi="Arial"/>
          <w:b/>
          <w:bCs/>
          <w:sz w:val="6"/>
          <w:szCs w:val="6"/>
          <w:rtl/>
        </w:rPr>
      </w:pPr>
      <w:bookmarkStart w:id="4" w:name="LawTable_End"/>
      <w:bookmarkEnd w:id="4"/>
    </w:p>
    <w:p w14:paraId="522482E0" w14:textId="77777777" w:rsidR="00CC3586" w:rsidRPr="00CC3586" w:rsidRDefault="00CC3586" w:rsidP="00CC3586">
      <w:pPr>
        <w:spacing w:line="360" w:lineRule="auto"/>
        <w:jc w:val="center"/>
        <w:rPr>
          <w:rFonts w:ascii="Arial" w:hAnsi="Arial"/>
          <w:b/>
          <w:bCs/>
          <w:sz w:val="28"/>
          <w:szCs w:val="28"/>
          <w:u w:val="single"/>
          <w:rtl/>
        </w:rPr>
      </w:pPr>
      <w:bookmarkStart w:id="5" w:name="PsakDin"/>
      <w:bookmarkEnd w:id="0"/>
      <w:r w:rsidRPr="00CC3586">
        <w:rPr>
          <w:rFonts w:ascii="Arial" w:hAnsi="Arial"/>
          <w:b/>
          <w:bCs/>
          <w:sz w:val="28"/>
          <w:szCs w:val="28"/>
          <w:u w:val="single"/>
          <w:rtl/>
        </w:rPr>
        <w:t>גזר דין</w:t>
      </w:r>
    </w:p>
    <w:bookmarkEnd w:id="5"/>
    <w:p w14:paraId="5DBDB8D8" w14:textId="77777777" w:rsidR="00DD4AFA" w:rsidRDefault="00DD4AFA">
      <w:pPr>
        <w:spacing w:line="360" w:lineRule="auto"/>
        <w:jc w:val="center"/>
        <w:rPr>
          <w:rtl/>
        </w:rPr>
      </w:pPr>
    </w:p>
    <w:p w14:paraId="52691EC5" w14:textId="77777777" w:rsidR="00DD4AFA" w:rsidRDefault="00CC3586">
      <w:pPr>
        <w:spacing w:line="360" w:lineRule="auto"/>
        <w:jc w:val="both"/>
        <w:rPr>
          <w:rFonts w:ascii="Arial" w:hAnsi="Arial"/>
          <w:b/>
          <w:bCs/>
          <w:u w:val="single"/>
          <w:rtl/>
        </w:rPr>
      </w:pPr>
      <w:r>
        <w:rPr>
          <w:rtl/>
        </w:rPr>
        <w:t xml:space="preserve"> </w:t>
      </w:r>
      <w:r>
        <w:rPr>
          <w:rFonts w:ascii="Arial" w:hAnsi="Arial" w:hint="cs"/>
          <w:b/>
          <w:bCs/>
          <w:u w:val="single"/>
          <w:rtl/>
        </w:rPr>
        <w:t>מבוא</w:t>
      </w:r>
    </w:p>
    <w:p w14:paraId="25CE3F6A" w14:textId="77777777" w:rsidR="00DD4AFA" w:rsidRDefault="00CC3586">
      <w:pPr>
        <w:pStyle w:val="1"/>
      </w:pPr>
      <w:bookmarkStart w:id="6" w:name="ABSTRACT_START"/>
      <w:bookmarkEnd w:id="6"/>
      <w:r>
        <w:rPr>
          <w:rtl/>
        </w:rPr>
        <w:t>נגד הנאשם הוגש כתב אישום המייחס לו עבירה של החזק</w:t>
      </w:r>
      <w:r>
        <w:rPr>
          <w:rFonts w:hint="cs"/>
          <w:rtl/>
        </w:rPr>
        <w:t xml:space="preserve">ת </w:t>
      </w:r>
      <w:r>
        <w:rPr>
          <w:rtl/>
        </w:rPr>
        <w:t xml:space="preserve">סם לצריכה עצמית לפי </w:t>
      </w:r>
      <w:hyperlink r:id="rId14" w:history="1">
        <w:r w:rsidR="00865FA1" w:rsidRPr="00865FA1">
          <w:rPr>
            <w:color w:val="0000FF"/>
            <w:u w:val="single"/>
            <w:rtl/>
          </w:rPr>
          <w:t>סעיף 7(א)</w:t>
        </w:r>
      </w:hyperlink>
      <w:r>
        <w:rPr>
          <w:rtl/>
        </w:rPr>
        <w:t xml:space="preserve"> יחד עם </w:t>
      </w:r>
      <w:hyperlink r:id="rId15" w:history="1">
        <w:r w:rsidR="00865FA1" w:rsidRPr="00865FA1">
          <w:rPr>
            <w:color w:val="0000FF"/>
            <w:u w:val="single"/>
            <w:rtl/>
          </w:rPr>
          <w:t>סעיף 7(ג)</w:t>
        </w:r>
      </w:hyperlink>
      <w:r>
        <w:rPr>
          <w:rtl/>
        </w:rPr>
        <w:t xml:space="preserve"> ל</w:t>
      </w:r>
      <w:hyperlink r:id="rId16" w:history="1">
        <w:r w:rsidRPr="00CC3586">
          <w:rPr>
            <w:rStyle w:val="Hyperlink"/>
            <w:rtl/>
          </w:rPr>
          <w:t>פקודת הסמים המסוכנים</w:t>
        </w:r>
      </w:hyperlink>
      <w:r>
        <w:rPr>
          <w:rtl/>
        </w:rPr>
        <w:t xml:space="preserve"> [נוסח חדש], התשל"ג – 1973 (להלן – "</w:t>
      </w:r>
      <w:r>
        <w:rPr>
          <w:b/>
          <w:bCs/>
          <w:rtl/>
        </w:rPr>
        <w:t>פקודת הסמים המסוכנים</w:t>
      </w:r>
      <w:r>
        <w:rPr>
          <w:rtl/>
        </w:rPr>
        <w:t>").</w:t>
      </w:r>
    </w:p>
    <w:p w14:paraId="746382CC" w14:textId="77777777" w:rsidR="00DD4AFA" w:rsidRDefault="00CC3586">
      <w:pPr>
        <w:pStyle w:val="1"/>
      </w:pPr>
      <w:bookmarkStart w:id="7" w:name="ABSTRACT_END"/>
      <w:bookmarkEnd w:id="7"/>
      <w:r>
        <w:rPr>
          <w:rtl/>
        </w:rPr>
        <w:t xml:space="preserve">לפי </w:t>
      </w:r>
      <w:r>
        <w:rPr>
          <w:rFonts w:hint="cs"/>
          <w:rtl/>
        </w:rPr>
        <w:t>ש</w:t>
      </w:r>
      <w:r>
        <w:rPr>
          <w:rtl/>
        </w:rPr>
        <w:t xml:space="preserve">יוחס לנאשם בכתב האישום, ביום 23.4.2012, סמוך לשעה 9:25, בבית משפט השלום ברחובות, החזיק על גופו סם מסוכן מסוג </w:t>
      </w:r>
      <w:r>
        <w:t>AM</w:t>
      </w:r>
      <w:r>
        <w:rPr>
          <w:rtl/>
        </w:rPr>
        <w:t>2201 במשקל 0.74 גרם נטו, וזאת מבלי שהיו בידו היתר לכך בדין או ברשיון מאת המנהל.</w:t>
      </w:r>
    </w:p>
    <w:p w14:paraId="289DBC47" w14:textId="77777777" w:rsidR="00DD4AFA" w:rsidRDefault="00CC3586">
      <w:pPr>
        <w:pStyle w:val="1"/>
        <w:rPr>
          <w:rFonts w:ascii="Arial" w:hAnsi="Arial"/>
        </w:rPr>
      </w:pPr>
      <w:r>
        <w:rPr>
          <w:rtl/>
        </w:rPr>
        <w:t>הנאשם כפר במיוחס לו בכתב האישום</w:t>
      </w:r>
      <w:r>
        <w:rPr>
          <w:rFonts w:ascii="Arial" w:hAnsi="Arial"/>
          <w:rtl/>
        </w:rPr>
        <w:t xml:space="preserve"> וטען שלא ידע שמדובר בסם</w:t>
      </w:r>
      <w:r>
        <w:rPr>
          <w:rFonts w:ascii="Arial" w:hAnsi="Arial" w:hint="cs"/>
          <w:rtl/>
        </w:rPr>
        <w:t>. הנאשם טען, כי מדובר בחומר, א</w:t>
      </w:r>
      <w:bookmarkStart w:id="8" w:name="_GoBack"/>
      <w:bookmarkEnd w:id="8"/>
      <w:r>
        <w:rPr>
          <w:rFonts w:ascii="Arial" w:hAnsi="Arial" w:hint="cs"/>
          <w:rtl/>
        </w:rPr>
        <w:t>שר הפך לסם אסור 18 ימים לפני האירוע נשוא כתב האישום וכאשר רכש אותו טרם הוגדר כסם אסור</w:t>
      </w:r>
      <w:r>
        <w:rPr>
          <w:rFonts w:ascii="Arial" w:hAnsi="Arial"/>
          <w:rtl/>
        </w:rPr>
        <w:t>.</w:t>
      </w:r>
    </w:p>
    <w:p w14:paraId="464CC67C" w14:textId="77777777" w:rsidR="00DD4AFA" w:rsidRDefault="00CC3586">
      <w:pPr>
        <w:pStyle w:val="1"/>
      </w:pPr>
      <w:r>
        <w:rPr>
          <w:rFonts w:hint="cs"/>
          <w:rtl/>
        </w:rPr>
        <w:t xml:space="preserve">בהכרעת דיני מיום 13.3.14 הרשעתי את הנאשם בעבירה שיוחסה לו בכתב האישום. </w:t>
      </w:r>
    </w:p>
    <w:p w14:paraId="0A6762F5" w14:textId="77777777" w:rsidR="00DD4AFA" w:rsidRDefault="00DD4AFA">
      <w:pPr>
        <w:jc w:val="both"/>
        <w:rPr>
          <w:rtl/>
        </w:rPr>
      </w:pPr>
    </w:p>
    <w:p w14:paraId="3B4C17A9" w14:textId="77777777" w:rsidR="00DD4AFA" w:rsidRDefault="00DD4AFA">
      <w:pPr>
        <w:jc w:val="both"/>
        <w:rPr>
          <w:rtl/>
        </w:rPr>
      </w:pPr>
    </w:p>
    <w:p w14:paraId="7134933F" w14:textId="77777777" w:rsidR="00DD4AFA" w:rsidRDefault="00DD4AFA">
      <w:pPr>
        <w:jc w:val="both"/>
        <w:rPr>
          <w:rtl/>
        </w:rPr>
      </w:pPr>
    </w:p>
    <w:p w14:paraId="0901C476" w14:textId="77777777" w:rsidR="00DD4AFA" w:rsidRDefault="00DD4AFA">
      <w:pPr>
        <w:jc w:val="both"/>
        <w:rPr>
          <w:rtl/>
        </w:rPr>
      </w:pPr>
    </w:p>
    <w:p w14:paraId="23DA9DFD" w14:textId="77777777" w:rsidR="00DD4AFA" w:rsidRDefault="00DD4AFA">
      <w:pPr>
        <w:jc w:val="both"/>
        <w:rPr>
          <w:rtl/>
        </w:rPr>
      </w:pPr>
    </w:p>
    <w:p w14:paraId="14EBB274" w14:textId="77777777" w:rsidR="00DD4AFA" w:rsidRDefault="00CC3586">
      <w:pPr>
        <w:pStyle w:val="1"/>
        <w:numPr>
          <w:ilvl w:val="0"/>
          <w:numId w:val="0"/>
        </w:numPr>
        <w:rPr>
          <w:b/>
          <w:bCs/>
          <w:u w:val="single"/>
        </w:rPr>
      </w:pPr>
      <w:r>
        <w:rPr>
          <w:rFonts w:hint="cs"/>
          <w:b/>
          <w:bCs/>
          <w:u w:val="single"/>
          <w:rtl/>
        </w:rPr>
        <w:t xml:space="preserve">טענות הצדדים לעונש  </w:t>
      </w:r>
    </w:p>
    <w:p w14:paraId="3129C0D1" w14:textId="77777777" w:rsidR="00DD4AFA" w:rsidRDefault="00CC3586">
      <w:pPr>
        <w:pStyle w:val="1"/>
      </w:pPr>
      <w:r>
        <w:rPr>
          <w:rFonts w:hint="cs"/>
          <w:rtl/>
        </w:rPr>
        <w:t>בטיעוניה לעונש טענה באת כוח התביעה, כי מתחם העונש ההולם בעבירות מהסוג בה הורשע הנאשם נע בין עבודות שירות לתועלת הציבור או מאסר על תנאי לבין מאסר שיכול וירוצה בעבודות שירות. לטענתה, הערך החברתי שנפגע מביצוע העבירה,  הוא ביעור נגע הסמים שהפך למכת מדינה הפוגעת בכל רבדי החברה. באשר למקרה שלפנינו טענה באת כוח התביעה, כי לנאשם יש שתי הרשעות קודמות, ובנוסף לא לקח אחריות על מעשיו וניהל את התיק, מכאן שהעונש ההולם הוא מאסר על תנאי, קנס משמעותי, פסילה בפועל ופסילה על תנאי.</w:t>
      </w:r>
    </w:p>
    <w:p w14:paraId="29D6E001" w14:textId="77777777" w:rsidR="00DD4AFA" w:rsidRDefault="00CC3586">
      <w:pPr>
        <w:pStyle w:val="1"/>
      </w:pPr>
      <w:r>
        <w:rPr>
          <w:rFonts w:hint="cs"/>
          <w:rtl/>
        </w:rPr>
        <w:t xml:space="preserve">בטיעוניו לעונש טען בא כוח הנאשם, כי בתי המשפט נוהגים להטיל על עבירות מהסוג בה הורשע הנאשם מאסר על תנאי או עבודות שירות לתועלת הציבור כאשר יש תסקיר הממליץ על כך. כמו כן טען, כי אין לזקוף לחובתו של הנאשם את ניהול התיק, כאשר טענתו המרכזית היתה שיש לבטל את האישום מן הצדק משום שהחומר הפך לסם אסור רק זמן קצר לפני שבוצעה העבירה ומבלי שידע שמדובר בסם אסור. עוד טען, כי עברו הפלילי של הנאשם אינו מכביד כלל ועיקר. הנאשם נשוי מזה כשנה, עובד ומתעתד לעשות רשיון נהיגה. בא כוח הנאשם ביקש להקל עם הנאשם משום שהחומר הפך לסם אסור רק 18 ימים לפני ביצוע העבירה. </w:t>
      </w:r>
    </w:p>
    <w:p w14:paraId="335C442E" w14:textId="77777777" w:rsidR="00DD4AFA" w:rsidRDefault="00DD4AFA">
      <w:pPr>
        <w:pStyle w:val="1"/>
        <w:numPr>
          <w:ilvl w:val="0"/>
          <w:numId w:val="0"/>
        </w:numPr>
      </w:pPr>
    </w:p>
    <w:p w14:paraId="75B06CED" w14:textId="77777777" w:rsidR="00DD4AFA" w:rsidRDefault="00CC3586">
      <w:pPr>
        <w:spacing w:line="360" w:lineRule="auto"/>
        <w:jc w:val="both"/>
        <w:rPr>
          <w:rFonts w:ascii="Arial" w:hAnsi="Arial"/>
          <w:b/>
          <w:bCs/>
          <w:u w:val="single"/>
          <w:rtl/>
        </w:rPr>
      </w:pPr>
      <w:r>
        <w:rPr>
          <w:rFonts w:ascii="Arial" w:hAnsi="Arial" w:hint="cs"/>
          <w:b/>
          <w:bCs/>
          <w:u w:val="single"/>
          <w:rtl/>
        </w:rPr>
        <w:t>דיון</w:t>
      </w:r>
    </w:p>
    <w:p w14:paraId="0C4FC699" w14:textId="77777777" w:rsidR="00DD4AFA" w:rsidRDefault="00CC3586">
      <w:pPr>
        <w:pStyle w:val="1"/>
        <w:rPr>
          <w:rFonts w:ascii="Arial" w:hAnsi="Arial"/>
          <w:rtl/>
        </w:rPr>
      </w:pPr>
      <w:r>
        <w:rPr>
          <w:rFonts w:ascii="Arial" w:hAnsi="Arial" w:hint="cs"/>
          <w:rtl/>
        </w:rPr>
        <w:t xml:space="preserve">נפתח </w:t>
      </w:r>
      <w:r>
        <w:rPr>
          <w:rFonts w:hint="cs"/>
          <w:rtl/>
        </w:rPr>
        <w:t xml:space="preserve">בקביעת מתחם העונש ההולם. בקביעת מתחם העונש ההולם את מעשה העבירה שביצע הנאשם יתחשב בית המשפט </w:t>
      </w:r>
      <w:r>
        <w:rPr>
          <w:rFonts w:hint="cs"/>
          <w:b/>
          <w:bCs/>
          <w:rtl/>
        </w:rPr>
        <w:t>בערך החברתי</w:t>
      </w:r>
      <w:r>
        <w:rPr>
          <w:rFonts w:hint="cs"/>
          <w:rtl/>
        </w:rPr>
        <w:t xml:space="preserve"> שנפגע מביצוע העבירה, </w:t>
      </w:r>
      <w:r>
        <w:rPr>
          <w:rFonts w:hint="cs"/>
          <w:b/>
          <w:bCs/>
          <w:rtl/>
        </w:rPr>
        <w:t>במידת הפגיעה בו</w:t>
      </w:r>
      <w:r>
        <w:rPr>
          <w:rFonts w:hint="cs"/>
          <w:rtl/>
        </w:rPr>
        <w:t xml:space="preserve">, </w:t>
      </w:r>
      <w:r>
        <w:rPr>
          <w:rFonts w:hint="cs"/>
          <w:b/>
          <w:bCs/>
          <w:rtl/>
        </w:rPr>
        <w:t>במדיניות הענישה</w:t>
      </w:r>
      <w:r>
        <w:rPr>
          <w:rFonts w:hint="cs"/>
          <w:rtl/>
        </w:rPr>
        <w:t xml:space="preserve"> הנהוגה </w:t>
      </w:r>
      <w:r>
        <w:rPr>
          <w:rFonts w:hint="cs"/>
          <w:b/>
          <w:bCs/>
          <w:rtl/>
        </w:rPr>
        <w:t>ובנסיבות הקשורות בביצוע העבירה</w:t>
      </w:r>
      <w:r>
        <w:rPr>
          <w:rFonts w:hint="cs"/>
          <w:rtl/>
        </w:rPr>
        <w:t xml:space="preserve"> (</w:t>
      </w:r>
      <w:hyperlink r:id="rId17" w:history="1">
        <w:r w:rsidR="00865FA1" w:rsidRPr="00865FA1">
          <w:rPr>
            <w:color w:val="0000FF"/>
            <w:u w:val="single"/>
            <w:rtl/>
          </w:rPr>
          <w:t>סעיף 40ג</w:t>
        </w:r>
      </w:hyperlink>
      <w:r>
        <w:rPr>
          <w:rFonts w:hint="cs"/>
          <w:rtl/>
        </w:rPr>
        <w:t xml:space="preserve"> ל</w:t>
      </w:r>
      <w:hyperlink r:id="rId18" w:history="1">
        <w:r w:rsidRPr="00CC3586">
          <w:rPr>
            <w:rStyle w:val="Hyperlink"/>
            <w:rFonts w:hint="eastAsia"/>
            <w:rtl/>
          </w:rPr>
          <w:t>חוק</w:t>
        </w:r>
        <w:r w:rsidRPr="00CC3586">
          <w:rPr>
            <w:rStyle w:val="Hyperlink"/>
            <w:rtl/>
          </w:rPr>
          <w:t xml:space="preserve"> העונשין</w:t>
        </w:r>
      </w:hyperlink>
      <w:r>
        <w:rPr>
          <w:rFonts w:hint="cs"/>
          <w:rtl/>
        </w:rPr>
        <w:t>).</w:t>
      </w:r>
    </w:p>
    <w:p w14:paraId="6B8290DB" w14:textId="77777777" w:rsidR="00DD4AFA" w:rsidRDefault="00CC3586">
      <w:pPr>
        <w:pStyle w:val="1"/>
        <w:rPr>
          <w:rFonts w:ascii="Arial" w:hAnsi="Arial"/>
        </w:rPr>
      </w:pPr>
      <w:r>
        <w:rPr>
          <w:rFonts w:ascii="Arial" w:hAnsi="Arial" w:hint="cs"/>
          <w:rtl/>
        </w:rPr>
        <w:t xml:space="preserve">בבסיס העבירה של החזקת סם לצריכה עצמית עומד </w:t>
      </w:r>
      <w:r>
        <w:rPr>
          <w:rFonts w:ascii="Arial" w:hAnsi="Arial" w:hint="cs"/>
          <w:b/>
          <w:bCs/>
          <w:rtl/>
        </w:rPr>
        <w:t>הערך החברתי</w:t>
      </w:r>
      <w:r>
        <w:rPr>
          <w:rFonts w:ascii="Arial" w:hAnsi="Arial" w:hint="cs"/>
          <w:rtl/>
        </w:rPr>
        <w:t xml:space="preserve"> של מניעת שימוש בסם, לאור השפעתו הממכרת והשלכת השימוש בסם על הפרט והחברה.</w:t>
      </w:r>
    </w:p>
    <w:p w14:paraId="0AFC0105" w14:textId="77777777" w:rsidR="00DD4AFA" w:rsidRDefault="00CC3586">
      <w:pPr>
        <w:pStyle w:val="1"/>
      </w:pPr>
      <w:r>
        <w:rPr>
          <w:rFonts w:hint="cs"/>
          <w:b/>
          <w:bCs/>
          <w:rtl/>
        </w:rPr>
        <w:t>מידת הפגיעה</w:t>
      </w:r>
      <w:r>
        <w:rPr>
          <w:rFonts w:hint="cs"/>
          <w:rtl/>
        </w:rPr>
        <w:t xml:space="preserve"> בערך המוגן העומד בבסיס העבירה של החזקת סם לצריכה עצמית, היא נמוכה, וזאת בשל הנסיבות שבהן בוצעה העבירה, כפי שיפורטו להלן. </w:t>
      </w:r>
    </w:p>
    <w:p w14:paraId="00BFE02E" w14:textId="77777777" w:rsidR="00DD4AFA" w:rsidRDefault="00CC3586">
      <w:pPr>
        <w:pStyle w:val="1"/>
      </w:pPr>
      <w:r>
        <w:rPr>
          <w:rFonts w:hint="cs"/>
          <w:b/>
          <w:bCs/>
          <w:rtl/>
        </w:rPr>
        <w:t>מדיניות הענישה</w:t>
      </w:r>
      <w:r>
        <w:rPr>
          <w:rFonts w:hint="cs"/>
          <w:rtl/>
        </w:rPr>
        <w:t xml:space="preserve"> המקובלת והנוהגת בעבירה של החזקת סם לצריכה עצמית, כאשר מדובר בכמות קטנה ביותר של סמים קלים, עומדת על מנעד הנע בין עבודות שירות לתועלת הציבור לבין מאסר לתקופה קצרה שיכול וירוצה בעבודות שירות (ראו, לדוגמא: </w:t>
      </w:r>
      <w:hyperlink r:id="rId19" w:history="1">
        <w:r w:rsidRPr="00CC3586">
          <w:rPr>
            <w:rStyle w:val="Hyperlink"/>
            <w:rFonts w:hint="eastAsia"/>
            <w:rtl/>
          </w:rPr>
          <w:t>ת</w:t>
        </w:r>
        <w:r w:rsidRPr="00CC3586">
          <w:rPr>
            <w:rStyle w:val="Hyperlink"/>
            <w:rtl/>
          </w:rPr>
          <w:t>"פ (ת"א) 18193-01-11</w:t>
        </w:r>
      </w:hyperlink>
      <w:r>
        <w:rPr>
          <w:rFonts w:hint="cs"/>
          <w:rtl/>
        </w:rPr>
        <w:t xml:space="preserve"> </w:t>
      </w:r>
      <w:r>
        <w:rPr>
          <w:rFonts w:hint="cs"/>
          <w:b/>
          <w:bCs/>
          <w:rtl/>
        </w:rPr>
        <w:t>מדינת ישראל נ' כהן</w:t>
      </w:r>
      <w:r>
        <w:rPr>
          <w:rFonts w:hint="cs"/>
          <w:rtl/>
        </w:rPr>
        <w:t xml:space="preserve"> (8.8.13); </w:t>
      </w:r>
      <w:hyperlink r:id="rId20" w:history="1">
        <w:r w:rsidRPr="00CC3586">
          <w:rPr>
            <w:rStyle w:val="Hyperlink"/>
            <w:rFonts w:hint="eastAsia"/>
            <w:rtl/>
          </w:rPr>
          <w:t>ת</w:t>
        </w:r>
        <w:r w:rsidRPr="00CC3586">
          <w:rPr>
            <w:rStyle w:val="Hyperlink"/>
            <w:rtl/>
          </w:rPr>
          <w:t>"פ (פ"ת) 23710-03-13</w:t>
        </w:r>
      </w:hyperlink>
      <w:r>
        <w:rPr>
          <w:rFonts w:hint="cs"/>
          <w:rtl/>
        </w:rPr>
        <w:t xml:space="preserve"> </w:t>
      </w:r>
      <w:r>
        <w:rPr>
          <w:rFonts w:hint="cs"/>
          <w:b/>
          <w:bCs/>
          <w:rtl/>
        </w:rPr>
        <w:t>מדינת ישראל נ' וולדוג</w:t>
      </w:r>
      <w:r>
        <w:rPr>
          <w:rFonts w:hint="cs"/>
          <w:rtl/>
        </w:rPr>
        <w:t xml:space="preserve"> (29.9.13)).</w:t>
      </w:r>
    </w:p>
    <w:p w14:paraId="5C080380" w14:textId="77777777" w:rsidR="00DD4AFA" w:rsidRDefault="00CC3586">
      <w:pPr>
        <w:pStyle w:val="1"/>
      </w:pPr>
      <w:r>
        <w:rPr>
          <w:rFonts w:hint="cs"/>
          <w:b/>
          <w:bCs/>
          <w:rtl/>
        </w:rPr>
        <w:lastRenderedPageBreak/>
        <w:t>לקחתי בחשבון את הנסיבות הבאות הקשורות בביצוע העבירה</w:t>
      </w:r>
      <w:r>
        <w:rPr>
          <w:rFonts w:hint="cs"/>
          <w:rtl/>
        </w:rPr>
        <w:t xml:space="preserve"> (</w:t>
      </w:r>
      <w:hyperlink r:id="rId21" w:history="1">
        <w:r w:rsidR="00865FA1" w:rsidRPr="00865FA1">
          <w:rPr>
            <w:color w:val="0000FF"/>
            <w:u w:val="single"/>
            <w:rtl/>
          </w:rPr>
          <w:t>סעיף 40ט</w:t>
        </w:r>
      </w:hyperlink>
      <w:r>
        <w:rPr>
          <w:rFonts w:hint="cs"/>
          <w:rtl/>
        </w:rPr>
        <w:t xml:space="preserve"> ל</w:t>
      </w:r>
      <w:hyperlink r:id="rId22" w:history="1">
        <w:r w:rsidRPr="00CC3586">
          <w:rPr>
            <w:rStyle w:val="Hyperlink"/>
            <w:rFonts w:hint="eastAsia"/>
            <w:rtl/>
          </w:rPr>
          <w:t>חוק</w:t>
        </w:r>
        <w:r w:rsidRPr="00CC3586">
          <w:rPr>
            <w:rStyle w:val="Hyperlink"/>
            <w:rtl/>
          </w:rPr>
          <w:t xml:space="preserve"> העונשין</w:t>
        </w:r>
      </w:hyperlink>
      <w:r>
        <w:rPr>
          <w:rFonts w:hint="cs"/>
          <w:rtl/>
        </w:rPr>
        <w:t>): המדובר בכמות קטנה ביותר של סמים קלים ומכאן שהנזק שהיה צפוי להיגרם מביצוע העבירה הוא קטן; בפועל לא נגרם כל נזק משום שהסם נתפס; הנאשם ביצע את העבירה משום שלא ידע שהחומר הוגדר כסם מסוכן זמן קצר לפני ביצוע העבירה.</w:t>
      </w:r>
    </w:p>
    <w:p w14:paraId="3A7B2795" w14:textId="77777777" w:rsidR="00DD4AFA" w:rsidRDefault="00CC3586">
      <w:pPr>
        <w:pStyle w:val="1"/>
        <w:rPr>
          <w:rtl/>
        </w:rPr>
      </w:pPr>
      <w:r>
        <w:rPr>
          <w:rFonts w:hint="cs"/>
          <w:rtl/>
        </w:rPr>
        <w:t xml:space="preserve">הגדרת החומר כסם מסוכן זמן קצר בלבד לפני ביצוע העבירה מהווה נסיבה הקשורה בביצוע העבירה. נסיבה זו ניתן גם להגדירה כסוג של "הגנה מן הצדק" שיש בה כדי להביא להקלה עם הנאשם בשלב גזר הדין (ראו: </w:t>
      </w:r>
      <w:hyperlink r:id="rId23" w:history="1">
        <w:r w:rsidRPr="00CC3586">
          <w:rPr>
            <w:rStyle w:val="Hyperlink"/>
            <w:rFonts w:hint="eastAsia"/>
            <w:rtl/>
          </w:rPr>
          <w:t>ת</w:t>
        </w:r>
        <w:r w:rsidRPr="00CC3586">
          <w:rPr>
            <w:rStyle w:val="Hyperlink"/>
            <w:rtl/>
          </w:rPr>
          <w:t>"פ (י-ם) 1784/06</w:t>
        </w:r>
      </w:hyperlink>
      <w:r>
        <w:rPr>
          <w:rFonts w:hint="cs"/>
          <w:rtl/>
        </w:rPr>
        <w:t xml:space="preserve"> </w:t>
      </w:r>
      <w:r>
        <w:rPr>
          <w:rFonts w:hint="cs"/>
          <w:b/>
          <w:bCs/>
          <w:rtl/>
        </w:rPr>
        <w:t>מדינת ישראל נ' אמר</w:t>
      </w:r>
      <w:r>
        <w:rPr>
          <w:rFonts w:hint="cs"/>
          <w:rtl/>
        </w:rPr>
        <w:t xml:space="preserve"> (6.2.08); </w:t>
      </w:r>
      <w:hyperlink r:id="rId24" w:history="1">
        <w:r w:rsidRPr="00CC3586">
          <w:rPr>
            <w:rStyle w:val="Hyperlink"/>
            <w:rFonts w:hint="eastAsia"/>
            <w:rtl/>
          </w:rPr>
          <w:t>ת</w:t>
        </w:r>
        <w:r w:rsidRPr="00CC3586">
          <w:rPr>
            <w:rStyle w:val="Hyperlink"/>
            <w:rtl/>
          </w:rPr>
          <w:t>"פ (ת"א) 7770-08</w:t>
        </w:r>
      </w:hyperlink>
      <w:r>
        <w:rPr>
          <w:rFonts w:hint="cs"/>
          <w:rtl/>
        </w:rPr>
        <w:t xml:space="preserve"> </w:t>
      </w:r>
      <w:r>
        <w:rPr>
          <w:rFonts w:hint="cs"/>
          <w:b/>
          <w:bCs/>
          <w:rtl/>
        </w:rPr>
        <w:t>מדינת ישראל מדור תביעות פלילי ת"א נ' צור</w:t>
      </w:r>
      <w:r>
        <w:rPr>
          <w:rFonts w:hint="cs"/>
          <w:rtl/>
        </w:rPr>
        <w:t xml:space="preserve"> (22.10.09)). </w:t>
      </w:r>
    </w:p>
    <w:p w14:paraId="21AA5B85" w14:textId="77777777" w:rsidR="00DD4AFA" w:rsidRDefault="00CC3586">
      <w:pPr>
        <w:pStyle w:val="1"/>
      </w:pPr>
      <w:r>
        <w:rPr>
          <w:rFonts w:hint="cs"/>
          <w:rtl/>
        </w:rPr>
        <w:t>לאור האמור, נסיבות ביצוע העבירה אינן מן החמורות כלל ועיקר.</w:t>
      </w:r>
    </w:p>
    <w:p w14:paraId="1F85AF5F" w14:textId="77777777" w:rsidR="00DD4AFA" w:rsidRDefault="00CC3586">
      <w:pPr>
        <w:pStyle w:val="1"/>
      </w:pPr>
      <w:r>
        <w:rPr>
          <w:rFonts w:hint="cs"/>
          <w:rtl/>
        </w:rPr>
        <w:t>אני קובעת כי מתחם הענישה, בהתאם לערך החברתי, מידת הפגיעה בו, מדיניות הענישה הנוהגת, ונסיבות המעשה, ובייחוד הפיכתו של החומר לסם מסוכן זמן קצר לפני ביצוע העבירה, נע בין עבודות שירות לתועלת הציבור לבין מאסר על תנאי.</w:t>
      </w:r>
    </w:p>
    <w:p w14:paraId="66A58FE0" w14:textId="77777777" w:rsidR="00DD4AFA" w:rsidRDefault="00CC3586">
      <w:pPr>
        <w:pStyle w:val="1"/>
      </w:pPr>
      <w:r>
        <w:rPr>
          <w:rFonts w:hint="cs"/>
          <w:rtl/>
        </w:rPr>
        <w:t xml:space="preserve">באשר לעונש ההולם בתוך המתחם לקחתי בחשבון את </w:t>
      </w:r>
      <w:r>
        <w:rPr>
          <w:rFonts w:hint="cs"/>
          <w:b/>
          <w:bCs/>
          <w:rtl/>
        </w:rPr>
        <w:t>הנסיבות הבאות שאינן קשורות בביצוע העבירה</w:t>
      </w:r>
      <w:r>
        <w:rPr>
          <w:rFonts w:hint="cs"/>
          <w:rtl/>
        </w:rPr>
        <w:t xml:space="preserve"> (</w:t>
      </w:r>
      <w:hyperlink r:id="rId25" w:history="1">
        <w:r w:rsidR="00865FA1" w:rsidRPr="00865FA1">
          <w:rPr>
            <w:color w:val="0000FF"/>
            <w:u w:val="single"/>
            <w:rtl/>
          </w:rPr>
          <w:t>סעיף 40יא</w:t>
        </w:r>
      </w:hyperlink>
      <w:r>
        <w:rPr>
          <w:rFonts w:hint="cs"/>
          <w:rtl/>
        </w:rPr>
        <w:t xml:space="preserve"> ל</w:t>
      </w:r>
      <w:hyperlink r:id="rId26" w:history="1">
        <w:r w:rsidRPr="00CC3586">
          <w:rPr>
            <w:rStyle w:val="Hyperlink"/>
            <w:rFonts w:hint="eastAsia"/>
            <w:rtl/>
          </w:rPr>
          <w:t>חוק</w:t>
        </w:r>
        <w:r w:rsidRPr="00CC3586">
          <w:rPr>
            <w:rStyle w:val="Hyperlink"/>
            <w:rtl/>
          </w:rPr>
          <w:t xml:space="preserve"> העונשין</w:t>
        </w:r>
      </w:hyperlink>
      <w:r>
        <w:rPr>
          <w:rFonts w:hint="cs"/>
          <w:rtl/>
        </w:rPr>
        <w:t>): הנאשם הוא צעיר בגילו; הנאשם אמנם לא נטל אחריות על מעשיו אולם ניהול התיק התמקד בכך שלא ידע שמדובר בחומר שהפך להיות סם זמן קצר לפני ביצוע העבירה; לנאשם עבר פלילי, אם כי עבר פלילי שאינו מכביד כלל ועיקר.</w:t>
      </w:r>
    </w:p>
    <w:p w14:paraId="788D5F56" w14:textId="77777777" w:rsidR="00DD4AFA" w:rsidRDefault="00CC3586">
      <w:pPr>
        <w:pStyle w:val="1"/>
      </w:pPr>
      <w:r>
        <w:rPr>
          <w:rFonts w:hint="cs"/>
          <w:rtl/>
        </w:rPr>
        <w:t>הנסיבות שאינן קשורות לביצוע העבירה נוטות, אפוא, לקולא בתוך מתחם הענישה.</w:t>
      </w:r>
    </w:p>
    <w:p w14:paraId="628F53B6" w14:textId="77777777" w:rsidR="00DD4AFA" w:rsidRDefault="00CC3586">
      <w:pPr>
        <w:pStyle w:val="1"/>
        <w:rPr>
          <w:rtl/>
        </w:rPr>
      </w:pPr>
      <w:r>
        <w:rPr>
          <w:rFonts w:hint="cs"/>
          <w:rtl/>
        </w:rPr>
        <w:t>בהתחשב בנסיבות הייחודיות של התיק, ובייחוד לאור הפיכת הסם לחומר למסוכן זמן קצר בלבד לפני ביצוע העבירה, אין אני מוצאת מקום להטיל על הנאשם קנס, פסילה של רשיון נהיגה בפועל ועל תנאי.</w:t>
      </w:r>
    </w:p>
    <w:p w14:paraId="2F8B557E" w14:textId="77777777" w:rsidR="00DD4AFA" w:rsidRDefault="00CC3586">
      <w:pPr>
        <w:pStyle w:val="1"/>
        <w:rPr>
          <w:rtl/>
        </w:rPr>
      </w:pPr>
      <w:r>
        <w:rPr>
          <w:rFonts w:hint="cs"/>
          <w:rtl/>
        </w:rPr>
        <w:t>לפיכך, ובהיעדר המלצה טיפולית בתיק שלפניי, אני גוזרת על הנאשם את העונשים הבאים:</w:t>
      </w:r>
    </w:p>
    <w:p w14:paraId="0F5B9D97" w14:textId="77777777" w:rsidR="00DD4AFA" w:rsidRDefault="00DD4AFA"/>
    <w:p w14:paraId="48B96307" w14:textId="77777777" w:rsidR="00DD4AFA" w:rsidRDefault="00CC3586">
      <w:pPr>
        <w:pStyle w:val="1"/>
        <w:numPr>
          <w:ilvl w:val="0"/>
          <w:numId w:val="0"/>
        </w:numPr>
        <w:ind w:left="1127" w:hanging="560"/>
        <w:rPr>
          <w:rtl/>
        </w:rPr>
      </w:pPr>
      <w:r>
        <w:rPr>
          <w:rFonts w:hint="cs"/>
          <w:rtl/>
        </w:rPr>
        <w:t>א.</w:t>
      </w:r>
      <w:r>
        <w:rPr>
          <w:rFonts w:hint="cs"/>
          <w:rtl/>
        </w:rPr>
        <w:tab/>
        <w:t xml:space="preserve">מאסר על תנאי לתקופה של 3 חודשים, והתנאי הוא שלא יעבור תוך 24 חודשים מהיום כל עבירה לפי </w:t>
      </w:r>
      <w:hyperlink r:id="rId27" w:history="1">
        <w:r w:rsidRPr="00CC3586">
          <w:rPr>
            <w:rStyle w:val="Hyperlink"/>
            <w:rFonts w:hint="eastAsia"/>
            <w:rtl/>
          </w:rPr>
          <w:t>פקודת</w:t>
        </w:r>
        <w:r w:rsidRPr="00CC3586">
          <w:rPr>
            <w:rStyle w:val="Hyperlink"/>
            <w:rtl/>
          </w:rPr>
          <w:t xml:space="preserve"> הסמים המסוכנים</w:t>
        </w:r>
      </w:hyperlink>
      <w:r>
        <w:rPr>
          <w:rFonts w:hint="cs"/>
          <w:rtl/>
        </w:rPr>
        <w:t>;</w:t>
      </w:r>
    </w:p>
    <w:p w14:paraId="0B18CDBA" w14:textId="77777777" w:rsidR="00DD4AFA" w:rsidRDefault="00DD4AFA">
      <w:pPr>
        <w:rPr>
          <w:rtl/>
        </w:rPr>
      </w:pPr>
    </w:p>
    <w:p w14:paraId="5199054D" w14:textId="77777777" w:rsidR="00DD4AFA" w:rsidRDefault="00CC3586">
      <w:pPr>
        <w:pStyle w:val="1"/>
        <w:numPr>
          <w:ilvl w:val="0"/>
          <w:numId w:val="0"/>
        </w:numPr>
        <w:ind w:left="1127" w:hanging="560"/>
        <w:rPr>
          <w:rtl/>
        </w:rPr>
      </w:pPr>
      <w:r>
        <w:rPr>
          <w:rFonts w:hint="cs"/>
          <w:rtl/>
        </w:rPr>
        <w:t xml:space="preserve">ב. </w:t>
      </w:r>
      <w:r>
        <w:rPr>
          <w:rFonts w:hint="cs"/>
          <w:rtl/>
        </w:rPr>
        <w:tab/>
        <w:t>הנאשם יחתום על התחייבות בסכום של 2,000 ₪ להימנע מלעבור את העבירה בה הורשע תוך 24 חודשים מהיום. לא יחתום על התחייבות, כאמור, יאסר ל-7 ימים.</w:t>
      </w:r>
    </w:p>
    <w:p w14:paraId="766D45AB" w14:textId="77777777" w:rsidR="00DD4AFA" w:rsidRDefault="00DD4AFA">
      <w:pPr>
        <w:jc w:val="both"/>
      </w:pPr>
    </w:p>
    <w:p w14:paraId="5916A423" w14:textId="77777777" w:rsidR="00DD4AFA" w:rsidRDefault="00CC3586">
      <w:pPr>
        <w:pStyle w:val="1"/>
        <w:numPr>
          <w:ilvl w:val="0"/>
          <w:numId w:val="0"/>
        </w:numPr>
        <w:ind w:left="567" w:hanging="567"/>
        <w:rPr>
          <w:b/>
          <w:bCs/>
          <w:rtl/>
        </w:rPr>
      </w:pPr>
      <w:r>
        <w:rPr>
          <w:rFonts w:hint="cs"/>
          <w:b/>
          <w:bCs/>
          <w:rtl/>
        </w:rPr>
        <w:t>זכות ערעור כחוק תוך 45 ימים.</w:t>
      </w:r>
    </w:p>
    <w:p w14:paraId="54A3A5A9" w14:textId="77777777" w:rsidR="00DD4AFA" w:rsidRDefault="00CC3586">
      <w:pPr>
        <w:spacing w:line="360" w:lineRule="auto"/>
        <w:jc w:val="both"/>
        <w:rPr>
          <w:rFonts w:ascii="Arial" w:hAnsi="Arial"/>
          <w:b/>
          <w:bCs/>
          <w:u w:val="single"/>
        </w:rPr>
      </w:pPr>
      <w:r>
        <w:rPr>
          <w:rFonts w:ascii="Arial" w:hAnsi="Arial" w:hint="cs"/>
          <w:b/>
          <w:bCs/>
          <w:u w:val="single"/>
          <w:rtl/>
        </w:rPr>
        <w:t xml:space="preserve"> </w:t>
      </w:r>
    </w:p>
    <w:p w14:paraId="25172128" w14:textId="77777777" w:rsidR="00DD4AFA" w:rsidRDefault="00DD4AFA">
      <w:pPr>
        <w:spacing w:line="360" w:lineRule="auto"/>
        <w:jc w:val="both"/>
        <w:rPr>
          <w:rtl/>
        </w:rPr>
      </w:pPr>
    </w:p>
    <w:p w14:paraId="035FD06E" w14:textId="77777777" w:rsidR="00DD4AFA" w:rsidRDefault="00CC3586">
      <w:pPr>
        <w:spacing w:line="360" w:lineRule="auto"/>
        <w:jc w:val="both"/>
        <w:rPr>
          <w:sz w:val="6"/>
          <w:szCs w:val="6"/>
          <w:rtl/>
        </w:rPr>
      </w:pPr>
      <w:r>
        <w:rPr>
          <w:sz w:val="6"/>
          <w:szCs w:val="6"/>
          <w:rtl/>
        </w:rPr>
        <w:t>&lt;#4#&gt;</w:t>
      </w:r>
    </w:p>
    <w:p w14:paraId="0DCBB7B9" w14:textId="77777777" w:rsidR="00DD4AFA" w:rsidRDefault="00DD4AFA">
      <w:pPr>
        <w:jc w:val="right"/>
        <w:rPr>
          <w:rtl/>
        </w:rPr>
      </w:pPr>
    </w:p>
    <w:p w14:paraId="5B53EAAE" w14:textId="77777777" w:rsidR="00DD4AFA" w:rsidRDefault="00CC3586">
      <w:pPr>
        <w:jc w:val="center"/>
        <w:rPr>
          <w:rtl/>
        </w:rPr>
      </w:pPr>
      <w:r w:rsidRPr="00CC3586">
        <w:rPr>
          <w:b/>
          <w:bCs/>
          <w:color w:val="FFFFFF"/>
          <w:sz w:val="2"/>
          <w:szCs w:val="2"/>
          <w:rtl/>
        </w:rPr>
        <w:t>5129371</w:t>
      </w:r>
      <w:r>
        <w:rPr>
          <w:b/>
          <w:bCs/>
          <w:rtl/>
        </w:rPr>
        <w:t xml:space="preserve">ניתנה והודעה היום ג' תמוז תשע"ד, 01/07/2014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D4AFA" w14:paraId="58FB0221" w14:textId="77777777">
        <w:trPr>
          <w:trHeight w:val="364"/>
          <w:jc w:val="right"/>
        </w:trPr>
        <w:tc>
          <w:tcPr>
            <w:tcW w:w="3708" w:type="dxa"/>
          </w:tcPr>
          <w:p w14:paraId="3D5EF113" w14:textId="77777777" w:rsidR="00DD4AFA" w:rsidRPr="00CC3586" w:rsidRDefault="00CC3586">
            <w:pPr>
              <w:jc w:val="center"/>
              <w:rPr>
                <w:rFonts w:ascii="Times New Roman" w:eastAsia="Times New Roman" w:hAnsi="Times New Roman" w:cs="Times New Roman"/>
                <w:color w:val="FFFFFF"/>
                <w:sz w:val="2"/>
                <w:szCs w:val="2"/>
              </w:rPr>
            </w:pPr>
            <w:r w:rsidRPr="00CC3586">
              <w:rPr>
                <w:rFonts w:ascii="Times New Roman" w:eastAsia="Times New Roman" w:hAnsi="Times New Roman" w:cs="Times New Roman"/>
                <w:color w:val="FFFFFF"/>
                <w:sz w:val="2"/>
                <w:szCs w:val="2"/>
                <w:rtl/>
              </w:rPr>
              <w:t>54678313</w:t>
            </w:r>
          </w:p>
          <w:p w14:paraId="7E5333E6" w14:textId="77777777" w:rsidR="00DD4AFA" w:rsidRDefault="00DD4AFA">
            <w:pPr>
              <w:jc w:val="center"/>
              <w:rPr>
                <w:rFonts w:ascii="Times New Roman" w:eastAsia="Times New Roman" w:hAnsi="Times New Roman" w:cs="Times New Roman"/>
                <w:rtl/>
              </w:rPr>
            </w:pPr>
          </w:p>
        </w:tc>
      </w:tr>
      <w:tr w:rsidR="00DD4AFA" w14:paraId="401A6A46" w14:textId="77777777">
        <w:trPr>
          <w:trHeight w:val="415"/>
          <w:jc w:val="right"/>
        </w:trPr>
        <w:tc>
          <w:tcPr>
            <w:tcW w:w="3708" w:type="dxa"/>
          </w:tcPr>
          <w:p w14:paraId="308D8454" w14:textId="77777777" w:rsidR="00DD4AFA" w:rsidRDefault="00CC3586">
            <w:pPr>
              <w:jc w:val="center"/>
              <w:rPr>
                <w:rFonts w:ascii="Times New Roman" w:eastAsia="Times New Roman" w:hAnsi="Times New Roman"/>
                <w:b/>
                <w:bCs/>
                <w:rtl/>
              </w:rPr>
            </w:pPr>
            <w:r>
              <w:rPr>
                <w:rFonts w:ascii="Times New Roman" w:eastAsia="Times New Roman" w:hAnsi="Times New Roman" w:hint="cs"/>
                <w:rtl/>
              </w:rPr>
              <w:t>אפרת</w:t>
            </w:r>
            <w:r>
              <w:rPr>
                <w:rFonts w:ascii="Times New Roman" w:eastAsia="Times New Roman" w:hAnsi="Times New Roman" w:hint="cs"/>
                <w:b/>
                <w:bCs/>
                <w:rtl/>
              </w:rPr>
              <w:t xml:space="preserve"> </w:t>
            </w:r>
            <w:r>
              <w:rPr>
                <w:rFonts w:ascii="Times New Roman" w:eastAsia="Times New Roman" w:hAnsi="Times New Roman" w:hint="cs"/>
                <w:rtl/>
              </w:rPr>
              <w:t>פינק</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506BDE83" w14:textId="77777777" w:rsidR="00DD4AFA" w:rsidRDefault="00DD4AFA">
      <w:pPr>
        <w:jc w:val="right"/>
        <w:rPr>
          <w:rtl/>
        </w:rPr>
      </w:pPr>
    </w:p>
    <w:p w14:paraId="554434AF" w14:textId="77777777" w:rsidR="00DD4AFA" w:rsidRDefault="00DD4AFA">
      <w:pPr>
        <w:jc w:val="center"/>
        <w:rPr>
          <w:rtl/>
        </w:rPr>
      </w:pPr>
    </w:p>
    <w:p w14:paraId="34A60966" w14:textId="77777777" w:rsidR="00DD4AFA" w:rsidRDefault="00DD4AFA">
      <w:pPr>
        <w:spacing w:line="360" w:lineRule="auto"/>
        <w:jc w:val="center"/>
        <w:rPr>
          <w:rtl/>
        </w:rPr>
      </w:pPr>
    </w:p>
    <w:p w14:paraId="60C35024" w14:textId="77777777" w:rsidR="00DD4AFA" w:rsidRDefault="00CC3586">
      <w:pPr>
        <w:spacing w:line="360" w:lineRule="auto"/>
        <w:jc w:val="both"/>
        <w:rPr>
          <w:rtl/>
        </w:rPr>
      </w:pPr>
      <w:r>
        <w:rPr>
          <w:rtl/>
        </w:rPr>
        <w:t xml:space="preserve">  </w:t>
      </w:r>
      <w:r>
        <w:rPr>
          <w:rFonts w:hint="cs"/>
          <w:rtl/>
        </w:rPr>
        <w:t xml:space="preserve">קלדנית: טובה. </w:t>
      </w:r>
    </w:p>
    <w:p w14:paraId="3FE656DC" w14:textId="77777777" w:rsidR="00DD4AFA" w:rsidRDefault="00865FA1">
      <w:r w:rsidRPr="00865FA1">
        <w:rPr>
          <w:color w:val="FFFFFF"/>
          <w:sz w:val="2"/>
          <w:szCs w:val="2"/>
          <w:rtl/>
        </w:rPr>
        <w:t>5129371</w:t>
      </w:r>
      <w:r w:rsidR="00CC3586">
        <w:rPr>
          <w:rtl/>
        </w:rPr>
        <w:t>הוקלד</w:t>
      </w:r>
      <w:r w:rsidR="00CC3586">
        <w:t xml:space="preserve"> </w:t>
      </w:r>
      <w:r w:rsidR="00CC3586">
        <w:rPr>
          <w:rtl/>
        </w:rPr>
        <w:t>על</w:t>
      </w:r>
      <w:r w:rsidR="00CC3586">
        <w:t xml:space="preserve"> </w:t>
      </w:r>
      <w:r w:rsidR="00CC3586">
        <w:rPr>
          <w:rtl/>
        </w:rPr>
        <w:t>ידי</w:t>
      </w:r>
      <w:r w:rsidR="00CC3586">
        <w:t xml:space="preserve"> </w:t>
      </w:r>
      <w:r w:rsidR="00CC3586">
        <w:rPr>
          <w:rtl/>
        </w:rPr>
        <w:t>איילת</w:t>
      </w:r>
      <w:r w:rsidR="00CC3586">
        <w:t xml:space="preserve"> </w:t>
      </w:r>
      <w:r w:rsidR="00CC3586">
        <w:rPr>
          <w:rtl/>
        </w:rPr>
        <w:t>סוסן</w:t>
      </w:r>
    </w:p>
    <w:p w14:paraId="029F1157" w14:textId="77777777" w:rsidR="00CC3586" w:rsidRPr="00865FA1" w:rsidRDefault="00865FA1" w:rsidP="00CC3586">
      <w:pPr>
        <w:keepNext/>
        <w:rPr>
          <w:color w:val="FFFFFF"/>
          <w:sz w:val="2"/>
          <w:szCs w:val="2"/>
          <w:rtl/>
        </w:rPr>
      </w:pPr>
      <w:r w:rsidRPr="00865FA1">
        <w:rPr>
          <w:color w:val="FFFFFF"/>
          <w:sz w:val="2"/>
          <w:szCs w:val="2"/>
          <w:rtl/>
        </w:rPr>
        <w:t>54678313</w:t>
      </w:r>
    </w:p>
    <w:p w14:paraId="2B68DACC" w14:textId="77777777" w:rsidR="00CC3586" w:rsidRDefault="00CC3586" w:rsidP="00CC3586">
      <w:pPr>
        <w:rPr>
          <w:color w:val="000000"/>
          <w:rtl/>
        </w:rPr>
      </w:pPr>
      <w:r w:rsidRPr="00CC3586">
        <w:rPr>
          <w:color w:val="000000"/>
          <w:rtl/>
        </w:rPr>
        <w:t>נוסח מסמך זה כפוף לשינויי ניסוח ועריכה</w:t>
      </w:r>
    </w:p>
    <w:p w14:paraId="709E93AF" w14:textId="77777777" w:rsidR="00CC3586" w:rsidRDefault="00CC3586" w:rsidP="00CC3586">
      <w:pPr>
        <w:rPr>
          <w:rtl/>
        </w:rPr>
      </w:pPr>
    </w:p>
    <w:p w14:paraId="0E948DAC" w14:textId="77777777" w:rsidR="00CC3586" w:rsidRDefault="00CC3586" w:rsidP="00CC3586">
      <w:pPr>
        <w:jc w:val="center"/>
        <w:rPr>
          <w:color w:val="0000FF"/>
          <w:u w:val="single"/>
          <w:rtl/>
        </w:rPr>
      </w:pPr>
      <w:hyperlink r:id="rId28" w:history="1">
        <w:r>
          <w:rPr>
            <w:rStyle w:val="Hyperlink"/>
            <w:rtl/>
          </w:rPr>
          <w:t>בעניין עריכה ושינויים במסמכי פסיקה, חקיקה ועוד באתר נבו – הקש כאן</w:t>
        </w:r>
      </w:hyperlink>
    </w:p>
    <w:p w14:paraId="740BC4F1" w14:textId="77777777" w:rsidR="00865FA1" w:rsidRPr="00865FA1" w:rsidRDefault="00865FA1" w:rsidP="00865FA1">
      <w:pPr>
        <w:keepNext/>
        <w:rPr>
          <w:color w:val="000000"/>
          <w:sz w:val="22"/>
          <w:szCs w:val="22"/>
          <w:rtl/>
        </w:rPr>
      </w:pPr>
    </w:p>
    <w:p w14:paraId="028F3A01" w14:textId="77777777" w:rsidR="00865FA1" w:rsidRPr="00865FA1" w:rsidRDefault="00865FA1" w:rsidP="00865FA1">
      <w:pPr>
        <w:keepNext/>
        <w:rPr>
          <w:color w:val="000000"/>
          <w:sz w:val="22"/>
          <w:szCs w:val="22"/>
          <w:rtl/>
        </w:rPr>
      </w:pPr>
      <w:r w:rsidRPr="00865FA1">
        <w:rPr>
          <w:color w:val="000000"/>
          <w:sz w:val="22"/>
          <w:szCs w:val="22"/>
          <w:rtl/>
        </w:rPr>
        <w:t>אפרת פינק 54678313-/</w:t>
      </w:r>
    </w:p>
    <w:sectPr w:rsidR="00865FA1" w:rsidRPr="00865FA1" w:rsidSect="00865FA1">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29731" w14:textId="77777777" w:rsidR="00D91C6D" w:rsidRDefault="00D91C6D">
      <w:r>
        <w:separator/>
      </w:r>
    </w:p>
  </w:endnote>
  <w:endnote w:type="continuationSeparator" w:id="0">
    <w:p w14:paraId="7FFA0F03" w14:textId="77777777" w:rsidR="00D91C6D" w:rsidRDefault="00D9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6BFC1" w14:textId="77777777" w:rsidR="00865FA1" w:rsidRDefault="00865FA1" w:rsidP="00865F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31272EF3" w14:textId="77777777" w:rsidR="00DD4AFA" w:rsidRPr="00865FA1" w:rsidRDefault="00865FA1" w:rsidP="00865FA1">
    <w:pPr>
      <w:pStyle w:val="a5"/>
      <w:pBdr>
        <w:top w:val="single" w:sz="4" w:space="1" w:color="auto"/>
        <w:between w:val="single" w:sz="4" w:space="0" w:color="auto"/>
      </w:pBdr>
      <w:spacing w:after="60"/>
      <w:jc w:val="center"/>
      <w:rPr>
        <w:rFonts w:ascii="FrankRuehl" w:hAnsi="FrankRuehl" w:cs="FrankRuehl"/>
        <w:color w:val="000000"/>
      </w:rPr>
    </w:pPr>
    <w:r w:rsidRPr="00865F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CEFB5" w14:textId="77777777" w:rsidR="00865FA1" w:rsidRDefault="00865FA1" w:rsidP="00865FA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3751">
      <w:rPr>
        <w:rFonts w:ascii="FrankRuehl" w:hAnsi="FrankRuehl" w:cs="FrankRuehl"/>
        <w:noProof/>
        <w:rtl/>
      </w:rPr>
      <w:t>1</w:t>
    </w:r>
    <w:r>
      <w:rPr>
        <w:rFonts w:ascii="FrankRuehl" w:hAnsi="FrankRuehl" w:cs="FrankRuehl"/>
        <w:rtl/>
      </w:rPr>
      <w:fldChar w:fldCharType="end"/>
    </w:r>
  </w:p>
  <w:p w14:paraId="1CE4B897" w14:textId="77777777" w:rsidR="00DD4AFA" w:rsidRPr="00865FA1" w:rsidRDefault="00865FA1" w:rsidP="00865FA1">
    <w:pPr>
      <w:pStyle w:val="a5"/>
      <w:pBdr>
        <w:top w:val="single" w:sz="4" w:space="1" w:color="auto"/>
        <w:between w:val="single" w:sz="4" w:space="0" w:color="auto"/>
      </w:pBdr>
      <w:spacing w:after="60"/>
      <w:jc w:val="center"/>
      <w:rPr>
        <w:rFonts w:ascii="FrankRuehl" w:hAnsi="FrankRuehl" w:cs="FrankRuehl"/>
        <w:color w:val="000000"/>
      </w:rPr>
    </w:pPr>
    <w:r w:rsidRPr="00865FA1">
      <w:rPr>
        <w:rFonts w:ascii="FrankRuehl" w:hAnsi="FrankRuehl" w:cs="FrankRuehl"/>
        <w:color w:val="000000"/>
      </w:rPr>
      <w:pict w14:anchorId="772C5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ADAD0" w14:textId="77777777" w:rsidR="00D91C6D" w:rsidRDefault="00D91C6D">
      <w:r>
        <w:separator/>
      </w:r>
    </w:p>
  </w:footnote>
  <w:footnote w:type="continuationSeparator" w:id="0">
    <w:p w14:paraId="66BB1CFE" w14:textId="77777777" w:rsidR="00D91C6D" w:rsidRDefault="00D91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CC78B" w14:textId="77777777" w:rsidR="00CC3586" w:rsidRPr="00865FA1" w:rsidRDefault="00865FA1" w:rsidP="00865FA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19487-10-12</w:t>
    </w:r>
    <w:r>
      <w:rPr>
        <w:color w:val="000000"/>
        <w:sz w:val="22"/>
        <w:szCs w:val="22"/>
        <w:rtl/>
      </w:rPr>
      <w:tab/>
      <w:t xml:space="preserve"> מדינת ישראל נ' סרגיי סורג'יק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AC66C" w14:textId="77777777" w:rsidR="00CC3586" w:rsidRPr="00865FA1" w:rsidRDefault="00865FA1" w:rsidP="00865FA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19487-10-12</w:t>
    </w:r>
    <w:r>
      <w:rPr>
        <w:color w:val="000000"/>
        <w:sz w:val="22"/>
        <w:szCs w:val="22"/>
        <w:rtl/>
      </w:rPr>
      <w:tab/>
      <w:t xml:space="preserve"> מדינת ישראל נ' סרגיי סורג'יק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86987"/>
    <w:multiLevelType w:val="hybridMultilevel"/>
    <w:tmpl w:val="783E4ABA"/>
    <w:lvl w:ilvl="0" w:tplc="57F482D8">
      <w:start w:val="1"/>
      <w:numFmt w:val="decimal"/>
      <w:pStyle w:val="1"/>
      <w:lvlText w:val="%1."/>
      <w:lvlJc w:val="left"/>
      <w:pPr>
        <w:tabs>
          <w:tab w:val="num" w:pos="567"/>
        </w:tabs>
        <w:ind w:left="567" w:hanging="567"/>
      </w:pPr>
      <w:rPr>
        <w:rFonts w:cs="Times New Roman" w:hint="default"/>
      </w:rPr>
    </w:lvl>
    <w:lvl w:ilvl="1" w:tplc="30C8C1C2">
      <w:start w:val="1"/>
      <w:numFmt w:val="lowerLetter"/>
      <w:lvlText w:val="%2."/>
      <w:lvlJc w:val="left"/>
      <w:pPr>
        <w:tabs>
          <w:tab w:val="num" w:pos="1440"/>
        </w:tabs>
        <w:ind w:left="1440" w:hanging="360"/>
      </w:pPr>
      <w:rPr>
        <w:rFonts w:cs="Times New Roman"/>
      </w:rPr>
    </w:lvl>
    <w:lvl w:ilvl="2" w:tplc="44EEE668">
      <w:start w:val="1"/>
      <w:numFmt w:val="hebrew1"/>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8325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4AFA"/>
    <w:rsid w:val="00434AF7"/>
    <w:rsid w:val="00543751"/>
    <w:rsid w:val="00865FA1"/>
    <w:rsid w:val="008C5E2A"/>
    <w:rsid w:val="00CC3586"/>
    <w:rsid w:val="00D91C6D"/>
    <w:rsid w:val="00DD4A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81535B4"/>
  <w15:chartTrackingRefBased/>
  <w15:docId w15:val="{407EAEFF-1D38-4F91-B1EC-ADB90CFD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4AF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D4AFA"/>
  </w:style>
  <w:style w:type="paragraph" w:styleId="a4">
    <w:name w:val="header"/>
    <w:basedOn w:val="a"/>
    <w:rsid w:val="00DD4AFA"/>
    <w:pPr>
      <w:tabs>
        <w:tab w:val="center" w:pos="4153"/>
        <w:tab w:val="right" w:pos="8306"/>
      </w:tabs>
    </w:pPr>
  </w:style>
  <w:style w:type="paragraph" w:styleId="a5">
    <w:name w:val="footer"/>
    <w:basedOn w:val="a"/>
    <w:rsid w:val="00DD4AFA"/>
    <w:pPr>
      <w:tabs>
        <w:tab w:val="center" w:pos="4153"/>
        <w:tab w:val="right" w:pos="8306"/>
      </w:tabs>
    </w:pPr>
  </w:style>
  <w:style w:type="character" w:styleId="a6">
    <w:name w:val="page number"/>
    <w:basedOn w:val="a0"/>
    <w:rsid w:val="00DD4AFA"/>
  </w:style>
  <w:style w:type="character" w:customStyle="1" w:styleId="TimesNewRomanTimesNewRoman">
    <w:name w:val="סגנון (לטיני) Times New Roman (עברית ושפות אחרות) Times New Roman..."/>
    <w:basedOn w:val="a0"/>
    <w:rsid w:val="00DD4AF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D4AFA"/>
    <w:rPr>
      <w:rFonts w:ascii="Times New Roman" w:eastAsia="Times New Roman" w:hAnsi="Times New Roman"/>
      <w:b/>
      <w:bCs/>
      <w:u w:val="single"/>
    </w:rPr>
  </w:style>
  <w:style w:type="paragraph" w:customStyle="1" w:styleId="1">
    <w:name w:val="מספור1"/>
    <w:basedOn w:val="a"/>
    <w:next w:val="a"/>
    <w:link w:val="10"/>
    <w:rsid w:val="00DD4AFA"/>
    <w:pPr>
      <w:numPr>
        <w:numId w:val="1"/>
      </w:numPr>
      <w:spacing w:before="120" w:after="60" w:line="360" w:lineRule="auto"/>
      <w:jc w:val="both"/>
    </w:pPr>
    <w:rPr>
      <w:rFonts w:ascii="Times New Roman" w:eastAsia="Times New Roman" w:hAnsi="Times New Roman" w:cs="Times New Roman"/>
      <w:sz w:val="20"/>
    </w:rPr>
  </w:style>
  <w:style w:type="character" w:customStyle="1" w:styleId="10">
    <w:name w:val="מספור1 תו"/>
    <w:link w:val="1"/>
    <w:locked/>
    <w:rsid w:val="00DD4AFA"/>
    <w:rPr>
      <w:szCs w:val="24"/>
      <w:lang w:val="en-US" w:eastAsia="en-US" w:bidi="he-IL"/>
    </w:rPr>
  </w:style>
  <w:style w:type="character" w:styleId="Hyperlink">
    <w:name w:val="Hyperlink"/>
    <w:basedOn w:val="a0"/>
    <w:rsid w:val="00CC35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c" TargetMode="External"/><Relationship Id="rId25" Type="http://schemas.openxmlformats.org/officeDocument/2006/relationships/hyperlink" Target="http://www.nevo.co.il/law/70301/40j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682724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links/psika/?NEWPROC=&#1514;&#1508;&amp;NEWPARTA=7770&amp;NEWPARTC=0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inks/psika/?link=&#1514;&#1508;%201784/0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358273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1025</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6141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100533737</vt:i4>
      </vt:variant>
      <vt:variant>
        <vt:i4>51</vt:i4>
      </vt:variant>
      <vt:variant>
        <vt:i4>0</vt:i4>
      </vt:variant>
      <vt:variant>
        <vt:i4>5</vt:i4>
      </vt:variant>
      <vt:variant>
        <vt:lpwstr>http://www.nevo.co.il/links/psika/?NEWPROC=תפ&amp;NEWPARTA=7770&amp;NEWPARTC=08</vt:lpwstr>
      </vt:variant>
      <vt:variant>
        <vt:lpwstr/>
      </vt:variant>
      <vt:variant>
        <vt:i4>98895286</vt:i4>
      </vt:variant>
      <vt:variant>
        <vt:i4>48</vt:i4>
      </vt:variant>
      <vt:variant>
        <vt:i4>0</vt:i4>
      </vt:variant>
      <vt:variant>
        <vt:i4>5</vt:i4>
      </vt:variant>
      <vt:variant>
        <vt:lpwstr>http://www.nevo.co.il/links/psika/?link=תפ 1784/06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3604607</vt:i4>
      </vt:variant>
      <vt:variant>
        <vt:i4>39</vt:i4>
      </vt:variant>
      <vt:variant>
        <vt:i4>0</vt:i4>
      </vt:variant>
      <vt:variant>
        <vt:i4>5</vt:i4>
      </vt:variant>
      <vt:variant>
        <vt:lpwstr>http://www.nevo.co.il/case/6827241</vt:lpwstr>
      </vt:variant>
      <vt:variant>
        <vt:lpwstr/>
      </vt:variant>
      <vt:variant>
        <vt:i4>3735664</vt:i4>
      </vt:variant>
      <vt:variant>
        <vt:i4>36</vt:i4>
      </vt:variant>
      <vt:variant>
        <vt:i4>0</vt:i4>
      </vt:variant>
      <vt:variant>
        <vt:i4>5</vt:i4>
      </vt:variant>
      <vt:variant>
        <vt:lpwstr>http://www.nevo.co.il/case/3582735</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2025-04-22T21:49:00Z</dcterms:created>
  <dcterms:modified xsi:type="dcterms:W3CDTF">2025-04-22T21:49:00Z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19487</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סרגיי סורג'יק</vt:lpwstr>
  </property>
  <property fmtid="{D5CDD505-2E9C-101B-9397-08002B2CF9AE}" pid="10" name="LAWYER">
    <vt:lpwstr>אביטל פורטנוי; עזרא יצחקי</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20140701</vt:lpwstr>
  </property>
  <property fmtid="{D5CDD505-2E9C-101B-9397-08002B2CF9AE}" pid="14" name="TYPE_N_DATE">
    <vt:lpwstr>38020140701</vt:lpwstr>
  </property>
  <property fmtid="{D5CDD505-2E9C-101B-9397-08002B2CF9AE}" pid="15" name="CASESLISTTMP1">
    <vt:lpwstr>3582735;6827241</vt:lpwstr>
  </property>
  <property fmtid="{D5CDD505-2E9C-101B-9397-08002B2CF9AE}" pid="16" name="CASENOTES1">
    <vt:lpwstr>ProcID=209&amp;PartA=1784&amp;PartC=06</vt:lpwstr>
  </property>
  <property fmtid="{D5CDD505-2E9C-101B-9397-08002B2CF9AE}" pid="17" name="CASENOTES2">
    <vt:lpwstr>ProcID=209&amp;PartA=7770&amp;PartC=08</vt:lpwstr>
  </property>
  <property fmtid="{D5CDD505-2E9C-101B-9397-08002B2CF9AE}" pid="18" name="WORDNUMPAGES">
    <vt:lpwstr>4</vt:lpwstr>
  </property>
  <property fmtid="{D5CDD505-2E9C-101B-9397-08002B2CF9AE}" pid="19" name="TYPE_ABS_DATE">
    <vt:lpwstr>380020140701</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vt:lpwstr>
  </property>
  <property fmtid="{D5CDD505-2E9C-101B-9397-08002B2CF9AE}" pid="39" name="LAWLISTTMP2">
    <vt:lpwstr>70301/040c;040i;40ja</vt:lpwstr>
  </property>
</Properties>
</file>