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07C67" w:rsidRPr="00E47EA9" w14:paraId="3363FEA0" w14:textId="77777777">
        <w:trPr>
          <w:trHeight w:hRule="exact" w:val="418"/>
          <w:jc w:val="center"/>
        </w:trPr>
        <w:tc>
          <w:tcPr>
            <w:tcW w:w="8721" w:type="dxa"/>
            <w:gridSpan w:val="2"/>
          </w:tcPr>
          <w:p w14:paraId="6F65E736" w14:textId="77777777" w:rsidR="00D07C67" w:rsidRPr="00E47EA9" w:rsidRDefault="00E47EA9">
            <w:pPr>
              <w:pStyle w:val="a3"/>
              <w:jc w:val="center"/>
              <w:rPr>
                <w:rFonts w:ascii="Tahoma" w:hAnsi="Tahoma" w:cs="Tahoma"/>
                <w:color w:val="000080"/>
                <w:rtl/>
              </w:rPr>
            </w:pPr>
            <w:bookmarkStart w:id="0" w:name="FirstLawyer"/>
            <w:bookmarkStart w:id="1" w:name="LastJudge"/>
            <w:r w:rsidRPr="00E47EA9">
              <w:rPr>
                <w:rFonts w:ascii="Tahoma" w:hAnsi="Tahoma" w:cs="Tahoma"/>
                <w:b/>
                <w:bCs/>
                <w:color w:val="000080"/>
                <w:rtl/>
              </w:rPr>
              <w:t>בית משפט השלום בתל אביב - יפו</w:t>
            </w:r>
          </w:p>
        </w:tc>
      </w:tr>
      <w:tr w:rsidR="00D07C67" w:rsidRPr="00E47EA9" w14:paraId="557A4DAE" w14:textId="77777777">
        <w:trPr>
          <w:trHeight w:val="337"/>
          <w:jc w:val="center"/>
        </w:trPr>
        <w:tc>
          <w:tcPr>
            <w:tcW w:w="5055" w:type="dxa"/>
          </w:tcPr>
          <w:p w14:paraId="1E2C0B48" w14:textId="77777777" w:rsidR="00D07C67" w:rsidRPr="00E47EA9" w:rsidRDefault="00E47EA9">
            <w:pPr>
              <w:rPr>
                <w:rFonts w:cs="FrankRuehl"/>
                <w:sz w:val="28"/>
                <w:szCs w:val="28"/>
                <w:rtl/>
              </w:rPr>
            </w:pPr>
            <w:r w:rsidRPr="00E47EA9">
              <w:rPr>
                <w:rFonts w:cs="FrankRuehl"/>
                <w:sz w:val="28"/>
                <w:szCs w:val="28"/>
                <w:rtl/>
              </w:rPr>
              <w:t>ת"פ</w:t>
            </w:r>
            <w:r w:rsidRPr="00E47EA9">
              <w:rPr>
                <w:rFonts w:cs="FrankRuehl" w:hint="cs"/>
                <w:sz w:val="28"/>
                <w:szCs w:val="28"/>
                <w:rtl/>
              </w:rPr>
              <w:t xml:space="preserve"> </w:t>
            </w:r>
            <w:r w:rsidRPr="00E47EA9">
              <w:rPr>
                <w:rFonts w:cs="FrankRuehl"/>
                <w:sz w:val="28"/>
                <w:szCs w:val="28"/>
                <w:rtl/>
              </w:rPr>
              <w:t>24440-10-12</w:t>
            </w:r>
            <w:r w:rsidRPr="00E47EA9">
              <w:rPr>
                <w:rFonts w:cs="FrankRuehl" w:hint="cs"/>
                <w:sz w:val="28"/>
                <w:szCs w:val="28"/>
                <w:rtl/>
              </w:rPr>
              <w:t xml:space="preserve"> </w:t>
            </w:r>
            <w:r w:rsidRPr="00E47EA9">
              <w:rPr>
                <w:rFonts w:cs="FrankRuehl"/>
                <w:sz w:val="28"/>
                <w:szCs w:val="28"/>
                <w:rtl/>
              </w:rPr>
              <w:t>מדינת ישראל נ' בוקובזה</w:t>
            </w:r>
          </w:p>
          <w:p w14:paraId="1AB983C1" w14:textId="77777777" w:rsidR="00D07C67" w:rsidRPr="00E47EA9" w:rsidRDefault="00D07C67">
            <w:pPr>
              <w:pStyle w:val="a3"/>
              <w:rPr>
                <w:rFonts w:cs="FrankRuehl"/>
                <w:sz w:val="28"/>
                <w:szCs w:val="28"/>
                <w:rtl/>
              </w:rPr>
            </w:pPr>
          </w:p>
        </w:tc>
        <w:tc>
          <w:tcPr>
            <w:tcW w:w="3666" w:type="dxa"/>
          </w:tcPr>
          <w:p w14:paraId="5A00383C" w14:textId="77777777" w:rsidR="00D07C67" w:rsidRPr="00E47EA9" w:rsidRDefault="00D07C67">
            <w:pPr>
              <w:pStyle w:val="a3"/>
              <w:jc w:val="right"/>
              <w:rPr>
                <w:rFonts w:cs="FrankRuehl"/>
                <w:sz w:val="28"/>
                <w:szCs w:val="28"/>
                <w:rtl/>
              </w:rPr>
            </w:pPr>
          </w:p>
        </w:tc>
      </w:tr>
    </w:tbl>
    <w:p w14:paraId="5002FE07" w14:textId="77777777" w:rsidR="00D07C67" w:rsidRPr="00E47EA9" w:rsidRDefault="00E47EA9">
      <w:pPr>
        <w:pStyle w:val="a3"/>
        <w:rPr>
          <w:rtl/>
        </w:rPr>
      </w:pPr>
      <w:r w:rsidRPr="00E47EA9">
        <w:rPr>
          <w:rFonts w:hint="cs"/>
          <w:rtl/>
        </w:rPr>
        <w:t xml:space="preserve"> </w:t>
      </w:r>
    </w:p>
    <w:p w14:paraId="1DD82903" w14:textId="77777777" w:rsidR="00D07C67" w:rsidRPr="00E47EA9" w:rsidRDefault="00D07C6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07C67" w:rsidRPr="00E47EA9" w14:paraId="11B757F3" w14:textId="77777777">
        <w:trPr>
          <w:trHeight w:val="295"/>
          <w:jc w:val="center"/>
        </w:trPr>
        <w:tc>
          <w:tcPr>
            <w:tcW w:w="923" w:type="dxa"/>
            <w:tcBorders>
              <w:top w:val="nil"/>
              <w:left w:val="nil"/>
              <w:bottom w:val="nil"/>
              <w:right w:val="nil"/>
            </w:tcBorders>
          </w:tcPr>
          <w:p w14:paraId="08AA2319" w14:textId="77777777" w:rsidR="00D07C67" w:rsidRPr="00E47EA9" w:rsidRDefault="00E47EA9">
            <w:pPr>
              <w:jc w:val="both"/>
              <w:rPr>
                <w:rFonts w:ascii="Arial" w:hAnsi="Arial" w:cs="FrankRuehl"/>
                <w:sz w:val="28"/>
                <w:szCs w:val="28"/>
              </w:rPr>
            </w:pPr>
            <w:r w:rsidRPr="00E47EA9">
              <w:rPr>
                <w:rFonts w:ascii="Arial" w:hAnsi="Arial" w:cs="FrankRuehl" w:hint="cs"/>
                <w:sz w:val="28"/>
                <w:szCs w:val="28"/>
                <w:rtl/>
              </w:rPr>
              <w:t>ב</w:t>
            </w:r>
            <w:r w:rsidRPr="00E47EA9">
              <w:rPr>
                <w:rFonts w:ascii="Arial" w:hAnsi="Arial" w:cs="FrankRuehl"/>
                <w:sz w:val="28"/>
                <w:szCs w:val="28"/>
                <w:rtl/>
              </w:rPr>
              <w:t xml:space="preserve">פני </w:t>
            </w:r>
          </w:p>
        </w:tc>
        <w:tc>
          <w:tcPr>
            <w:tcW w:w="7897" w:type="dxa"/>
            <w:gridSpan w:val="2"/>
            <w:tcBorders>
              <w:top w:val="nil"/>
              <w:left w:val="nil"/>
              <w:bottom w:val="nil"/>
              <w:right w:val="nil"/>
            </w:tcBorders>
          </w:tcPr>
          <w:p w14:paraId="021122BE" w14:textId="77777777" w:rsidR="00D07C67" w:rsidRPr="00E47EA9" w:rsidRDefault="00E47EA9">
            <w:pPr>
              <w:rPr>
                <w:rFonts w:ascii="Arial" w:hAnsi="Arial"/>
                <w:b/>
                <w:bCs/>
                <w:rtl/>
              </w:rPr>
            </w:pPr>
            <w:r w:rsidRPr="00E47EA9">
              <w:rPr>
                <w:rFonts w:ascii="Arial" w:hAnsi="Arial" w:hint="cs"/>
                <w:b/>
                <w:bCs/>
                <w:rtl/>
              </w:rPr>
              <w:t>כב' ה</w:t>
            </w:r>
            <w:r w:rsidRPr="00E47EA9">
              <w:rPr>
                <w:rFonts w:hint="cs"/>
                <w:rtl/>
              </w:rPr>
              <w:t>שופט בכיר</w:t>
            </w:r>
            <w:r w:rsidRPr="00E47EA9">
              <w:rPr>
                <w:rFonts w:ascii="Arial" w:hAnsi="Arial" w:hint="cs"/>
                <w:b/>
                <w:bCs/>
                <w:rtl/>
              </w:rPr>
              <w:t xml:space="preserve">  </w:t>
            </w:r>
            <w:r w:rsidRPr="00E47EA9">
              <w:rPr>
                <w:rFonts w:hint="cs"/>
                <w:rtl/>
              </w:rPr>
              <w:t>דניאל בארי</w:t>
            </w:r>
          </w:p>
          <w:p w14:paraId="666E9063" w14:textId="77777777" w:rsidR="00D07C67" w:rsidRPr="00E47EA9" w:rsidRDefault="00D07C67">
            <w:pPr>
              <w:rPr>
                <w:rtl/>
              </w:rPr>
            </w:pPr>
          </w:p>
          <w:p w14:paraId="3AA61D1B" w14:textId="77777777" w:rsidR="00D07C67" w:rsidRPr="00E47EA9" w:rsidRDefault="00D07C67">
            <w:pPr>
              <w:jc w:val="both"/>
              <w:rPr>
                <w:rFonts w:ascii="Arial" w:hAnsi="Arial" w:cs="FrankRuehl"/>
                <w:sz w:val="28"/>
                <w:szCs w:val="28"/>
              </w:rPr>
            </w:pPr>
          </w:p>
        </w:tc>
      </w:tr>
      <w:tr w:rsidR="00D07C67" w:rsidRPr="00E47EA9" w14:paraId="43FB857E" w14:textId="77777777">
        <w:trPr>
          <w:trHeight w:val="355"/>
          <w:jc w:val="center"/>
        </w:trPr>
        <w:tc>
          <w:tcPr>
            <w:tcW w:w="923" w:type="dxa"/>
            <w:tcBorders>
              <w:top w:val="nil"/>
              <w:left w:val="nil"/>
              <w:bottom w:val="nil"/>
              <w:right w:val="nil"/>
            </w:tcBorders>
          </w:tcPr>
          <w:p w14:paraId="41B5AF2A" w14:textId="77777777" w:rsidR="00D07C67" w:rsidRPr="00E47EA9" w:rsidRDefault="00E47EA9">
            <w:pPr>
              <w:jc w:val="both"/>
              <w:rPr>
                <w:rFonts w:ascii="Arial" w:hAnsi="Arial"/>
                <w:b/>
                <w:bCs/>
                <w:sz w:val="26"/>
                <w:szCs w:val="26"/>
              </w:rPr>
            </w:pPr>
            <w:bookmarkStart w:id="2" w:name="FirstAppellant"/>
            <w:r w:rsidRPr="00E47EA9">
              <w:rPr>
                <w:rFonts w:ascii="Arial" w:hAnsi="Arial" w:hint="cs"/>
                <w:b/>
                <w:bCs/>
                <w:sz w:val="26"/>
                <w:szCs w:val="26"/>
                <w:rtl/>
              </w:rPr>
              <w:t>בעניין:</w:t>
            </w:r>
          </w:p>
        </w:tc>
        <w:tc>
          <w:tcPr>
            <w:tcW w:w="4126" w:type="dxa"/>
            <w:tcBorders>
              <w:top w:val="nil"/>
              <w:left w:val="nil"/>
              <w:bottom w:val="nil"/>
              <w:right w:val="nil"/>
            </w:tcBorders>
          </w:tcPr>
          <w:p w14:paraId="720DA656" w14:textId="77777777" w:rsidR="00D07C67" w:rsidRPr="00E47EA9" w:rsidRDefault="00E47EA9">
            <w:pPr>
              <w:rPr>
                <w:b/>
                <w:bCs/>
                <w:sz w:val="26"/>
                <w:szCs w:val="26"/>
              </w:rPr>
            </w:pPr>
            <w:r w:rsidRPr="00E47EA9">
              <w:rPr>
                <w:rFonts w:hint="cs"/>
                <w:b/>
                <w:bCs/>
                <w:sz w:val="26"/>
                <w:szCs w:val="26"/>
                <w:rtl/>
              </w:rPr>
              <w:t>מדינת ישראל</w:t>
            </w:r>
            <w:r w:rsidRPr="00E47EA9">
              <w:rPr>
                <w:rFonts w:hint="cs"/>
                <w:b/>
                <w:bCs/>
                <w:sz w:val="26"/>
                <w:szCs w:val="26"/>
                <w:rtl/>
              </w:rPr>
              <w:br/>
              <w:t>ע"י ב"כ עו"ד צלי פלג</w:t>
            </w:r>
          </w:p>
        </w:tc>
        <w:tc>
          <w:tcPr>
            <w:tcW w:w="3771" w:type="dxa"/>
            <w:tcBorders>
              <w:top w:val="nil"/>
              <w:left w:val="nil"/>
              <w:bottom w:val="nil"/>
              <w:right w:val="nil"/>
            </w:tcBorders>
          </w:tcPr>
          <w:p w14:paraId="10B32768" w14:textId="77777777" w:rsidR="00D07C67" w:rsidRPr="00E47EA9" w:rsidRDefault="00D07C67">
            <w:pPr>
              <w:jc w:val="both"/>
              <w:rPr>
                <w:rFonts w:ascii="Arial" w:hAnsi="Arial"/>
                <w:b/>
                <w:bCs/>
                <w:sz w:val="26"/>
                <w:szCs w:val="26"/>
              </w:rPr>
            </w:pPr>
          </w:p>
        </w:tc>
      </w:tr>
      <w:bookmarkEnd w:id="2"/>
      <w:tr w:rsidR="00D07C67" w:rsidRPr="00E47EA9" w14:paraId="1A26459A" w14:textId="77777777">
        <w:trPr>
          <w:trHeight w:val="355"/>
          <w:jc w:val="center"/>
        </w:trPr>
        <w:tc>
          <w:tcPr>
            <w:tcW w:w="923" w:type="dxa"/>
            <w:tcBorders>
              <w:top w:val="nil"/>
              <w:left w:val="nil"/>
              <w:bottom w:val="nil"/>
              <w:right w:val="nil"/>
            </w:tcBorders>
          </w:tcPr>
          <w:p w14:paraId="233CFBE8" w14:textId="77777777" w:rsidR="00D07C67" w:rsidRPr="00E47EA9" w:rsidRDefault="00D07C67">
            <w:pPr>
              <w:jc w:val="both"/>
              <w:rPr>
                <w:rFonts w:ascii="Arial" w:hAnsi="Arial"/>
                <w:b/>
                <w:bCs/>
                <w:sz w:val="26"/>
                <w:szCs w:val="26"/>
                <w:rtl/>
              </w:rPr>
            </w:pPr>
          </w:p>
        </w:tc>
        <w:tc>
          <w:tcPr>
            <w:tcW w:w="4126" w:type="dxa"/>
            <w:tcBorders>
              <w:top w:val="nil"/>
              <w:left w:val="nil"/>
              <w:bottom w:val="nil"/>
              <w:right w:val="nil"/>
            </w:tcBorders>
          </w:tcPr>
          <w:p w14:paraId="7598B18B" w14:textId="77777777" w:rsidR="00D07C67" w:rsidRPr="00E47EA9" w:rsidRDefault="00D07C67">
            <w:pPr>
              <w:jc w:val="both"/>
              <w:rPr>
                <w:b/>
                <w:bCs/>
                <w:sz w:val="26"/>
                <w:szCs w:val="26"/>
                <w:rtl/>
              </w:rPr>
            </w:pPr>
          </w:p>
        </w:tc>
        <w:tc>
          <w:tcPr>
            <w:tcW w:w="3771" w:type="dxa"/>
            <w:tcBorders>
              <w:top w:val="nil"/>
              <w:left w:val="nil"/>
              <w:bottom w:val="nil"/>
              <w:right w:val="nil"/>
            </w:tcBorders>
          </w:tcPr>
          <w:p w14:paraId="7DE01F86" w14:textId="77777777" w:rsidR="00D07C67" w:rsidRPr="00E47EA9" w:rsidRDefault="00E47EA9">
            <w:pPr>
              <w:jc w:val="right"/>
              <w:rPr>
                <w:rFonts w:ascii="Arial" w:hAnsi="Arial"/>
                <w:b/>
                <w:bCs/>
                <w:sz w:val="26"/>
                <w:szCs w:val="26"/>
                <w:rtl/>
              </w:rPr>
            </w:pPr>
            <w:r w:rsidRPr="00E47EA9">
              <w:rPr>
                <w:rFonts w:ascii="Arial" w:hAnsi="Arial" w:hint="cs"/>
                <w:b/>
                <w:bCs/>
                <w:sz w:val="26"/>
                <w:szCs w:val="26"/>
                <w:rtl/>
              </w:rPr>
              <w:t>ה</w:t>
            </w:r>
            <w:r w:rsidRPr="00E47EA9">
              <w:rPr>
                <w:rFonts w:hint="cs"/>
                <w:b/>
                <w:bCs/>
                <w:sz w:val="26"/>
                <w:szCs w:val="26"/>
                <w:rtl/>
              </w:rPr>
              <w:t>מאשימה</w:t>
            </w:r>
          </w:p>
        </w:tc>
      </w:tr>
      <w:tr w:rsidR="00D07C67" w:rsidRPr="00E47EA9" w14:paraId="5E2A5B6D" w14:textId="77777777">
        <w:trPr>
          <w:trHeight w:val="355"/>
          <w:jc w:val="center"/>
        </w:trPr>
        <w:tc>
          <w:tcPr>
            <w:tcW w:w="923" w:type="dxa"/>
            <w:tcBorders>
              <w:top w:val="nil"/>
              <w:left w:val="nil"/>
              <w:bottom w:val="nil"/>
              <w:right w:val="nil"/>
            </w:tcBorders>
          </w:tcPr>
          <w:p w14:paraId="4948EA67" w14:textId="77777777" w:rsidR="00D07C67" w:rsidRPr="00E47EA9" w:rsidRDefault="00D07C67">
            <w:pPr>
              <w:jc w:val="both"/>
              <w:rPr>
                <w:rFonts w:ascii="Arial" w:hAnsi="Arial"/>
                <w:b/>
                <w:bCs/>
                <w:sz w:val="26"/>
                <w:szCs w:val="26"/>
                <w:rtl/>
              </w:rPr>
            </w:pPr>
          </w:p>
        </w:tc>
        <w:tc>
          <w:tcPr>
            <w:tcW w:w="7897" w:type="dxa"/>
            <w:gridSpan w:val="2"/>
            <w:tcBorders>
              <w:top w:val="nil"/>
              <w:left w:val="nil"/>
              <w:bottom w:val="nil"/>
              <w:right w:val="nil"/>
            </w:tcBorders>
          </w:tcPr>
          <w:p w14:paraId="0D5559DF" w14:textId="77777777" w:rsidR="00D07C67" w:rsidRPr="00E47EA9" w:rsidRDefault="00D07C67">
            <w:pPr>
              <w:jc w:val="center"/>
              <w:rPr>
                <w:rFonts w:ascii="Arial" w:hAnsi="Arial"/>
                <w:b/>
                <w:bCs/>
                <w:sz w:val="26"/>
                <w:szCs w:val="26"/>
                <w:rtl/>
              </w:rPr>
            </w:pPr>
          </w:p>
          <w:p w14:paraId="1E657B6F" w14:textId="77777777" w:rsidR="00D07C67" w:rsidRPr="00E47EA9" w:rsidRDefault="00E47EA9">
            <w:pPr>
              <w:jc w:val="center"/>
              <w:rPr>
                <w:rFonts w:ascii="Arial" w:hAnsi="Arial"/>
                <w:b/>
                <w:bCs/>
                <w:sz w:val="26"/>
                <w:szCs w:val="26"/>
                <w:rtl/>
              </w:rPr>
            </w:pPr>
            <w:r w:rsidRPr="00E47EA9">
              <w:rPr>
                <w:rFonts w:ascii="Arial" w:hAnsi="Arial"/>
                <w:b/>
                <w:bCs/>
                <w:sz w:val="26"/>
                <w:szCs w:val="26"/>
                <w:rtl/>
              </w:rPr>
              <w:t>נגד</w:t>
            </w:r>
          </w:p>
          <w:p w14:paraId="363D0660" w14:textId="77777777" w:rsidR="00D07C67" w:rsidRPr="00E47EA9" w:rsidRDefault="00D07C67">
            <w:pPr>
              <w:jc w:val="both"/>
              <w:rPr>
                <w:rFonts w:ascii="Arial" w:hAnsi="Arial"/>
                <w:b/>
                <w:bCs/>
                <w:sz w:val="26"/>
                <w:szCs w:val="26"/>
              </w:rPr>
            </w:pPr>
          </w:p>
        </w:tc>
      </w:tr>
      <w:tr w:rsidR="00D07C67" w:rsidRPr="00E47EA9" w14:paraId="24196FD4" w14:textId="77777777">
        <w:trPr>
          <w:trHeight w:val="355"/>
          <w:jc w:val="center"/>
        </w:trPr>
        <w:tc>
          <w:tcPr>
            <w:tcW w:w="923" w:type="dxa"/>
            <w:tcBorders>
              <w:top w:val="nil"/>
              <w:left w:val="nil"/>
              <w:bottom w:val="nil"/>
              <w:right w:val="nil"/>
            </w:tcBorders>
          </w:tcPr>
          <w:p w14:paraId="1A025A8A" w14:textId="77777777" w:rsidR="00D07C67" w:rsidRPr="00E47EA9" w:rsidRDefault="00D07C67">
            <w:pPr>
              <w:rPr>
                <w:rFonts w:ascii="Arial" w:hAnsi="Arial"/>
                <w:b/>
                <w:bCs/>
                <w:sz w:val="26"/>
                <w:szCs w:val="26"/>
                <w:rtl/>
              </w:rPr>
            </w:pPr>
          </w:p>
        </w:tc>
        <w:tc>
          <w:tcPr>
            <w:tcW w:w="4126" w:type="dxa"/>
            <w:tcBorders>
              <w:top w:val="nil"/>
              <w:left w:val="nil"/>
              <w:bottom w:val="nil"/>
              <w:right w:val="nil"/>
            </w:tcBorders>
          </w:tcPr>
          <w:p w14:paraId="67580FDC" w14:textId="77777777" w:rsidR="00D07C67" w:rsidRPr="00E47EA9" w:rsidRDefault="00E47EA9">
            <w:pPr>
              <w:rPr>
                <w:b/>
                <w:bCs/>
                <w:sz w:val="26"/>
                <w:szCs w:val="26"/>
                <w:rtl/>
              </w:rPr>
            </w:pPr>
            <w:r w:rsidRPr="00E47EA9">
              <w:rPr>
                <w:rFonts w:hint="cs"/>
                <w:b/>
                <w:bCs/>
                <w:sz w:val="26"/>
                <w:szCs w:val="26"/>
                <w:rtl/>
              </w:rPr>
              <w:t>עמוס בוקובזה</w:t>
            </w:r>
            <w:r w:rsidRPr="00E47EA9">
              <w:rPr>
                <w:rFonts w:hint="cs"/>
                <w:b/>
                <w:bCs/>
                <w:sz w:val="26"/>
                <w:szCs w:val="26"/>
                <w:rtl/>
              </w:rPr>
              <w:br/>
              <w:t>ע"י ב"כ עו"ד ונטורה</w:t>
            </w:r>
          </w:p>
        </w:tc>
        <w:tc>
          <w:tcPr>
            <w:tcW w:w="3771" w:type="dxa"/>
            <w:tcBorders>
              <w:top w:val="nil"/>
              <w:left w:val="nil"/>
              <w:bottom w:val="nil"/>
              <w:right w:val="nil"/>
            </w:tcBorders>
          </w:tcPr>
          <w:p w14:paraId="38655FD0" w14:textId="77777777" w:rsidR="00D07C67" w:rsidRPr="00E47EA9" w:rsidRDefault="00D07C67">
            <w:pPr>
              <w:jc w:val="right"/>
              <w:rPr>
                <w:rFonts w:ascii="Arial" w:hAnsi="Arial"/>
                <w:b/>
                <w:bCs/>
                <w:sz w:val="26"/>
                <w:szCs w:val="26"/>
              </w:rPr>
            </w:pPr>
          </w:p>
        </w:tc>
      </w:tr>
      <w:tr w:rsidR="00D07C67" w:rsidRPr="00E47EA9" w14:paraId="495D0AA1" w14:textId="77777777">
        <w:trPr>
          <w:trHeight w:val="355"/>
          <w:jc w:val="center"/>
        </w:trPr>
        <w:tc>
          <w:tcPr>
            <w:tcW w:w="923" w:type="dxa"/>
            <w:tcBorders>
              <w:top w:val="nil"/>
              <w:left w:val="nil"/>
              <w:bottom w:val="nil"/>
              <w:right w:val="nil"/>
            </w:tcBorders>
          </w:tcPr>
          <w:p w14:paraId="7EE3D381" w14:textId="77777777" w:rsidR="00D07C67" w:rsidRPr="00E47EA9" w:rsidRDefault="00D07C67">
            <w:pPr>
              <w:jc w:val="both"/>
              <w:rPr>
                <w:rFonts w:ascii="Arial" w:hAnsi="Arial"/>
                <w:b/>
                <w:bCs/>
                <w:sz w:val="26"/>
                <w:szCs w:val="26"/>
                <w:rtl/>
              </w:rPr>
            </w:pPr>
          </w:p>
        </w:tc>
        <w:tc>
          <w:tcPr>
            <w:tcW w:w="4126" w:type="dxa"/>
            <w:tcBorders>
              <w:top w:val="nil"/>
              <w:left w:val="nil"/>
              <w:bottom w:val="nil"/>
              <w:right w:val="nil"/>
            </w:tcBorders>
          </w:tcPr>
          <w:p w14:paraId="0536049D" w14:textId="77777777" w:rsidR="00D07C67" w:rsidRPr="00E47EA9" w:rsidRDefault="00D07C67">
            <w:pPr>
              <w:jc w:val="both"/>
              <w:rPr>
                <w:b/>
                <w:bCs/>
                <w:sz w:val="26"/>
                <w:szCs w:val="26"/>
                <w:rtl/>
              </w:rPr>
            </w:pPr>
          </w:p>
        </w:tc>
        <w:tc>
          <w:tcPr>
            <w:tcW w:w="3771" w:type="dxa"/>
            <w:tcBorders>
              <w:top w:val="nil"/>
              <w:left w:val="nil"/>
              <w:bottom w:val="nil"/>
              <w:right w:val="nil"/>
            </w:tcBorders>
          </w:tcPr>
          <w:p w14:paraId="045B9B2F" w14:textId="77777777" w:rsidR="00D07C67" w:rsidRPr="00E47EA9" w:rsidRDefault="00E47EA9">
            <w:pPr>
              <w:jc w:val="right"/>
              <w:rPr>
                <w:rFonts w:ascii="Arial" w:hAnsi="Arial"/>
                <w:b/>
                <w:bCs/>
                <w:sz w:val="26"/>
                <w:szCs w:val="26"/>
              </w:rPr>
            </w:pPr>
            <w:r w:rsidRPr="00E47EA9">
              <w:rPr>
                <w:rFonts w:ascii="Arial" w:hAnsi="Arial" w:hint="cs"/>
                <w:b/>
                <w:bCs/>
                <w:sz w:val="26"/>
                <w:szCs w:val="26"/>
                <w:rtl/>
              </w:rPr>
              <w:t>ה</w:t>
            </w:r>
            <w:r w:rsidRPr="00E47EA9">
              <w:rPr>
                <w:rFonts w:hint="cs"/>
                <w:b/>
                <w:bCs/>
                <w:sz w:val="26"/>
                <w:szCs w:val="26"/>
                <w:rtl/>
              </w:rPr>
              <w:t>נאשם</w:t>
            </w:r>
          </w:p>
        </w:tc>
      </w:tr>
    </w:tbl>
    <w:p w14:paraId="116D90F1" w14:textId="77777777" w:rsidR="009051B8" w:rsidRDefault="009051B8">
      <w:pPr>
        <w:rPr>
          <w:sz w:val="26"/>
          <w:szCs w:val="26"/>
          <w:rtl/>
        </w:rPr>
      </w:pPr>
      <w:bookmarkStart w:id="3" w:name="LawTable"/>
      <w:bookmarkEnd w:id="3"/>
    </w:p>
    <w:p w14:paraId="335E27D9" w14:textId="77777777" w:rsidR="009051B8" w:rsidRPr="009051B8" w:rsidRDefault="009051B8" w:rsidP="009051B8">
      <w:pPr>
        <w:spacing w:after="120" w:line="240" w:lineRule="exact"/>
        <w:ind w:left="283" w:hanging="283"/>
        <w:jc w:val="both"/>
        <w:rPr>
          <w:rFonts w:ascii="FrankRuehl" w:hAnsi="FrankRuehl" w:cs="FrankRuehl"/>
          <w:rtl/>
        </w:rPr>
      </w:pPr>
      <w:r w:rsidRPr="009051B8">
        <w:rPr>
          <w:rFonts w:ascii="FrankRuehl" w:hAnsi="FrankRuehl" w:cs="FrankRuehl"/>
          <w:rtl/>
        </w:rPr>
        <w:t xml:space="preserve">חקיקה שאוזכרה: </w:t>
      </w:r>
    </w:p>
    <w:p w14:paraId="3E2B6F72" w14:textId="77777777" w:rsidR="009051B8" w:rsidRPr="009051B8" w:rsidRDefault="009051B8" w:rsidP="009051B8">
      <w:pPr>
        <w:spacing w:after="120" w:line="240" w:lineRule="exact"/>
        <w:ind w:left="283" w:hanging="283"/>
        <w:jc w:val="both"/>
        <w:rPr>
          <w:rFonts w:ascii="FrankRuehl" w:hAnsi="FrankRuehl" w:cs="FrankRuehl"/>
          <w:color w:val="0000FF"/>
          <w:u w:val="single"/>
          <w:rtl/>
        </w:rPr>
      </w:pPr>
      <w:hyperlink r:id="rId6" w:history="1">
        <w:r w:rsidRPr="009051B8">
          <w:rPr>
            <w:rStyle w:val="Hyperlink"/>
            <w:rFonts w:ascii="FrankRuehl" w:hAnsi="FrankRuehl" w:cs="FrankRuehl"/>
            <w:rtl/>
          </w:rPr>
          <w:t>פקודת הסמים המסוכנים [נוסח חדש], תשל"ג-1973</w:t>
        </w:r>
      </w:hyperlink>
      <w:r w:rsidRPr="009051B8">
        <w:rPr>
          <w:rFonts w:ascii="FrankRuehl" w:hAnsi="FrankRuehl" w:cs="FrankRuehl"/>
          <w:color w:val="0000FF"/>
          <w:u w:val="single"/>
          <w:rtl/>
        </w:rPr>
        <w:t xml:space="preserve">: סע'  </w:t>
      </w:r>
      <w:hyperlink r:id="rId7" w:history="1">
        <w:r w:rsidRPr="009051B8">
          <w:rPr>
            <w:rStyle w:val="Hyperlink"/>
            <w:rFonts w:ascii="FrankRuehl" w:hAnsi="FrankRuehl" w:cs="FrankRuehl"/>
          </w:rPr>
          <w:t>7(</w:t>
        </w:r>
        <w:r w:rsidRPr="009051B8">
          <w:rPr>
            <w:rStyle w:val="Hyperlink"/>
            <w:rFonts w:ascii="FrankRuehl" w:hAnsi="FrankRuehl" w:cs="FrankRuehl"/>
            <w:rtl/>
          </w:rPr>
          <w:t>א)(ג</w:t>
        </w:r>
        <w:r w:rsidRPr="009051B8">
          <w:rPr>
            <w:rStyle w:val="Hyperlink"/>
            <w:rFonts w:ascii="FrankRuehl" w:hAnsi="FrankRuehl" w:cs="FrankRuehl"/>
          </w:rPr>
          <w:t>)</w:t>
        </w:r>
      </w:hyperlink>
    </w:p>
    <w:p w14:paraId="235F4A6C" w14:textId="77777777" w:rsidR="009051B8" w:rsidRPr="009051B8" w:rsidRDefault="009051B8" w:rsidP="009051B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7C67" w14:paraId="01DD74FA" w14:textId="77777777">
        <w:trPr>
          <w:trHeight w:val="355"/>
          <w:jc w:val="center"/>
        </w:trPr>
        <w:tc>
          <w:tcPr>
            <w:tcW w:w="8820" w:type="dxa"/>
            <w:tcBorders>
              <w:top w:val="nil"/>
              <w:left w:val="nil"/>
              <w:bottom w:val="nil"/>
              <w:right w:val="nil"/>
            </w:tcBorders>
          </w:tcPr>
          <w:p w14:paraId="19B6DB31" w14:textId="77777777" w:rsidR="00E47EA9" w:rsidRPr="00E47EA9" w:rsidRDefault="00E47EA9" w:rsidP="00E47EA9">
            <w:pPr>
              <w:jc w:val="center"/>
              <w:rPr>
                <w:rFonts w:ascii="Arial" w:hAnsi="Arial" w:cs="FrankRuehl"/>
                <w:b/>
                <w:bCs/>
                <w:sz w:val="32"/>
                <w:szCs w:val="32"/>
                <w:u w:val="single"/>
                <w:rtl/>
              </w:rPr>
            </w:pPr>
            <w:bookmarkStart w:id="4" w:name="LawTable_End"/>
            <w:bookmarkStart w:id="5" w:name="PsakDin" w:colFirst="0" w:colLast="0"/>
            <w:bookmarkEnd w:id="0"/>
            <w:bookmarkEnd w:id="1"/>
            <w:bookmarkEnd w:id="4"/>
            <w:r w:rsidRPr="00E47EA9">
              <w:rPr>
                <w:rFonts w:ascii="Arial" w:hAnsi="Arial" w:cs="FrankRuehl"/>
                <w:b/>
                <w:bCs/>
                <w:sz w:val="32"/>
                <w:szCs w:val="32"/>
                <w:u w:val="single"/>
                <w:rtl/>
              </w:rPr>
              <w:t>גזר דין</w:t>
            </w:r>
          </w:p>
          <w:p w14:paraId="1703A4FE" w14:textId="77777777" w:rsidR="00D07C67" w:rsidRPr="00E47EA9" w:rsidRDefault="00D07C67" w:rsidP="00E47EA9">
            <w:pPr>
              <w:jc w:val="center"/>
              <w:rPr>
                <w:rFonts w:ascii="Arial" w:hAnsi="Arial" w:cs="FrankRuehl"/>
                <w:bCs/>
                <w:sz w:val="32"/>
                <w:szCs w:val="32"/>
                <w:u w:val="single"/>
                <w:rtl/>
              </w:rPr>
            </w:pPr>
          </w:p>
        </w:tc>
      </w:tr>
      <w:bookmarkEnd w:id="5"/>
    </w:tbl>
    <w:p w14:paraId="27DD3FFD" w14:textId="77777777" w:rsidR="00D07C67" w:rsidRDefault="00D07C67">
      <w:pPr>
        <w:rPr>
          <w:rFonts w:ascii="Arial" w:hAnsi="Arial"/>
          <w:rtl/>
        </w:rPr>
      </w:pPr>
    </w:p>
    <w:p w14:paraId="6DEC83FB" w14:textId="77777777" w:rsidR="00D07C67" w:rsidRDefault="00D07C67">
      <w:pPr>
        <w:rPr>
          <w:rFonts w:ascii="Arial" w:hAnsi="Arial"/>
          <w:rtl/>
        </w:rPr>
      </w:pPr>
    </w:p>
    <w:p w14:paraId="2590386F" w14:textId="77777777" w:rsidR="00D07C67" w:rsidRDefault="00E47EA9">
      <w:pPr>
        <w:spacing w:line="360" w:lineRule="auto"/>
        <w:jc w:val="both"/>
        <w:rPr>
          <w:sz w:val="26"/>
          <w:szCs w:val="26"/>
          <w:rtl/>
        </w:rPr>
      </w:pPr>
      <w:r>
        <w:rPr>
          <w:rFonts w:hint="cs"/>
          <w:sz w:val="26"/>
          <w:szCs w:val="26"/>
          <w:rtl/>
        </w:rPr>
        <w:t xml:space="preserve">לאחר תיקונו של כתב האישום ושמיעת חלק מהראיות, הודה הנאשם והורשע בהחזקת סם שלא לצריכה עצמית לפי </w:t>
      </w:r>
      <w:hyperlink r:id="rId8" w:history="1">
        <w:r w:rsidR="009051B8" w:rsidRPr="009051B8">
          <w:rPr>
            <w:rStyle w:val="Hyperlink"/>
            <w:rFonts w:hint="eastAsia"/>
            <w:sz w:val="26"/>
            <w:szCs w:val="26"/>
            <w:rtl/>
          </w:rPr>
          <w:t>סעיף</w:t>
        </w:r>
        <w:r w:rsidR="009051B8" w:rsidRPr="009051B8">
          <w:rPr>
            <w:rStyle w:val="Hyperlink"/>
            <w:sz w:val="26"/>
            <w:szCs w:val="26"/>
            <w:rtl/>
          </w:rPr>
          <w:t xml:space="preserve"> 7(א)(ג)</w:t>
        </w:r>
      </w:hyperlink>
      <w:r>
        <w:rPr>
          <w:rFonts w:hint="cs"/>
          <w:sz w:val="26"/>
          <w:szCs w:val="26"/>
          <w:rtl/>
        </w:rPr>
        <w:t xml:space="preserve"> רישא ל</w:t>
      </w:r>
      <w:hyperlink r:id="rId9" w:history="1">
        <w:r w:rsidRPr="00E47EA9">
          <w:rPr>
            <w:color w:val="0000FF"/>
            <w:sz w:val="26"/>
            <w:szCs w:val="26"/>
            <w:u w:val="single"/>
            <w:rtl/>
          </w:rPr>
          <w:t>פקודת הסמים המסוכנים</w:t>
        </w:r>
      </w:hyperlink>
      <w:r>
        <w:rPr>
          <w:rFonts w:hint="cs"/>
          <w:sz w:val="26"/>
          <w:szCs w:val="26"/>
          <w:rtl/>
        </w:rPr>
        <w:t>, תשל"ג-1973.</w:t>
      </w:r>
    </w:p>
    <w:p w14:paraId="28D1C4BB" w14:textId="77777777" w:rsidR="00D07C67" w:rsidRDefault="00D07C67">
      <w:pPr>
        <w:spacing w:line="360" w:lineRule="auto"/>
        <w:rPr>
          <w:sz w:val="26"/>
          <w:szCs w:val="26"/>
          <w:rtl/>
        </w:rPr>
      </w:pPr>
    </w:p>
    <w:p w14:paraId="1274FB93" w14:textId="77777777" w:rsidR="00D07C67" w:rsidRDefault="00E47EA9">
      <w:pPr>
        <w:spacing w:line="360" w:lineRule="auto"/>
        <w:jc w:val="both"/>
        <w:rPr>
          <w:sz w:val="26"/>
          <w:szCs w:val="26"/>
          <w:rtl/>
        </w:rPr>
      </w:pPr>
      <w:r>
        <w:rPr>
          <w:rFonts w:hint="cs"/>
          <w:sz w:val="26"/>
          <w:szCs w:val="26"/>
          <w:rtl/>
        </w:rPr>
        <w:t xml:space="preserve">לפי עובדות כתב האישום המתוקן החזיק הנאשם ביום 17/11/2010 סמוך לחצות מתחת למושב הנוסע שלצד הנהג ברכב מסוג הונדה, בו נהג, שתי שקיות שבכל אחת מהם 100 טבליות סם מסוג </w:t>
      </w:r>
      <w:r>
        <w:rPr>
          <w:sz w:val="26"/>
          <w:szCs w:val="26"/>
        </w:rPr>
        <w:t>MDPV</w:t>
      </w:r>
      <w:r>
        <w:rPr>
          <w:rFonts w:hint="cs"/>
          <w:sz w:val="26"/>
          <w:szCs w:val="26"/>
          <w:rtl/>
        </w:rPr>
        <w:t xml:space="preserve">. </w:t>
      </w:r>
    </w:p>
    <w:p w14:paraId="2CE3EE60" w14:textId="77777777" w:rsidR="00D07C67" w:rsidRDefault="00D07C67">
      <w:pPr>
        <w:spacing w:line="360" w:lineRule="auto"/>
        <w:jc w:val="both"/>
        <w:rPr>
          <w:sz w:val="26"/>
          <w:szCs w:val="26"/>
          <w:rtl/>
        </w:rPr>
      </w:pPr>
    </w:p>
    <w:p w14:paraId="3F3CA6A7" w14:textId="77777777" w:rsidR="00D07C67" w:rsidRDefault="00E47EA9">
      <w:pPr>
        <w:spacing w:line="360" w:lineRule="auto"/>
        <w:jc w:val="both"/>
        <w:rPr>
          <w:sz w:val="26"/>
          <w:szCs w:val="26"/>
          <w:rtl/>
        </w:rPr>
      </w:pPr>
      <w:r>
        <w:rPr>
          <w:rFonts w:hint="cs"/>
          <w:sz w:val="26"/>
          <w:szCs w:val="26"/>
          <w:rtl/>
        </w:rPr>
        <w:t xml:space="preserve">הערך המוגן בעבירה בה הורשע הנאשם הוא מניעה של החזקתו והפצתו של סם מסוכן. </w:t>
      </w:r>
    </w:p>
    <w:p w14:paraId="14D21CFA" w14:textId="77777777" w:rsidR="00D07C67" w:rsidRDefault="00D07C67">
      <w:pPr>
        <w:spacing w:line="360" w:lineRule="auto"/>
        <w:jc w:val="both"/>
        <w:rPr>
          <w:sz w:val="26"/>
          <w:szCs w:val="26"/>
          <w:rtl/>
        </w:rPr>
      </w:pPr>
    </w:p>
    <w:p w14:paraId="5BAE6129" w14:textId="77777777" w:rsidR="00D07C67" w:rsidRDefault="00E47EA9">
      <w:pPr>
        <w:spacing w:line="360" w:lineRule="auto"/>
        <w:jc w:val="both"/>
        <w:rPr>
          <w:sz w:val="26"/>
          <w:szCs w:val="26"/>
          <w:rtl/>
        </w:rPr>
      </w:pPr>
      <w:r>
        <w:rPr>
          <w:rFonts w:hint="cs"/>
          <w:sz w:val="26"/>
          <w:szCs w:val="26"/>
          <w:rtl/>
        </w:rPr>
        <w:t xml:space="preserve">מתחם הענישה ההולם נע בין 6 ל- 18 חודשי מאסר. </w:t>
      </w:r>
    </w:p>
    <w:p w14:paraId="4BD24087" w14:textId="77777777" w:rsidR="00D07C67" w:rsidRDefault="00D07C67">
      <w:pPr>
        <w:spacing w:line="360" w:lineRule="auto"/>
        <w:jc w:val="both"/>
        <w:rPr>
          <w:sz w:val="26"/>
          <w:szCs w:val="26"/>
          <w:rtl/>
        </w:rPr>
      </w:pPr>
    </w:p>
    <w:p w14:paraId="5C0264B1" w14:textId="77777777" w:rsidR="00D07C67" w:rsidRDefault="00E47EA9">
      <w:pPr>
        <w:spacing w:line="360" w:lineRule="auto"/>
        <w:jc w:val="both"/>
        <w:rPr>
          <w:sz w:val="26"/>
          <w:szCs w:val="26"/>
          <w:rtl/>
        </w:rPr>
      </w:pPr>
      <w:r>
        <w:rPr>
          <w:rFonts w:hint="cs"/>
          <w:sz w:val="26"/>
          <w:szCs w:val="26"/>
          <w:rtl/>
        </w:rPr>
        <w:t>התביעה ציינה כי הנאשם ביצע את העבירה כשתלוי ועומד נגדו מאסר מותנה שהוא חב הפעלה.</w:t>
      </w:r>
    </w:p>
    <w:p w14:paraId="62DDB87C" w14:textId="77777777" w:rsidR="00D07C67" w:rsidRDefault="00D07C67">
      <w:pPr>
        <w:spacing w:line="360" w:lineRule="auto"/>
        <w:jc w:val="both"/>
        <w:rPr>
          <w:sz w:val="26"/>
          <w:szCs w:val="26"/>
          <w:rtl/>
        </w:rPr>
      </w:pPr>
    </w:p>
    <w:p w14:paraId="6EFB533F" w14:textId="77777777" w:rsidR="00D07C67" w:rsidRDefault="00E47EA9">
      <w:pPr>
        <w:spacing w:line="360" w:lineRule="auto"/>
        <w:jc w:val="both"/>
        <w:rPr>
          <w:sz w:val="26"/>
          <w:szCs w:val="26"/>
          <w:rtl/>
        </w:rPr>
      </w:pPr>
      <w:r>
        <w:rPr>
          <w:rFonts w:hint="cs"/>
          <w:sz w:val="26"/>
          <w:szCs w:val="26"/>
          <w:rtl/>
        </w:rPr>
        <w:lastRenderedPageBreak/>
        <w:t>התובע סבור כי במקרה זה מתחם הענישה ההולם הוא בין 6 ל- 24 חודשי מאסר. הוא מבקש לגזור על הנאשם מאסר ממשי ולהפעיל במצטבר את המאסר המותנה התלוי ועומד נגדו. כמו כן ביקש התובע לפסול את רישיונו של הנאשם.</w:t>
      </w:r>
    </w:p>
    <w:p w14:paraId="3AB58ECC" w14:textId="77777777" w:rsidR="00D07C67" w:rsidRDefault="00D07C67">
      <w:pPr>
        <w:spacing w:line="360" w:lineRule="auto"/>
        <w:jc w:val="both"/>
        <w:rPr>
          <w:sz w:val="26"/>
          <w:szCs w:val="26"/>
          <w:rtl/>
        </w:rPr>
      </w:pPr>
    </w:p>
    <w:p w14:paraId="62340C23" w14:textId="77777777" w:rsidR="00D07C67" w:rsidRDefault="00E47EA9">
      <w:pPr>
        <w:spacing w:line="360" w:lineRule="auto"/>
        <w:jc w:val="both"/>
        <w:rPr>
          <w:sz w:val="26"/>
          <w:szCs w:val="26"/>
          <w:rtl/>
        </w:rPr>
      </w:pPr>
      <w:r>
        <w:rPr>
          <w:rFonts w:hint="cs"/>
          <w:sz w:val="26"/>
          <w:szCs w:val="26"/>
          <w:rtl/>
        </w:rPr>
        <w:t>הסניגור ביקש להתחשב בזמן שחלף מאז ביצוע העבירה ומועד הגשת כתב האישום וכן לתת משקל לכך שהכדורים נשוא כתב האישום הוספו לרשימת הסמים המסוכנים זמן קצר לפני החזקתם ע"י הנאשם. הסניגור ביקש להתחשב בעובדה כי הנאשם מזה זמן לא עבר עבירה ועל כן עתר לא לקטוע את הליך שיקומו של הנאשם וביקש להסתפק במאסר שירוצה בעבודות שירות.</w:t>
      </w:r>
    </w:p>
    <w:p w14:paraId="01C2875D" w14:textId="77777777" w:rsidR="00D07C67" w:rsidRDefault="00D07C67">
      <w:pPr>
        <w:spacing w:line="360" w:lineRule="auto"/>
        <w:jc w:val="both"/>
        <w:rPr>
          <w:sz w:val="26"/>
          <w:szCs w:val="26"/>
          <w:rtl/>
        </w:rPr>
      </w:pPr>
    </w:p>
    <w:p w14:paraId="1ECFBCCD" w14:textId="77777777" w:rsidR="00D07C67" w:rsidRDefault="00E47EA9">
      <w:pPr>
        <w:spacing w:line="360" w:lineRule="auto"/>
        <w:jc w:val="both"/>
        <w:rPr>
          <w:sz w:val="26"/>
          <w:szCs w:val="26"/>
          <w:rtl/>
        </w:rPr>
      </w:pPr>
      <w:r>
        <w:rPr>
          <w:rFonts w:hint="cs"/>
          <w:sz w:val="26"/>
          <w:szCs w:val="26"/>
          <w:rtl/>
        </w:rPr>
        <w:t xml:space="preserve">הסניגור ביקש לאמץ את המליץ שירות המבחן וכן ביקש להימנע מפסילת רישיונו של הנאשם. </w:t>
      </w:r>
    </w:p>
    <w:p w14:paraId="228AB8ED" w14:textId="77777777" w:rsidR="00D07C67" w:rsidRDefault="00D07C67">
      <w:pPr>
        <w:spacing w:line="360" w:lineRule="auto"/>
        <w:jc w:val="both"/>
        <w:rPr>
          <w:sz w:val="26"/>
          <w:szCs w:val="26"/>
          <w:rtl/>
        </w:rPr>
      </w:pPr>
    </w:p>
    <w:p w14:paraId="3EE52C45" w14:textId="77777777" w:rsidR="00D07C67" w:rsidRDefault="00E47EA9">
      <w:pPr>
        <w:spacing w:line="360" w:lineRule="auto"/>
        <w:jc w:val="both"/>
        <w:rPr>
          <w:sz w:val="26"/>
          <w:szCs w:val="26"/>
          <w:rtl/>
        </w:rPr>
      </w:pPr>
      <w:r>
        <w:rPr>
          <w:rFonts w:hint="cs"/>
          <w:sz w:val="26"/>
          <w:szCs w:val="26"/>
          <w:rtl/>
        </w:rPr>
        <w:t>הנאשם הוא אדם יליד 1980, לחובתו 12 הרשעות קודמות בעבירות רכוש, אלימות, סמים ועוד.</w:t>
      </w:r>
    </w:p>
    <w:p w14:paraId="78E03A8A" w14:textId="77777777" w:rsidR="00D07C67" w:rsidRDefault="00D07C67">
      <w:pPr>
        <w:spacing w:line="360" w:lineRule="auto"/>
        <w:jc w:val="both"/>
        <w:rPr>
          <w:sz w:val="26"/>
          <w:szCs w:val="26"/>
          <w:rtl/>
        </w:rPr>
      </w:pPr>
    </w:p>
    <w:p w14:paraId="4D32BA6A" w14:textId="77777777" w:rsidR="00D07C67" w:rsidRDefault="00E47EA9">
      <w:pPr>
        <w:spacing w:line="360" w:lineRule="auto"/>
        <w:jc w:val="both"/>
        <w:rPr>
          <w:sz w:val="26"/>
          <w:szCs w:val="26"/>
          <w:rtl/>
        </w:rPr>
      </w:pPr>
      <w:r>
        <w:rPr>
          <w:rFonts w:hint="cs"/>
          <w:sz w:val="26"/>
          <w:szCs w:val="26"/>
          <w:rtl/>
        </w:rPr>
        <w:t xml:space="preserve">ביום 28 אפריל 2008 נידון הנאשם בת"פ 718/06 ל- 12 חודשי מאסר על תנאי למשך שלוש שנים בין היתר בגין עבירות סמים. </w:t>
      </w:r>
    </w:p>
    <w:p w14:paraId="2E265F22" w14:textId="77777777" w:rsidR="00D07C67" w:rsidRDefault="00D07C67">
      <w:pPr>
        <w:spacing w:line="360" w:lineRule="auto"/>
        <w:jc w:val="both"/>
        <w:rPr>
          <w:sz w:val="26"/>
          <w:szCs w:val="26"/>
          <w:rtl/>
        </w:rPr>
      </w:pPr>
    </w:p>
    <w:p w14:paraId="111C610A" w14:textId="77777777" w:rsidR="00D07C67" w:rsidRDefault="00E47EA9">
      <w:pPr>
        <w:spacing w:line="360" w:lineRule="auto"/>
        <w:jc w:val="both"/>
        <w:rPr>
          <w:sz w:val="26"/>
          <w:szCs w:val="26"/>
          <w:rtl/>
        </w:rPr>
      </w:pPr>
      <w:r>
        <w:rPr>
          <w:rFonts w:hint="cs"/>
          <w:sz w:val="26"/>
          <w:szCs w:val="26"/>
          <w:rtl/>
        </w:rPr>
        <w:t xml:space="preserve">הנאשם הופנה לשירות המבחן. שירות המבחן סקר בהרחבה את נסיבותיו האישיות והמשפחתיות וציין כי בתקופה האחרונה מצליח הנאשם לתפקד במסגרת תעסוקתית ולהימנע מביצוע עבירות. </w:t>
      </w:r>
    </w:p>
    <w:p w14:paraId="08C36D44" w14:textId="77777777" w:rsidR="00D07C67" w:rsidRDefault="00D07C67">
      <w:pPr>
        <w:spacing w:line="360" w:lineRule="auto"/>
        <w:jc w:val="both"/>
        <w:rPr>
          <w:sz w:val="26"/>
          <w:szCs w:val="26"/>
          <w:rtl/>
        </w:rPr>
      </w:pPr>
    </w:p>
    <w:p w14:paraId="4C4378C2" w14:textId="77777777" w:rsidR="00D07C67" w:rsidRDefault="00E47EA9">
      <w:pPr>
        <w:spacing w:line="360" w:lineRule="auto"/>
        <w:jc w:val="both"/>
        <w:rPr>
          <w:sz w:val="26"/>
          <w:szCs w:val="26"/>
          <w:rtl/>
        </w:rPr>
      </w:pPr>
      <w:r>
        <w:rPr>
          <w:rFonts w:hint="cs"/>
          <w:sz w:val="26"/>
          <w:szCs w:val="26"/>
          <w:rtl/>
        </w:rPr>
        <w:t xml:space="preserve">השירות הדגיש כי הנאשם אינו מגלה נכונות להירתם להליך טיפולי. </w:t>
      </w:r>
    </w:p>
    <w:p w14:paraId="537C8703" w14:textId="77777777" w:rsidR="00D07C67" w:rsidRDefault="00D07C67">
      <w:pPr>
        <w:spacing w:line="360" w:lineRule="auto"/>
        <w:jc w:val="both"/>
        <w:rPr>
          <w:sz w:val="26"/>
          <w:szCs w:val="26"/>
          <w:rtl/>
        </w:rPr>
      </w:pPr>
    </w:p>
    <w:p w14:paraId="6B546471" w14:textId="77777777" w:rsidR="00D07C67" w:rsidRDefault="00E47EA9">
      <w:pPr>
        <w:spacing w:line="360" w:lineRule="auto"/>
        <w:jc w:val="both"/>
        <w:rPr>
          <w:sz w:val="26"/>
          <w:szCs w:val="26"/>
          <w:rtl/>
        </w:rPr>
      </w:pPr>
      <w:r>
        <w:rPr>
          <w:rFonts w:hint="cs"/>
          <w:sz w:val="26"/>
          <w:szCs w:val="26"/>
          <w:rtl/>
        </w:rPr>
        <w:t>למרות האמור לעיל, נוכח הנסיבות הכוללות, ממליץ השירות להאריך את המאסר המותנה בעניינו של הנאשם ולתת בעניינו צו מבחן לשנה אחת.</w:t>
      </w:r>
    </w:p>
    <w:p w14:paraId="1F9E218A" w14:textId="77777777" w:rsidR="00D07C67" w:rsidRDefault="00D07C67">
      <w:pPr>
        <w:spacing w:line="360" w:lineRule="auto"/>
        <w:jc w:val="both"/>
        <w:rPr>
          <w:sz w:val="26"/>
          <w:szCs w:val="26"/>
          <w:rtl/>
        </w:rPr>
      </w:pPr>
    </w:p>
    <w:p w14:paraId="1079608F" w14:textId="77777777" w:rsidR="00D07C67" w:rsidRDefault="00E47EA9">
      <w:pPr>
        <w:spacing w:line="360" w:lineRule="auto"/>
        <w:jc w:val="both"/>
        <w:rPr>
          <w:sz w:val="26"/>
          <w:szCs w:val="26"/>
          <w:rtl/>
        </w:rPr>
      </w:pPr>
      <w:r>
        <w:rPr>
          <w:rFonts w:hint="cs"/>
          <w:sz w:val="26"/>
          <w:szCs w:val="26"/>
          <w:rtl/>
        </w:rPr>
        <w:t>לאחר שבחנתי את הנסיבות, הגעתי לידי מסקנה, כי אין מקום לקבל את המלצות שירות המבחן.</w:t>
      </w:r>
    </w:p>
    <w:p w14:paraId="1B7A14FC" w14:textId="77777777" w:rsidR="00D07C67" w:rsidRDefault="00D07C67">
      <w:pPr>
        <w:spacing w:line="360" w:lineRule="auto"/>
        <w:jc w:val="both"/>
        <w:rPr>
          <w:sz w:val="26"/>
          <w:szCs w:val="26"/>
          <w:rtl/>
        </w:rPr>
      </w:pPr>
    </w:p>
    <w:p w14:paraId="3583C284" w14:textId="77777777" w:rsidR="00D07C67" w:rsidRDefault="00E47EA9">
      <w:pPr>
        <w:spacing w:line="360" w:lineRule="auto"/>
        <w:jc w:val="both"/>
        <w:rPr>
          <w:sz w:val="26"/>
          <w:szCs w:val="26"/>
          <w:rtl/>
        </w:rPr>
      </w:pPr>
      <w:r>
        <w:rPr>
          <w:rFonts w:hint="cs"/>
          <w:sz w:val="26"/>
          <w:szCs w:val="26"/>
          <w:rtl/>
        </w:rPr>
        <w:lastRenderedPageBreak/>
        <w:t>הנאשם ביצע את עבירתו נשוא תיק זה לאחר שעבר הליך טיפולי בקהילה סגורה כשלחובתו מאסר מותנה ממושך. נוכח עברו הפלילי של הנאשם והתסקיר שבאופן מהותי אינו חיובי אין כל הצדקה להאריך את המאסר המותנה.</w:t>
      </w:r>
    </w:p>
    <w:p w14:paraId="1ACA19EC" w14:textId="77777777" w:rsidR="00D07C67" w:rsidRDefault="00D07C67">
      <w:pPr>
        <w:spacing w:line="360" w:lineRule="auto"/>
        <w:jc w:val="both"/>
        <w:rPr>
          <w:sz w:val="26"/>
          <w:szCs w:val="26"/>
          <w:rtl/>
        </w:rPr>
      </w:pPr>
    </w:p>
    <w:p w14:paraId="56512FA6" w14:textId="77777777" w:rsidR="00D07C67" w:rsidRDefault="00E47EA9">
      <w:pPr>
        <w:spacing w:line="360" w:lineRule="auto"/>
        <w:jc w:val="both"/>
        <w:rPr>
          <w:sz w:val="26"/>
          <w:szCs w:val="26"/>
          <w:rtl/>
        </w:rPr>
      </w:pPr>
      <w:r>
        <w:rPr>
          <w:rFonts w:hint="cs"/>
          <w:sz w:val="26"/>
          <w:szCs w:val="26"/>
          <w:rtl/>
        </w:rPr>
        <w:t>לאור האמור לעיל, אני מחליט להפעיל את המאסר המותנה בן 12 חודשים.</w:t>
      </w:r>
    </w:p>
    <w:p w14:paraId="039DE6FF" w14:textId="77777777" w:rsidR="00D07C67" w:rsidRDefault="00D07C67">
      <w:pPr>
        <w:spacing w:line="360" w:lineRule="auto"/>
        <w:jc w:val="both"/>
        <w:rPr>
          <w:sz w:val="26"/>
          <w:szCs w:val="26"/>
          <w:rtl/>
        </w:rPr>
      </w:pPr>
    </w:p>
    <w:p w14:paraId="5BB3897F" w14:textId="77777777" w:rsidR="00D07C67" w:rsidRDefault="00E47EA9">
      <w:pPr>
        <w:spacing w:line="360" w:lineRule="auto"/>
        <w:jc w:val="both"/>
        <w:rPr>
          <w:sz w:val="26"/>
          <w:szCs w:val="26"/>
          <w:rtl/>
        </w:rPr>
      </w:pPr>
      <w:r>
        <w:rPr>
          <w:rFonts w:hint="cs"/>
          <w:sz w:val="26"/>
          <w:szCs w:val="26"/>
          <w:rtl/>
        </w:rPr>
        <w:t xml:space="preserve">בבואי לגזור את עונשו של הנאשם התחשבתי בזמן שחלף מאז ביצוע העבירה ועד להגשת כתב האישום, שקלתי את נסיבותיו האישיות והמשפחתיות של הנאשם וכן את עברו הפלילי. </w:t>
      </w:r>
    </w:p>
    <w:p w14:paraId="11AEA435" w14:textId="77777777" w:rsidR="00D07C67" w:rsidRDefault="00D07C67">
      <w:pPr>
        <w:spacing w:line="360" w:lineRule="auto"/>
        <w:jc w:val="both"/>
        <w:rPr>
          <w:sz w:val="26"/>
          <w:szCs w:val="26"/>
          <w:rtl/>
        </w:rPr>
      </w:pPr>
    </w:p>
    <w:p w14:paraId="73DE3B46" w14:textId="77777777" w:rsidR="00D07C67" w:rsidRDefault="00E47EA9">
      <w:pPr>
        <w:spacing w:line="360" w:lineRule="auto"/>
        <w:jc w:val="both"/>
        <w:rPr>
          <w:sz w:val="26"/>
          <w:szCs w:val="26"/>
          <w:rtl/>
        </w:rPr>
      </w:pPr>
      <w:r>
        <w:rPr>
          <w:rFonts w:hint="cs"/>
          <w:sz w:val="26"/>
          <w:szCs w:val="26"/>
          <w:rtl/>
        </w:rPr>
        <w:t xml:space="preserve">לאחר בחינת מכלול הנסיבות, אני גוזר על הנאשם 14 חודשי מאסר מהם 6 חודשים לריצוי בפועל והיתרה על תנאי למשך שלוש שנים מיום שחרורו מבית הסוהר והתנאי הוא כי הנאשם לא יעבור עבירה לפי </w:t>
      </w:r>
      <w:hyperlink r:id="rId10" w:history="1">
        <w:r w:rsidRPr="00E47EA9">
          <w:rPr>
            <w:color w:val="0000FF"/>
            <w:sz w:val="26"/>
            <w:szCs w:val="26"/>
            <w:u w:val="single"/>
            <w:rtl/>
          </w:rPr>
          <w:t>פקודת הסמים המסוכנים</w:t>
        </w:r>
      </w:hyperlink>
      <w:r>
        <w:rPr>
          <w:rFonts w:hint="cs"/>
          <w:sz w:val="26"/>
          <w:szCs w:val="26"/>
          <w:rtl/>
        </w:rPr>
        <w:t>.</w:t>
      </w:r>
    </w:p>
    <w:p w14:paraId="2F94EB36" w14:textId="77777777" w:rsidR="00D07C67" w:rsidRDefault="00D07C67">
      <w:pPr>
        <w:spacing w:line="360" w:lineRule="auto"/>
        <w:jc w:val="both"/>
        <w:rPr>
          <w:sz w:val="26"/>
          <w:szCs w:val="26"/>
          <w:rtl/>
        </w:rPr>
      </w:pPr>
    </w:p>
    <w:p w14:paraId="7F1036FA" w14:textId="77777777" w:rsidR="00D07C67" w:rsidRDefault="00E47EA9">
      <w:pPr>
        <w:spacing w:line="360" w:lineRule="auto"/>
        <w:jc w:val="both"/>
        <w:rPr>
          <w:sz w:val="26"/>
          <w:szCs w:val="26"/>
          <w:rtl/>
        </w:rPr>
      </w:pPr>
      <w:r>
        <w:rPr>
          <w:rFonts w:hint="cs"/>
          <w:sz w:val="26"/>
          <w:szCs w:val="26"/>
          <w:rtl/>
        </w:rPr>
        <w:t xml:space="preserve">העונש המוטל והמופעל יצטברו כך שעל הנאשם יהיה לרצות 18 חודשי מאסר בפועל. </w:t>
      </w:r>
    </w:p>
    <w:p w14:paraId="2C1A1626" w14:textId="77777777" w:rsidR="00D07C67" w:rsidRDefault="00D07C67">
      <w:pPr>
        <w:spacing w:line="360" w:lineRule="auto"/>
        <w:jc w:val="both"/>
        <w:rPr>
          <w:sz w:val="26"/>
          <w:szCs w:val="26"/>
          <w:rtl/>
        </w:rPr>
      </w:pPr>
    </w:p>
    <w:p w14:paraId="7FD0770F" w14:textId="77777777" w:rsidR="00D07C67" w:rsidRDefault="00E47EA9">
      <w:pPr>
        <w:spacing w:line="360" w:lineRule="auto"/>
        <w:jc w:val="both"/>
        <w:rPr>
          <w:sz w:val="26"/>
          <w:szCs w:val="26"/>
          <w:rtl/>
        </w:rPr>
      </w:pPr>
      <w:r>
        <w:rPr>
          <w:rFonts w:hint="cs"/>
          <w:sz w:val="26"/>
          <w:szCs w:val="26"/>
          <w:rtl/>
        </w:rPr>
        <w:t xml:space="preserve">אני פוסל את הנאשם מלהחזיק ולקבל רישיון נהיגה למשך 6 חודשים. הפסילה תהיה על תנאי למשך שנתיים מיום שחרורו מבית הסוהר והתנאי הוא כי הנאשם לא יעבור עבירה לפי </w:t>
      </w:r>
      <w:hyperlink r:id="rId11" w:history="1">
        <w:r w:rsidRPr="00E47EA9">
          <w:rPr>
            <w:color w:val="0000FF"/>
            <w:sz w:val="26"/>
            <w:szCs w:val="26"/>
            <w:u w:val="single"/>
            <w:rtl/>
          </w:rPr>
          <w:t>פקודת הסמים המסוכנים</w:t>
        </w:r>
      </w:hyperlink>
      <w:r>
        <w:rPr>
          <w:rFonts w:hint="cs"/>
          <w:sz w:val="26"/>
          <w:szCs w:val="26"/>
          <w:rtl/>
        </w:rPr>
        <w:t xml:space="preserve">. </w:t>
      </w:r>
    </w:p>
    <w:p w14:paraId="7B7470AF" w14:textId="77777777" w:rsidR="00D07C67" w:rsidRDefault="00D07C67">
      <w:pPr>
        <w:spacing w:line="360" w:lineRule="auto"/>
        <w:jc w:val="both"/>
        <w:rPr>
          <w:sz w:val="26"/>
          <w:szCs w:val="26"/>
          <w:rtl/>
        </w:rPr>
      </w:pPr>
    </w:p>
    <w:p w14:paraId="3D13DBB1" w14:textId="77777777" w:rsidR="00D07C67" w:rsidRDefault="00E47EA9">
      <w:pPr>
        <w:spacing w:line="360" w:lineRule="auto"/>
        <w:jc w:val="both"/>
        <w:rPr>
          <w:sz w:val="26"/>
          <w:szCs w:val="26"/>
          <w:rtl/>
        </w:rPr>
      </w:pPr>
      <w:r>
        <w:rPr>
          <w:rFonts w:hint="cs"/>
          <w:sz w:val="26"/>
          <w:szCs w:val="26"/>
          <w:rtl/>
        </w:rPr>
        <w:t>הסמים יושמדו.</w:t>
      </w:r>
    </w:p>
    <w:p w14:paraId="3DDFE15A" w14:textId="77777777" w:rsidR="00D07C67" w:rsidRDefault="00D07C67">
      <w:pPr>
        <w:spacing w:line="360" w:lineRule="auto"/>
        <w:jc w:val="both"/>
        <w:rPr>
          <w:sz w:val="26"/>
          <w:szCs w:val="26"/>
          <w:rtl/>
        </w:rPr>
      </w:pPr>
    </w:p>
    <w:p w14:paraId="50D5218C" w14:textId="77777777" w:rsidR="00D07C67" w:rsidRDefault="00E47EA9">
      <w:pPr>
        <w:spacing w:line="360" w:lineRule="auto"/>
        <w:jc w:val="both"/>
        <w:rPr>
          <w:b/>
          <w:bCs/>
          <w:sz w:val="28"/>
          <w:szCs w:val="28"/>
        </w:rPr>
      </w:pPr>
      <w:r>
        <w:rPr>
          <w:rFonts w:hint="eastAsia"/>
          <w:b/>
          <w:bCs/>
          <w:sz w:val="26"/>
          <w:szCs w:val="26"/>
          <w:rtl/>
        </w:rPr>
        <w:t>נמסר</w:t>
      </w:r>
      <w:r>
        <w:rPr>
          <w:b/>
          <w:bCs/>
          <w:sz w:val="26"/>
          <w:szCs w:val="26"/>
          <w:rtl/>
        </w:rPr>
        <w:t xml:space="preserve"> על הזכות להגיש ערעור לביהמ"</w:t>
      </w:r>
      <w:r>
        <w:rPr>
          <w:rFonts w:hint="eastAsia"/>
          <w:b/>
          <w:bCs/>
          <w:sz w:val="26"/>
          <w:szCs w:val="26"/>
          <w:rtl/>
        </w:rPr>
        <w:t>ש</w:t>
      </w:r>
      <w:r>
        <w:rPr>
          <w:b/>
          <w:bCs/>
          <w:sz w:val="26"/>
          <w:szCs w:val="26"/>
          <w:rtl/>
        </w:rPr>
        <w:t xml:space="preserve"> המחוזי בתוך 45 </w:t>
      </w:r>
      <w:r>
        <w:rPr>
          <w:rFonts w:hint="eastAsia"/>
          <w:b/>
          <w:bCs/>
          <w:sz w:val="26"/>
          <w:szCs w:val="26"/>
          <w:rtl/>
        </w:rPr>
        <w:t>יום</w:t>
      </w:r>
      <w:r>
        <w:rPr>
          <w:b/>
          <w:bCs/>
          <w:sz w:val="26"/>
          <w:szCs w:val="26"/>
          <w:rtl/>
        </w:rPr>
        <w:t xml:space="preserve"> מהיום.</w:t>
      </w:r>
    </w:p>
    <w:p w14:paraId="1B74C843" w14:textId="77777777" w:rsidR="00D07C67" w:rsidRDefault="00D07C67">
      <w:pPr>
        <w:rPr>
          <w:rtl/>
        </w:rPr>
      </w:pPr>
    </w:p>
    <w:p w14:paraId="6A3361FE" w14:textId="77777777" w:rsidR="00D07C67" w:rsidRPr="00E47EA9" w:rsidRDefault="00E47EA9">
      <w:pPr>
        <w:rPr>
          <w:color w:val="FFFFFF"/>
          <w:sz w:val="2"/>
          <w:szCs w:val="2"/>
          <w:rtl/>
        </w:rPr>
      </w:pPr>
      <w:r w:rsidRPr="00E47EA9">
        <w:rPr>
          <w:color w:val="FFFFFF"/>
          <w:sz w:val="2"/>
          <w:szCs w:val="2"/>
          <w:rtl/>
        </w:rPr>
        <w:t>5129371</w:t>
      </w:r>
    </w:p>
    <w:p w14:paraId="50433B31" w14:textId="77777777" w:rsidR="00D07C67" w:rsidRDefault="00E47EA9">
      <w:pPr>
        <w:rPr>
          <w:rFonts w:cs="FrankRuehl"/>
          <w:sz w:val="28"/>
          <w:szCs w:val="28"/>
          <w:rtl/>
        </w:rPr>
      </w:pPr>
      <w:r w:rsidRPr="00E47EA9">
        <w:rPr>
          <w:rFonts w:ascii="Arial" w:hAnsi="Arial"/>
          <w:color w:val="FFFFFF"/>
          <w:sz w:val="2"/>
          <w:szCs w:val="2"/>
          <w:rtl/>
        </w:rPr>
        <w:t>54678313</w:t>
      </w:r>
      <w:r>
        <w:rPr>
          <w:rFonts w:ascii="Arial" w:hAnsi="Arial"/>
          <w:rtl/>
        </w:rPr>
        <w:t xml:space="preserve">ניתן היום,  ח' תשרי תשע"ה, 02 אוקטובר 2014, בהעדר הצדדים. </w:t>
      </w:r>
    </w:p>
    <w:p w14:paraId="3E42B28C" w14:textId="77777777" w:rsidR="00D07C67" w:rsidRDefault="00E47EA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FC88658" w14:textId="77777777" w:rsidR="00D07C67" w:rsidRDefault="00D07C67">
      <w:pPr>
        <w:jc w:val="center"/>
        <w:rPr>
          <w:rFonts w:ascii="Arial" w:hAnsi="Arial" w:cs="FrankRuehl"/>
          <w:sz w:val="28"/>
          <w:szCs w:val="28"/>
          <w:rtl/>
        </w:rPr>
      </w:pPr>
    </w:p>
    <w:p w14:paraId="6AD69D81" w14:textId="77777777" w:rsidR="00D07C67" w:rsidRDefault="00D07C67">
      <w:pPr>
        <w:rPr>
          <w:rFonts w:cs="FrankRuehl"/>
          <w:sz w:val="28"/>
          <w:szCs w:val="28"/>
          <w:rtl/>
        </w:rPr>
      </w:pPr>
    </w:p>
    <w:p w14:paraId="46655F44" w14:textId="77777777" w:rsidR="00D07C67" w:rsidRDefault="00D07C67">
      <w:pPr>
        <w:pStyle w:val="a3"/>
        <w:jc w:val="center"/>
        <w:rPr>
          <w:rtl/>
        </w:rPr>
      </w:pPr>
    </w:p>
    <w:p w14:paraId="3A0481DB" w14:textId="77777777" w:rsidR="00E47EA9" w:rsidRPr="00E47EA9" w:rsidRDefault="00E47EA9" w:rsidP="00E47EA9">
      <w:pPr>
        <w:keepNext/>
        <w:rPr>
          <w:rFonts w:ascii="David" w:hAnsi="David"/>
          <w:color w:val="000000"/>
          <w:sz w:val="22"/>
          <w:szCs w:val="22"/>
          <w:rtl/>
        </w:rPr>
      </w:pPr>
    </w:p>
    <w:p w14:paraId="59F67357" w14:textId="77777777" w:rsidR="00E47EA9" w:rsidRPr="00E47EA9" w:rsidRDefault="00E47EA9" w:rsidP="00E47EA9">
      <w:pPr>
        <w:keepNext/>
        <w:rPr>
          <w:rFonts w:ascii="David" w:hAnsi="David"/>
          <w:color w:val="000000"/>
          <w:sz w:val="22"/>
          <w:szCs w:val="22"/>
          <w:rtl/>
        </w:rPr>
      </w:pPr>
      <w:r w:rsidRPr="00E47EA9">
        <w:rPr>
          <w:rFonts w:ascii="David" w:hAnsi="David"/>
          <w:color w:val="000000"/>
          <w:sz w:val="22"/>
          <w:szCs w:val="22"/>
          <w:rtl/>
        </w:rPr>
        <w:t>דניאל בארי 54678313</w:t>
      </w:r>
    </w:p>
    <w:p w14:paraId="5EB3C711" w14:textId="77777777" w:rsidR="00E47EA9" w:rsidRDefault="00E47EA9" w:rsidP="00E47EA9">
      <w:r w:rsidRPr="00E47EA9">
        <w:rPr>
          <w:color w:val="000000"/>
          <w:rtl/>
        </w:rPr>
        <w:t>נוסח מסמך זה כפוף לשינויי ניסוח ועריכה</w:t>
      </w:r>
    </w:p>
    <w:p w14:paraId="31E8B7AF" w14:textId="77777777" w:rsidR="00E47EA9" w:rsidRDefault="00E47EA9" w:rsidP="00E47EA9">
      <w:pPr>
        <w:rPr>
          <w:rtl/>
        </w:rPr>
      </w:pPr>
    </w:p>
    <w:p w14:paraId="47DB8C9D" w14:textId="77777777" w:rsidR="00E47EA9" w:rsidRDefault="00E47EA9" w:rsidP="00E47EA9">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4CAE4D48" w14:textId="77777777" w:rsidR="00D07C67" w:rsidRPr="00E47EA9" w:rsidRDefault="00D07C67" w:rsidP="00E47EA9">
      <w:pPr>
        <w:jc w:val="center"/>
        <w:rPr>
          <w:color w:val="0000FF"/>
          <w:u w:val="single"/>
        </w:rPr>
      </w:pPr>
    </w:p>
    <w:sectPr w:rsidR="00D07C67" w:rsidRPr="00E47EA9" w:rsidSect="00E47EA9">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31BB1" w14:textId="77777777" w:rsidR="008B4AB9" w:rsidRPr="003B4242" w:rsidRDefault="008B4AB9">
      <w:pPr>
        <w:rPr>
          <w:rFonts w:cs="Arial"/>
          <w:szCs w:val="20"/>
        </w:rPr>
      </w:pPr>
      <w:r>
        <w:separator/>
      </w:r>
    </w:p>
  </w:endnote>
  <w:endnote w:type="continuationSeparator" w:id="0">
    <w:p w14:paraId="52F3032B" w14:textId="77777777" w:rsidR="008B4AB9" w:rsidRPr="003B4242" w:rsidRDefault="008B4AB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3D80" w14:textId="77777777" w:rsidR="00E47EA9" w:rsidRDefault="00E47EA9" w:rsidP="00E47EA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8E3BD4" w14:textId="77777777" w:rsidR="00D07C67" w:rsidRPr="00E47EA9" w:rsidRDefault="00E47EA9" w:rsidP="00E47EA9">
    <w:pPr>
      <w:pStyle w:val="a4"/>
      <w:pBdr>
        <w:top w:val="single" w:sz="4" w:space="1" w:color="auto"/>
        <w:between w:val="single" w:sz="4" w:space="0" w:color="auto"/>
      </w:pBdr>
      <w:spacing w:after="60"/>
      <w:jc w:val="center"/>
      <w:rPr>
        <w:rFonts w:ascii="FrankRuehl" w:hAnsi="FrankRuehl" w:cs="FrankRuehl"/>
        <w:color w:val="000000"/>
      </w:rPr>
    </w:pPr>
    <w:r w:rsidRPr="00E47E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4DBF" w14:textId="77777777" w:rsidR="00E47EA9" w:rsidRDefault="00E47EA9" w:rsidP="00E47EA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0543">
      <w:rPr>
        <w:rFonts w:ascii="FrankRuehl" w:hAnsi="FrankRuehl" w:cs="FrankRuehl"/>
        <w:noProof/>
        <w:rtl/>
      </w:rPr>
      <w:t>3</w:t>
    </w:r>
    <w:r>
      <w:rPr>
        <w:rFonts w:ascii="FrankRuehl" w:hAnsi="FrankRuehl" w:cs="FrankRuehl"/>
        <w:rtl/>
      </w:rPr>
      <w:fldChar w:fldCharType="end"/>
    </w:r>
  </w:p>
  <w:p w14:paraId="66377093" w14:textId="77777777" w:rsidR="00D07C67" w:rsidRPr="00E47EA9" w:rsidRDefault="00E47EA9" w:rsidP="00E47EA9">
    <w:pPr>
      <w:pStyle w:val="a4"/>
      <w:pBdr>
        <w:top w:val="single" w:sz="4" w:space="1" w:color="auto"/>
        <w:between w:val="single" w:sz="4" w:space="0" w:color="auto"/>
      </w:pBdr>
      <w:spacing w:after="60"/>
      <w:jc w:val="center"/>
      <w:rPr>
        <w:rFonts w:ascii="FrankRuehl" w:hAnsi="FrankRuehl" w:cs="FrankRuehl"/>
        <w:color w:val="000000"/>
      </w:rPr>
    </w:pPr>
    <w:r w:rsidRPr="00E47EA9">
      <w:rPr>
        <w:rFonts w:ascii="FrankRuehl" w:hAnsi="FrankRuehl" w:cs="FrankRuehl"/>
        <w:color w:val="000000"/>
      </w:rPr>
      <w:pict w14:anchorId="3BBEE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04ECE" w14:textId="77777777" w:rsidR="008B4AB9" w:rsidRPr="003B4242" w:rsidRDefault="008B4AB9">
      <w:pPr>
        <w:rPr>
          <w:rFonts w:cs="Arial"/>
          <w:szCs w:val="20"/>
        </w:rPr>
      </w:pPr>
      <w:r>
        <w:separator/>
      </w:r>
    </w:p>
  </w:footnote>
  <w:footnote w:type="continuationSeparator" w:id="0">
    <w:p w14:paraId="0CAA5F63" w14:textId="77777777" w:rsidR="008B4AB9" w:rsidRPr="003B4242" w:rsidRDefault="008B4AB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52D47" w14:textId="77777777" w:rsidR="00E47EA9" w:rsidRPr="00E47EA9" w:rsidRDefault="00E47EA9" w:rsidP="00E47E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24440-10-12</w:t>
    </w:r>
    <w:r>
      <w:rPr>
        <w:rFonts w:ascii="David" w:hAnsi="David"/>
        <w:color w:val="000000"/>
        <w:sz w:val="22"/>
        <w:szCs w:val="22"/>
        <w:rtl/>
      </w:rPr>
      <w:tab/>
      <w:t xml:space="preserve"> מדינת ישראל נ' עמוס בוקובזה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3FEE0" w14:textId="77777777" w:rsidR="00E47EA9" w:rsidRPr="00E47EA9" w:rsidRDefault="00E47EA9" w:rsidP="00E47E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24440-10-12</w:t>
    </w:r>
    <w:r>
      <w:rPr>
        <w:rFonts w:ascii="David" w:hAnsi="David"/>
        <w:color w:val="000000"/>
        <w:sz w:val="22"/>
        <w:szCs w:val="22"/>
        <w:rtl/>
      </w:rPr>
      <w:tab/>
      <w:t xml:space="preserve"> מדינת ישראל נ' עמוס בוקובזה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7C67"/>
    <w:rsid w:val="00700543"/>
    <w:rsid w:val="008B4AB9"/>
    <w:rsid w:val="008F208A"/>
    <w:rsid w:val="009051B8"/>
    <w:rsid w:val="00C87157"/>
    <w:rsid w:val="00D07C67"/>
    <w:rsid w:val="00E47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7BF6A6"/>
  <w15:chartTrackingRefBased/>
  <w15:docId w15:val="{AD4EB190-FC1A-4F78-B0E8-F9DADE7F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7C6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07C67"/>
    <w:pPr>
      <w:tabs>
        <w:tab w:val="center" w:pos="4153"/>
        <w:tab w:val="right" w:pos="8306"/>
      </w:tabs>
    </w:pPr>
  </w:style>
  <w:style w:type="paragraph" w:styleId="a4">
    <w:name w:val="footer"/>
    <w:basedOn w:val="a"/>
    <w:rsid w:val="00D07C67"/>
    <w:pPr>
      <w:tabs>
        <w:tab w:val="center" w:pos="4153"/>
        <w:tab w:val="right" w:pos="8306"/>
      </w:tabs>
    </w:pPr>
  </w:style>
  <w:style w:type="character" w:styleId="a5">
    <w:name w:val="page number"/>
    <w:basedOn w:val="a0"/>
    <w:rsid w:val="00D07C67"/>
  </w:style>
  <w:style w:type="character" w:styleId="Hyperlink">
    <w:name w:val="Hyperlink"/>
    <w:basedOn w:val="a0"/>
    <w:rsid w:val="00E47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7.a.c."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2978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3566</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2025-04-22T21:49:00Z</dcterms:created>
  <dcterms:modified xsi:type="dcterms:W3CDTF">2025-04-22T21:49:00Z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24440</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עמוס בוקובזה</vt:lpwstr>
  </property>
  <property fmtid="{D5CDD505-2E9C-101B-9397-08002B2CF9AE}" pid="10" name="LAWYER">
    <vt:lpwstr>צלי פלג;ונטורה</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20141002</vt:lpwstr>
  </property>
  <property fmtid="{D5CDD505-2E9C-101B-9397-08002B2CF9AE}" pid="14" name="TYPE_N_DATE">
    <vt:lpwstr>38020141002</vt:lpwstr>
  </property>
  <property fmtid="{D5CDD505-2E9C-101B-9397-08002B2CF9AE}" pid="15" name="CASENOTES1">
    <vt:lpwstr>ProcID=209&amp;PartA=718&amp;PartC=06</vt:lpwstr>
  </property>
  <property fmtid="{D5CDD505-2E9C-101B-9397-08002B2CF9AE}" pid="16" name="WORDNUMPAGES">
    <vt:lpwstr>3</vt:lpwstr>
  </property>
  <property fmtid="{D5CDD505-2E9C-101B-9397-08002B2CF9AE}" pid="17" name="TYPE_ABS_DATE">
    <vt:lpwstr>380020141002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4216/007.a.c.</vt:lpwstr>
  </property>
</Properties>
</file>