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A7A58" w:rsidRPr="00B26814" w14:paraId="53B05DF2" w14:textId="77777777">
        <w:trPr>
          <w:trHeight w:hRule="exact" w:val="418"/>
          <w:jc w:val="center"/>
        </w:trPr>
        <w:tc>
          <w:tcPr>
            <w:tcW w:w="8721" w:type="dxa"/>
            <w:gridSpan w:val="2"/>
          </w:tcPr>
          <w:p w14:paraId="003A3282" w14:textId="77777777" w:rsidR="00FA7A58" w:rsidRPr="00B26814" w:rsidRDefault="00B26814">
            <w:pPr>
              <w:pStyle w:val="a3"/>
              <w:jc w:val="center"/>
              <w:rPr>
                <w:rFonts w:ascii="Tahoma" w:hAnsi="Tahoma" w:cs="Tahoma"/>
                <w:color w:val="000080"/>
                <w:rtl/>
              </w:rPr>
            </w:pPr>
            <w:bookmarkStart w:id="0" w:name="LastJudge"/>
            <w:r w:rsidRPr="00B26814">
              <w:rPr>
                <w:rFonts w:ascii="Tahoma" w:hAnsi="Tahoma" w:cs="Tahoma"/>
                <w:b/>
                <w:bCs/>
                <w:color w:val="000080"/>
                <w:rtl/>
              </w:rPr>
              <w:t>בית משפט השלום בפתח תקווה</w:t>
            </w:r>
          </w:p>
        </w:tc>
      </w:tr>
      <w:tr w:rsidR="00FA7A58" w:rsidRPr="00B26814" w14:paraId="3C47747D" w14:textId="77777777">
        <w:trPr>
          <w:trHeight w:val="337"/>
          <w:jc w:val="center"/>
        </w:trPr>
        <w:tc>
          <w:tcPr>
            <w:tcW w:w="5054" w:type="dxa"/>
          </w:tcPr>
          <w:p w14:paraId="3010FA03" w14:textId="77777777" w:rsidR="00FA7A58" w:rsidRPr="00B26814" w:rsidRDefault="00B26814">
            <w:pPr>
              <w:rPr>
                <w:rFonts w:cs="FrankRuehl"/>
                <w:sz w:val="28"/>
                <w:szCs w:val="28"/>
                <w:rtl/>
              </w:rPr>
            </w:pPr>
            <w:r w:rsidRPr="00B26814">
              <w:rPr>
                <w:rFonts w:cs="FrankRuehl"/>
                <w:sz w:val="28"/>
                <w:szCs w:val="28"/>
                <w:rtl/>
              </w:rPr>
              <w:t>ת"פ</w:t>
            </w:r>
            <w:r w:rsidRPr="00B26814">
              <w:rPr>
                <w:rFonts w:cs="FrankRuehl" w:hint="cs"/>
                <w:sz w:val="28"/>
                <w:szCs w:val="28"/>
                <w:rtl/>
              </w:rPr>
              <w:t xml:space="preserve"> </w:t>
            </w:r>
            <w:r w:rsidRPr="00B26814">
              <w:rPr>
                <w:rFonts w:cs="FrankRuehl"/>
                <w:sz w:val="28"/>
                <w:szCs w:val="28"/>
                <w:rtl/>
              </w:rPr>
              <w:t>36558-10-12</w:t>
            </w:r>
            <w:r w:rsidRPr="00B26814">
              <w:rPr>
                <w:rFonts w:cs="FrankRuehl" w:hint="cs"/>
                <w:sz w:val="28"/>
                <w:szCs w:val="28"/>
                <w:rtl/>
              </w:rPr>
              <w:t xml:space="preserve"> </w:t>
            </w:r>
            <w:r w:rsidRPr="00B26814">
              <w:rPr>
                <w:rFonts w:cs="FrankRuehl"/>
                <w:sz w:val="28"/>
                <w:szCs w:val="28"/>
                <w:rtl/>
              </w:rPr>
              <w:t>מדינת ישראל נ' הוד</w:t>
            </w:r>
          </w:p>
          <w:p w14:paraId="165418F0" w14:textId="77777777" w:rsidR="00FA7A58" w:rsidRPr="00B26814" w:rsidRDefault="00FA7A58">
            <w:pPr>
              <w:pStyle w:val="a3"/>
              <w:rPr>
                <w:rFonts w:cs="FrankRuehl"/>
                <w:sz w:val="28"/>
                <w:szCs w:val="28"/>
                <w:rtl/>
              </w:rPr>
            </w:pPr>
          </w:p>
        </w:tc>
        <w:tc>
          <w:tcPr>
            <w:tcW w:w="3667" w:type="dxa"/>
          </w:tcPr>
          <w:p w14:paraId="334D6C7B" w14:textId="77777777" w:rsidR="00FA7A58" w:rsidRPr="00B26814" w:rsidRDefault="00FA7A58">
            <w:pPr>
              <w:pStyle w:val="a3"/>
              <w:jc w:val="right"/>
              <w:rPr>
                <w:rFonts w:cs="FrankRuehl"/>
                <w:sz w:val="28"/>
                <w:szCs w:val="28"/>
                <w:rtl/>
              </w:rPr>
            </w:pPr>
          </w:p>
        </w:tc>
      </w:tr>
    </w:tbl>
    <w:p w14:paraId="1C4CB608" w14:textId="77777777" w:rsidR="00FA7A58" w:rsidRPr="00B26814" w:rsidRDefault="00B26814">
      <w:pPr>
        <w:pStyle w:val="a3"/>
        <w:rPr>
          <w:rtl/>
        </w:rPr>
      </w:pPr>
      <w:r w:rsidRPr="00B2681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A7A58" w:rsidRPr="00B26814" w14:paraId="447C1F15" w14:textId="77777777">
        <w:trPr>
          <w:trHeight w:val="295"/>
          <w:jc w:val="center"/>
        </w:trPr>
        <w:tc>
          <w:tcPr>
            <w:tcW w:w="923" w:type="dxa"/>
            <w:tcBorders>
              <w:top w:val="nil"/>
              <w:left w:val="nil"/>
              <w:bottom w:val="nil"/>
              <w:right w:val="nil"/>
            </w:tcBorders>
          </w:tcPr>
          <w:p w14:paraId="45F0037C" w14:textId="77777777" w:rsidR="00FA7A58" w:rsidRPr="00B26814" w:rsidRDefault="00B26814">
            <w:pPr>
              <w:jc w:val="both"/>
              <w:rPr>
                <w:rFonts w:ascii="Arial" w:hAnsi="Arial"/>
                <w:b/>
                <w:bCs/>
                <w:sz w:val="26"/>
                <w:szCs w:val="26"/>
              </w:rPr>
            </w:pPr>
            <w:r w:rsidRPr="00B26814">
              <w:rPr>
                <w:rFonts w:ascii="Arial" w:hAnsi="Arial" w:hint="cs"/>
                <w:b/>
                <w:bCs/>
                <w:sz w:val="26"/>
                <w:szCs w:val="26"/>
                <w:rtl/>
              </w:rPr>
              <w:t>ב</w:t>
            </w:r>
            <w:r w:rsidRPr="00B26814">
              <w:rPr>
                <w:rFonts w:ascii="Arial" w:hAnsi="Arial"/>
                <w:b/>
                <w:bCs/>
                <w:sz w:val="26"/>
                <w:szCs w:val="26"/>
                <w:rtl/>
              </w:rPr>
              <w:t xml:space="preserve">פני </w:t>
            </w:r>
          </w:p>
        </w:tc>
        <w:tc>
          <w:tcPr>
            <w:tcW w:w="7897" w:type="dxa"/>
            <w:gridSpan w:val="2"/>
            <w:tcBorders>
              <w:top w:val="nil"/>
              <w:left w:val="nil"/>
              <w:bottom w:val="nil"/>
              <w:right w:val="nil"/>
            </w:tcBorders>
          </w:tcPr>
          <w:p w14:paraId="23C276D4" w14:textId="77777777" w:rsidR="00FA7A58" w:rsidRPr="00B26814" w:rsidRDefault="00B26814" w:rsidP="004C0010">
            <w:pPr>
              <w:rPr>
                <w:sz w:val="26"/>
                <w:szCs w:val="26"/>
                <w:rtl/>
              </w:rPr>
            </w:pPr>
            <w:r w:rsidRPr="00B26814">
              <w:rPr>
                <w:rFonts w:ascii="Arial" w:hAnsi="Arial" w:hint="cs"/>
                <w:b/>
                <w:bCs/>
                <w:sz w:val="26"/>
                <w:szCs w:val="26"/>
                <w:rtl/>
              </w:rPr>
              <w:t>כב' ה</w:t>
            </w:r>
            <w:r w:rsidRPr="00B26814">
              <w:rPr>
                <w:rFonts w:hint="cs"/>
                <w:sz w:val="26"/>
                <w:szCs w:val="26"/>
                <w:rtl/>
              </w:rPr>
              <w:t>שופטת</w:t>
            </w:r>
            <w:r w:rsidRPr="00B26814">
              <w:rPr>
                <w:rFonts w:ascii="Arial" w:hAnsi="Arial" w:hint="cs"/>
                <w:b/>
                <w:bCs/>
                <w:sz w:val="26"/>
                <w:szCs w:val="26"/>
                <w:rtl/>
              </w:rPr>
              <w:t xml:space="preserve">  </w:t>
            </w:r>
            <w:r w:rsidRPr="00B26814">
              <w:rPr>
                <w:rFonts w:hint="cs"/>
                <w:sz w:val="26"/>
                <w:szCs w:val="26"/>
                <w:rtl/>
              </w:rPr>
              <w:t>ניצה מימון שעשוע</w:t>
            </w:r>
          </w:p>
          <w:p w14:paraId="76556121" w14:textId="77777777" w:rsidR="00FA7A58" w:rsidRPr="00B26814" w:rsidRDefault="00FA7A58">
            <w:pPr>
              <w:jc w:val="both"/>
              <w:rPr>
                <w:rFonts w:ascii="Arial" w:hAnsi="Arial" w:cs="FrankRuehl"/>
                <w:sz w:val="26"/>
                <w:szCs w:val="26"/>
              </w:rPr>
            </w:pPr>
          </w:p>
        </w:tc>
      </w:tr>
      <w:tr w:rsidR="00FA7A58" w:rsidRPr="00B26814" w14:paraId="063EAC5F" w14:textId="77777777">
        <w:trPr>
          <w:trHeight w:val="355"/>
          <w:jc w:val="center"/>
        </w:trPr>
        <w:tc>
          <w:tcPr>
            <w:tcW w:w="923" w:type="dxa"/>
            <w:tcBorders>
              <w:top w:val="nil"/>
              <w:left w:val="nil"/>
              <w:bottom w:val="nil"/>
              <w:right w:val="nil"/>
            </w:tcBorders>
          </w:tcPr>
          <w:p w14:paraId="68C13847" w14:textId="77777777" w:rsidR="00FA7A58" w:rsidRPr="00B26814" w:rsidRDefault="00B26814">
            <w:pPr>
              <w:spacing w:line="360" w:lineRule="auto"/>
              <w:jc w:val="both"/>
              <w:rPr>
                <w:rFonts w:ascii="Arial" w:hAnsi="Arial"/>
                <w:b/>
                <w:bCs/>
                <w:sz w:val="26"/>
                <w:szCs w:val="26"/>
              </w:rPr>
            </w:pPr>
            <w:bookmarkStart w:id="1" w:name="FirstAppellant"/>
            <w:r w:rsidRPr="00B26814">
              <w:rPr>
                <w:rFonts w:ascii="Arial" w:hAnsi="Arial" w:hint="cs"/>
                <w:b/>
                <w:bCs/>
                <w:sz w:val="26"/>
                <w:szCs w:val="26"/>
                <w:rtl/>
              </w:rPr>
              <w:t>בעניין:</w:t>
            </w:r>
          </w:p>
        </w:tc>
        <w:tc>
          <w:tcPr>
            <w:tcW w:w="4126" w:type="dxa"/>
            <w:tcBorders>
              <w:top w:val="nil"/>
              <w:left w:val="nil"/>
              <w:bottom w:val="nil"/>
              <w:right w:val="nil"/>
            </w:tcBorders>
          </w:tcPr>
          <w:p w14:paraId="5798D8DA" w14:textId="77777777" w:rsidR="00FA7A58" w:rsidRPr="00B26814" w:rsidRDefault="00B26814">
            <w:pPr>
              <w:spacing w:line="360" w:lineRule="auto"/>
              <w:rPr>
                <w:b/>
                <w:bCs/>
                <w:sz w:val="26"/>
                <w:szCs w:val="26"/>
              </w:rPr>
            </w:pPr>
            <w:r w:rsidRPr="00B26814">
              <w:rPr>
                <w:rFonts w:hint="cs"/>
                <w:b/>
                <w:bCs/>
                <w:sz w:val="26"/>
                <w:szCs w:val="26"/>
                <w:rtl/>
              </w:rPr>
              <w:t xml:space="preserve">                  מדינת ישראל</w:t>
            </w:r>
          </w:p>
        </w:tc>
        <w:tc>
          <w:tcPr>
            <w:tcW w:w="3771" w:type="dxa"/>
            <w:tcBorders>
              <w:top w:val="nil"/>
              <w:left w:val="nil"/>
              <w:bottom w:val="nil"/>
              <w:right w:val="nil"/>
            </w:tcBorders>
          </w:tcPr>
          <w:p w14:paraId="1DC413F7" w14:textId="77777777" w:rsidR="00FA7A58" w:rsidRPr="00B26814" w:rsidRDefault="00FA7A58">
            <w:pPr>
              <w:spacing w:line="360" w:lineRule="auto"/>
              <w:jc w:val="both"/>
              <w:rPr>
                <w:rFonts w:ascii="Arial" w:hAnsi="Arial"/>
                <w:b/>
                <w:bCs/>
                <w:sz w:val="26"/>
                <w:szCs w:val="26"/>
              </w:rPr>
            </w:pPr>
          </w:p>
        </w:tc>
      </w:tr>
      <w:bookmarkEnd w:id="1"/>
      <w:tr w:rsidR="00FA7A58" w:rsidRPr="00B26814" w14:paraId="28F9CBC9" w14:textId="77777777">
        <w:trPr>
          <w:trHeight w:val="355"/>
          <w:jc w:val="center"/>
        </w:trPr>
        <w:tc>
          <w:tcPr>
            <w:tcW w:w="923" w:type="dxa"/>
            <w:tcBorders>
              <w:top w:val="nil"/>
              <w:left w:val="nil"/>
              <w:bottom w:val="nil"/>
              <w:right w:val="nil"/>
            </w:tcBorders>
          </w:tcPr>
          <w:p w14:paraId="2D67707C" w14:textId="77777777" w:rsidR="00FA7A58" w:rsidRPr="00B26814" w:rsidRDefault="00FA7A58">
            <w:pPr>
              <w:spacing w:line="360" w:lineRule="auto"/>
              <w:jc w:val="both"/>
              <w:rPr>
                <w:rFonts w:ascii="Arial" w:hAnsi="Arial"/>
                <w:b/>
                <w:bCs/>
                <w:sz w:val="26"/>
                <w:szCs w:val="26"/>
                <w:rtl/>
              </w:rPr>
            </w:pPr>
          </w:p>
        </w:tc>
        <w:tc>
          <w:tcPr>
            <w:tcW w:w="4126" w:type="dxa"/>
            <w:tcBorders>
              <w:top w:val="nil"/>
              <w:left w:val="nil"/>
              <w:bottom w:val="nil"/>
              <w:right w:val="nil"/>
            </w:tcBorders>
          </w:tcPr>
          <w:p w14:paraId="745312D2" w14:textId="77777777" w:rsidR="00FA7A58" w:rsidRPr="00B26814" w:rsidRDefault="00FA7A58">
            <w:pPr>
              <w:spacing w:line="360" w:lineRule="auto"/>
              <w:jc w:val="both"/>
              <w:rPr>
                <w:b/>
                <w:bCs/>
                <w:sz w:val="26"/>
                <w:szCs w:val="26"/>
                <w:rtl/>
              </w:rPr>
            </w:pPr>
          </w:p>
        </w:tc>
        <w:tc>
          <w:tcPr>
            <w:tcW w:w="3771" w:type="dxa"/>
            <w:tcBorders>
              <w:top w:val="nil"/>
              <w:left w:val="nil"/>
              <w:bottom w:val="nil"/>
              <w:right w:val="nil"/>
            </w:tcBorders>
          </w:tcPr>
          <w:p w14:paraId="3205F0F6" w14:textId="77777777" w:rsidR="00FA7A58" w:rsidRPr="00B26814" w:rsidRDefault="00B26814">
            <w:pPr>
              <w:spacing w:line="360" w:lineRule="auto"/>
              <w:rPr>
                <w:rFonts w:ascii="Arial" w:hAnsi="Arial"/>
                <w:b/>
                <w:bCs/>
                <w:sz w:val="26"/>
                <w:szCs w:val="26"/>
                <w:rtl/>
              </w:rPr>
            </w:pPr>
            <w:r w:rsidRPr="00B26814">
              <w:rPr>
                <w:rFonts w:ascii="Arial" w:hAnsi="Arial" w:hint="cs"/>
                <w:b/>
                <w:bCs/>
                <w:sz w:val="26"/>
                <w:szCs w:val="26"/>
                <w:rtl/>
              </w:rPr>
              <w:t xml:space="preserve">                        ה</w:t>
            </w:r>
            <w:r w:rsidRPr="00B26814">
              <w:rPr>
                <w:rFonts w:hint="cs"/>
                <w:b/>
                <w:bCs/>
                <w:sz w:val="26"/>
                <w:szCs w:val="26"/>
                <w:rtl/>
              </w:rPr>
              <w:t>מאשימה</w:t>
            </w:r>
          </w:p>
        </w:tc>
      </w:tr>
      <w:tr w:rsidR="00FA7A58" w:rsidRPr="00B26814" w14:paraId="6B544550" w14:textId="77777777">
        <w:trPr>
          <w:trHeight w:val="355"/>
          <w:jc w:val="center"/>
        </w:trPr>
        <w:tc>
          <w:tcPr>
            <w:tcW w:w="923" w:type="dxa"/>
            <w:tcBorders>
              <w:top w:val="nil"/>
              <w:left w:val="nil"/>
              <w:bottom w:val="nil"/>
              <w:right w:val="nil"/>
            </w:tcBorders>
          </w:tcPr>
          <w:p w14:paraId="120B9D43" w14:textId="77777777" w:rsidR="00FA7A58" w:rsidRPr="00B26814" w:rsidRDefault="00FA7A58">
            <w:pPr>
              <w:spacing w:line="360" w:lineRule="auto"/>
              <w:jc w:val="both"/>
              <w:rPr>
                <w:rFonts w:ascii="Arial" w:hAnsi="Arial"/>
                <w:b/>
                <w:bCs/>
                <w:sz w:val="26"/>
                <w:szCs w:val="26"/>
                <w:rtl/>
              </w:rPr>
            </w:pPr>
          </w:p>
        </w:tc>
        <w:tc>
          <w:tcPr>
            <w:tcW w:w="7897" w:type="dxa"/>
            <w:gridSpan w:val="2"/>
            <w:tcBorders>
              <w:top w:val="nil"/>
              <w:left w:val="nil"/>
              <w:bottom w:val="nil"/>
              <w:right w:val="nil"/>
            </w:tcBorders>
          </w:tcPr>
          <w:p w14:paraId="629CD281" w14:textId="77777777" w:rsidR="00FA7A58" w:rsidRPr="00B26814" w:rsidRDefault="00FA7A58">
            <w:pPr>
              <w:spacing w:line="360" w:lineRule="auto"/>
              <w:jc w:val="center"/>
              <w:rPr>
                <w:rFonts w:ascii="Arial" w:hAnsi="Arial"/>
                <w:b/>
                <w:bCs/>
                <w:sz w:val="26"/>
                <w:szCs w:val="26"/>
                <w:rtl/>
              </w:rPr>
            </w:pPr>
          </w:p>
          <w:p w14:paraId="35447D6C" w14:textId="77777777" w:rsidR="00FA7A58" w:rsidRPr="00B26814" w:rsidRDefault="00B26814">
            <w:pPr>
              <w:spacing w:line="360" w:lineRule="auto"/>
              <w:jc w:val="center"/>
              <w:rPr>
                <w:rFonts w:ascii="Arial" w:hAnsi="Arial"/>
                <w:b/>
                <w:bCs/>
                <w:sz w:val="26"/>
                <w:szCs w:val="26"/>
                <w:rtl/>
              </w:rPr>
            </w:pPr>
            <w:r w:rsidRPr="00B26814">
              <w:rPr>
                <w:rFonts w:ascii="Arial" w:hAnsi="Arial"/>
                <w:b/>
                <w:bCs/>
                <w:sz w:val="26"/>
                <w:szCs w:val="26"/>
                <w:rtl/>
              </w:rPr>
              <w:t>נגד</w:t>
            </w:r>
          </w:p>
          <w:p w14:paraId="1F8C7AEB" w14:textId="77777777" w:rsidR="00FA7A58" w:rsidRPr="00B26814" w:rsidRDefault="00FA7A58">
            <w:pPr>
              <w:spacing w:line="360" w:lineRule="auto"/>
              <w:jc w:val="both"/>
              <w:rPr>
                <w:rFonts w:ascii="Arial" w:hAnsi="Arial"/>
                <w:b/>
                <w:bCs/>
                <w:sz w:val="26"/>
                <w:szCs w:val="26"/>
              </w:rPr>
            </w:pPr>
          </w:p>
        </w:tc>
      </w:tr>
      <w:tr w:rsidR="00FA7A58" w:rsidRPr="00B26814" w14:paraId="5F7AC572" w14:textId="77777777">
        <w:trPr>
          <w:trHeight w:val="355"/>
          <w:jc w:val="center"/>
        </w:trPr>
        <w:tc>
          <w:tcPr>
            <w:tcW w:w="923" w:type="dxa"/>
            <w:tcBorders>
              <w:top w:val="nil"/>
              <w:left w:val="nil"/>
              <w:bottom w:val="nil"/>
              <w:right w:val="nil"/>
            </w:tcBorders>
          </w:tcPr>
          <w:p w14:paraId="1AF3F3E5" w14:textId="77777777" w:rsidR="00FA7A58" w:rsidRPr="00B26814" w:rsidRDefault="00FA7A58">
            <w:pPr>
              <w:spacing w:line="360" w:lineRule="auto"/>
              <w:rPr>
                <w:rFonts w:ascii="Arial" w:hAnsi="Arial"/>
                <w:b/>
                <w:bCs/>
                <w:sz w:val="26"/>
                <w:szCs w:val="26"/>
                <w:rtl/>
              </w:rPr>
            </w:pPr>
          </w:p>
        </w:tc>
        <w:tc>
          <w:tcPr>
            <w:tcW w:w="4126" w:type="dxa"/>
            <w:tcBorders>
              <w:top w:val="nil"/>
              <w:left w:val="nil"/>
              <w:bottom w:val="nil"/>
              <w:right w:val="nil"/>
            </w:tcBorders>
          </w:tcPr>
          <w:p w14:paraId="1BE045FA" w14:textId="77777777" w:rsidR="00FA7A58" w:rsidRPr="00B26814" w:rsidRDefault="00B26814">
            <w:pPr>
              <w:spacing w:line="360" w:lineRule="auto"/>
              <w:rPr>
                <w:b/>
                <w:bCs/>
                <w:sz w:val="26"/>
                <w:szCs w:val="26"/>
                <w:rtl/>
              </w:rPr>
            </w:pPr>
            <w:r w:rsidRPr="00B26814">
              <w:rPr>
                <w:rFonts w:hint="cs"/>
                <w:b/>
                <w:bCs/>
                <w:sz w:val="26"/>
                <w:szCs w:val="26"/>
                <w:rtl/>
              </w:rPr>
              <w:t xml:space="preserve">                   יוסי הוד</w:t>
            </w:r>
          </w:p>
        </w:tc>
        <w:tc>
          <w:tcPr>
            <w:tcW w:w="3771" w:type="dxa"/>
            <w:tcBorders>
              <w:top w:val="nil"/>
              <w:left w:val="nil"/>
              <w:bottom w:val="nil"/>
              <w:right w:val="nil"/>
            </w:tcBorders>
          </w:tcPr>
          <w:p w14:paraId="05E93AA0" w14:textId="77777777" w:rsidR="00FA7A58" w:rsidRPr="00B26814" w:rsidRDefault="00FA7A58">
            <w:pPr>
              <w:spacing w:line="360" w:lineRule="auto"/>
              <w:jc w:val="right"/>
              <w:rPr>
                <w:rFonts w:ascii="Arial" w:hAnsi="Arial"/>
                <w:b/>
                <w:bCs/>
                <w:sz w:val="26"/>
                <w:szCs w:val="26"/>
              </w:rPr>
            </w:pPr>
          </w:p>
        </w:tc>
      </w:tr>
      <w:tr w:rsidR="00FA7A58" w:rsidRPr="00B26814" w14:paraId="2BE3505C" w14:textId="77777777">
        <w:trPr>
          <w:trHeight w:val="355"/>
          <w:jc w:val="center"/>
        </w:trPr>
        <w:tc>
          <w:tcPr>
            <w:tcW w:w="923" w:type="dxa"/>
            <w:tcBorders>
              <w:top w:val="nil"/>
              <w:left w:val="nil"/>
              <w:bottom w:val="nil"/>
              <w:right w:val="nil"/>
            </w:tcBorders>
          </w:tcPr>
          <w:p w14:paraId="03F57E89" w14:textId="77777777" w:rsidR="00FA7A58" w:rsidRPr="00B26814" w:rsidRDefault="00FA7A58">
            <w:pPr>
              <w:spacing w:line="360" w:lineRule="auto"/>
              <w:jc w:val="both"/>
              <w:rPr>
                <w:rFonts w:ascii="Arial" w:hAnsi="Arial"/>
                <w:b/>
                <w:bCs/>
                <w:sz w:val="26"/>
                <w:szCs w:val="26"/>
                <w:rtl/>
              </w:rPr>
            </w:pPr>
          </w:p>
        </w:tc>
        <w:tc>
          <w:tcPr>
            <w:tcW w:w="4126" w:type="dxa"/>
            <w:tcBorders>
              <w:top w:val="nil"/>
              <w:left w:val="nil"/>
              <w:bottom w:val="nil"/>
              <w:right w:val="nil"/>
            </w:tcBorders>
          </w:tcPr>
          <w:p w14:paraId="7C03F242" w14:textId="77777777" w:rsidR="00FA7A58" w:rsidRPr="00B26814" w:rsidRDefault="00FA7A58">
            <w:pPr>
              <w:spacing w:line="360" w:lineRule="auto"/>
              <w:jc w:val="both"/>
              <w:rPr>
                <w:b/>
                <w:bCs/>
                <w:sz w:val="26"/>
                <w:szCs w:val="26"/>
                <w:rtl/>
              </w:rPr>
            </w:pPr>
          </w:p>
        </w:tc>
        <w:tc>
          <w:tcPr>
            <w:tcW w:w="3771" w:type="dxa"/>
            <w:tcBorders>
              <w:top w:val="nil"/>
              <w:left w:val="nil"/>
              <w:bottom w:val="nil"/>
              <w:right w:val="nil"/>
            </w:tcBorders>
          </w:tcPr>
          <w:p w14:paraId="3E71B96D" w14:textId="77777777" w:rsidR="00FA7A58" w:rsidRPr="00B26814" w:rsidRDefault="00B26814">
            <w:pPr>
              <w:spacing w:line="360" w:lineRule="auto"/>
              <w:jc w:val="center"/>
              <w:rPr>
                <w:rFonts w:ascii="Arial" w:hAnsi="Arial"/>
                <w:b/>
                <w:bCs/>
                <w:sz w:val="26"/>
                <w:szCs w:val="26"/>
              </w:rPr>
            </w:pPr>
            <w:r w:rsidRPr="00B26814">
              <w:rPr>
                <w:rFonts w:ascii="Arial" w:hAnsi="Arial" w:hint="cs"/>
                <w:b/>
                <w:bCs/>
                <w:sz w:val="26"/>
                <w:szCs w:val="26"/>
                <w:rtl/>
              </w:rPr>
              <w:t>ה</w:t>
            </w:r>
            <w:r w:rsidRPr="00B26814">
              <w:rPr>
                <w:rFonts w:hint="cs"/>
                <w:b/>
                <w:bCs/>
                <w:sz w:val="26"/>
                <w:szCs w:val="26"/>
                <w:rtl/>
              </w:rPr>
              <w:t>נאשם</w:t>
            </w:r>
          </w:p>
        </w:tc>
      </w:tr>
    </w:tbl>
    <w:p w14:paraId="4A8E9105" w14:textId="77777777" w:rsidR="00FA7A58" w:rsidRPr="00B26814" w:rsidRDefault="00FA7A58">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7A58" w14:paraId="6C81BB72" w14:textId="77777777">
        <w:trPr>
          <w:trHeight w:val="355"/>
          <w:jc w:val="center"/>
        </w:trPr>
        <w:tc>
          <w:tcPr>
            <w:tcW w:w="8820" w:type="dxa"/>
            <w:tcBorders>
              <w:top w:val="nil"/>
              <w:left w:val="nil"/>
              <w:bottom w:val="nil"/>
              <w:right w:val="nil"/>
            </w:tcBorders>
          </w:tcPr>
          <w:p w14:paraId="5A5E3E1D" w14:textId="77777777" w:rsidR="00FA7A58" w:rsidRPr="00B26814" w:rsidRDefault="00B26814" w:rsidP="00B26814">
            <w:pPr>
              <w:spacing w:line="360" w:lineRule="auto"/>
              <w:jc w:val="center"/>
              <w:rPr>
                <w:rFonts w:ascii="Arial" w:hAnsi="Arial"/>
                <w:bCs/>
                <w:sz w:val="32"/>
                <w:szCs w:val="32"/>
                <w:u w:val="single"/>
                <w:rtl/>
              </w:rPr>
            </w:pPr>
            <w:bookmarkStart w:id="2" w:name="PsakDin" w:colFirst="0" w:colLast="0"/>
            <w:bookmarkEnd w:id="0"/>
            <w:r w:rsidRPr="00B26814">
              <w:rPr>
                <w:rFonts w:ascii="Arial" w:hAnsi="Arial"/>
                <w:b/>
                <w:bCs/>
                <w:sz w:val="32"/>
                <w:szCs w:val="32"/>
                <w:u w:val="single"/>
                <w:rtl/>
              </w:rPr>
              <w:t>גזר דין</w:t>
            </w:r>
          </w:p>
        </w:tc>
      </w:tr>
      <w:bookmarkEnd w:id="2"/>
    </w:tbl>
    <w:p w14:paraId="4800E73F" w14:textId="77777777" w:rsidR="00FA7A58" w:rsidRDefault="00FA7A58">
      <w:pPr>
        <w:spacing w:line="360" w:lineRule="auto"/>
        <w:rPr>
          <w:rFonts w:ascii="Arial" w:hAnsi="Arial"/>
          <w:rtl/>
        </w:rPr>
      </w:pPr>
    </w:p>
    <w:p w14:paraId="65B425D7" w14:textId="77777777" w:rsidR="00FA7A58" w:rsidRDefault="00B26814">
      <w:pPr>
        <w:spacing w:line="360" w:lineRule="auto"/>
        <w:jc w:val="both"/>
        <w:rPr>
          <w:rtl/>
        </w:rPr>
      </w:pPr>
      <w:bookmarkStart w:id="3" w:name="ABSTRACT_START"/>
      <w:bookmarkEnd w:id="3"/>
      <w:r>
        <w:rPr>
          <w:rFonts w:hint="cs"/>
          <w:rtl/>
        </w:rPr>
        <w:t>הנאשם הורשע על פי הודאתו בכתב האישום המתוקן בעבירה של החזקת סם שלא לצריכה עצמית, נהיגה ללא רשיון וללא ביטוח.</w:t>
      </w:r>
    </w:p>
    <w:p w14:paraId="4B1C8DA9" w14:textId="77777777" w:rsidR="00FA7A58" w:rsidRDefault="00FA7A58">
      <w:pPr>
        <w:spacing w:line="360" w:lineRule="auto"/>
        <w:jc w:val="both"/>
        <w:rPr>
          <w:rtl/>
        </w:rPr>
      </w:pPr>
      <w:bookmarkStart w:id="4" w:name="ABSTRACT_END"/>
      <w:bookmarkEnd w:id="4"/>
    </w:p>
    <w:p w14:paraId="21735D18" w14:textId="77777777" w:rsidR="00FA7A58" w:rsidRDefault="00B26814">
      <w:pPr>
        <w:spacing w:line="360" w:lineRule="auto"/>
        <w:jc w:val="both"/>
        <w:rPr>
          <w:rtl/>
        </w:rPr>
      </w:pPr>
      <w:r>
        <w:rPr>
          <w:rFonts w:hint="cs"/>
          <w:rtl/>
        </w:rPr>
        <w:t xml:space="preserve">על פי עובדות כתב האישום המתוקן, נהג הנאשם ביום 15.10.12 על אופנוע ללא רשיון נהיגה וביטוח, כשהוא מחזיק עמו שתי אריזות של סם קוקאין במשקל כולל של 12 גרם נטו, וכן משקל אלקטרוני. </w:t>
      </w:r>
    </w:p>
    <w:p w14:paraId="61C72D3F" w14:textId="77777777" w:rsidR="00FA7A58" w:rsidRDefault="00FA7A58">
      <w:pPr>
        <w:spacing w:line="360" w:lineRule="auto"/>
        <w:rPr>
          <w:rtl/>
        </w:rPr>
      </w:pPr>
    </w:p>
    <w:p w14:paraId="311FA753" w14:textId="77777777" w:rsidR="00FA7A58" w:rsidRDefault="00B26814">
      <w:pPr>
        <w:spacing w:line="360" w:lineRule="auto"/>
        <w:jc w:val="both"/>
        <w:rPr>
          <w:rtl/>
        </w:rPr>
      </w:pPr>
      <w:r>
        <w:rPr>
          <w:rFonts w:hint="cs"/>
          <w:rtl/>
        </w:rPr>
        <w:t>לנאשם, שהינו בן 26 שנים, הרשעה קודמת מתקופת היותו קטין בשנת 2004 בעבירות של שבל"ר, גניבה ונהיגה ללא רשיון, בגינן נדון, לאחר בגירותו, למע"ת ופסילה.</w:t>
      </w:r>
    </w:p>
    <w:p w14:paraId="2662E209" w14:textId="77777777" w:rsidR="00FA7A58" w:rsidRDefault="00FA7A58">
      <w:pPr>
        <w:spacing w:line="360" w:lineRule="auto"/>
        <w:rPr>
          <w:rtl/>
        </w:rPr>
      </w:pPr>
    </w:p>
    <w:p w14:paraId="3A8646AA" w14:textId="77777777" w:rsidR="00FA7A58" w:rsidRDefault="00B26814">
      <w:pPr>
        <w:spacing w:line="360" w:lineRule="auto"/>
        <w:jc w:val="both"/>
        <w:rPr>
          <w:rtl/>
        </w:rPr>
      </w:pPr>
      <w:r>
        <w:rPr>
          <w:rFonts w:hint="cs"/>
          <w:rtl/>
        </w:rPr>
        <w:t>בהתאם להסכמות דיוניות בין הצדדים, הנאשם הודה והורשע בכתב האישום המתוקן, והוסכם כי התביעה תעתור למאסר בפועל ורכיבים נלווים וההגנה תעתור למאסר שירוצה בעבודות שירות. בהתאם להסכמה, הנאשם הופנה לתסקיר שירות המבחן ולחוות דעת הממונה בטרם הטיעונים לעונש.</w:t>
      </w:r>
    </w:p>
    <w:p w14:paraId="4C51C7F7" w14:textId="77777777" w:rsidR="00FA7A58" w:rsidRDefault="00FA7A58">
      <w:pPr>
        <w:spacing w:line="360" w:lineRule="auto"/>
        <w:rPr>
          <w:rtl/>
        </w:rPr>
      </w:pPr>
    </w:p>
    <w:p w14:paraId="78713142" w14:textId="77777777" w:rsidR="00FA7A58" w:rsidRDefault="00B26814">
      <w:pPr>
        <w:spacing w:line="360" w:lineRule="auto"/>
        <w:jc w:val="both"/>
        <w:rPr>
          <w:rtl/>
        </w:rPr>
      </w:pPr>
      <w:r>
        <w:rPr>
          <w:rFonts w:hint="cs"/>
          <w:rtl/>
        </w:rPr>
        <w:t>מהתסקיר שניתן עולה כי הנאשם מוכר לשירות המבחן מפיקוח מעצר של ששה חודשים שהוטל עליו עם שחרורו בתנאים מגבילים בנובמבר 2012, והוארך בחצי שנה נוספת, כך שבפועל היה הנאשם בפיקוח שה"מ למשך שנה. במסגרת הליך זה שולב בטיפול גמילה ביחידה להתמכרויות בפ"ת ובמרכז יום באור יהודה. הנאשם שהה במעצר בית מלא תקופה ממושכת וכיום נתון במעצר בית חלקי.</w:t>
      </w:r>
    </w:p>
    <w:p w14:paraId="297BABB6" w14:textId="77777777" w:rsidR="00FA7A58" w:rsidRDefault="00FA7A58">
      <w:pPr>
        <w:spacing w:line="360" w:lineRule="auto"/>
        <w:jc w:val="both"/>
        <w:rPr>
          <w:rtl/>
        </w:rPr>
      </w:pPr>
    </w:p>
    <w:p w14:paraId="08772CFA" w14:textId="77777777" w:rsidR="00FA7A58" w:rsidRDefault="00B26814">
      <w:pPr>
        <w:spacing w:line="360" w:lineRule="auto"/>
        <w:jc w:val="both"/>
        <w:rPr>
          <w:rtl/>
        </w:rPr>
      </w:pPr>
      <w:r>
        <w:rPr>
          <w:rFonts w:hint="cs"/>
          <w:rtl/>
        </w:rPr>
        <w:t>מהתסקיר עולה כי הנאשם התגורר עובר למעצרו עם אמו ודודתו ועבד כשנתיים כעוזר נהג. הוריו של הנאשם התגרשו בהיותו בן 10 שנים, והקשר שלו עם אביו מאז הגירושין רופף. ההתרשמות היתה מהעדר מסגרת משפחתית יציבה ומציבת גבולות. הנאשם ושני אחיו הצעירים התגוררו במחיצת האם, שעוסקת בחינוך לגיל הרך, ועקב קשיי פרנסה והתארגנות, עברו  במשך השנים מספר רב של דירות ואף התגוררו עם קרובי משפחה אחרים. הנאשם סיים בית ספר מקצועי ללא תעודת בגרות. בגיל 16 החל שימוש בסם קנבוס על רקע חברתי. לאחר שחווה טראומה של פיגוע, בו נהרג חברו, בהיותו בן 18 שנים, החמיר השימוש בסמים והחל לצרוך קוקאין. על רקע זה לא גויס לצה"ל. הנאשם תאר תקופות של שימוש אינטנסיבי בסמים, ובעיקר במצבי משבר.</w:t>
      </w:r>
    </w:p>
    <w:p w14:paraId="5F052DB6" w14:textId="77777777" w:rsidR="00FA7A58" w:rsidRDefault="00FA7A58">
      <w:pPr>
        <w:spacing w:line="360" w:lineRule="auto"/>
        <w:jc w:val="both"/>
        <w:rPr>
          <w:rtl/>
        </w:rPr>
      </w:pPr>
    </w:p>
    <w:p w14:paraId="64B7967A" w14:textId="77777777" w:rsidR="00FA7A58" w:rsidRDefault="00B26814">
      <w:pPr>
        <w:spacing w:line="360" w:lineRule="auto"/>
        <w:jc w:val="both"/>
        <w:rPr>
          <w:rtl/>
        </w:rPr>
      </w:pPr>
      <w:r>
        <w:rPr>
          <w:rFonts w:hint="cs"/>
          <w:rtl/>
        </w:rPr>
        <w:t>הנאשם ביטא מוטיבציה להשתלב בטיפול גמילה ואכן שולב ע"י שה"מ כמפורט לעיל בטיפול ביחידה להתמכרויות בפ"ת ובמרכז יום באור יהודה. גורמי הטיפול מסרו כי הנאשם משתף פעולה בטיפול ועובר תהליך התבוננות בעצמו ובדפוסיו, רואה במסגרת הטיפולית מקור תמיכה והכוונה, משתף בקשייו ובתכנים רגשיים. אובחנו קשיים בדחיית סיפוקים וקבלת גבולות ועל רקע זה היו נסיגות במצבו מבחינת שיתוף הפעולה בטיפול, שהביאו להשעייתו למספר ימים, אך הנאשם חזר לטיפול, הבין את הבעייתיות בהתנהגותו וחלה התקדמות בשיתוף הפעולה שלו. ההתרשמות היא כי הנאשם מגייס כוחות לעריכת שינוי בדפוסי התנהלותו ועושה מאמץ לתפקוד תקין במסגרת מרכז היום. מאז השתלבותו בטיפול, הנאשם נקי מסמים.</w:t>
      </w:r>
    </w:p>
    <w:p w14:paraId="7214ADB8" w14:textId="77777777" w:rsidR="00FA7A58" w:rsidRDefault="00FA7A58">
      <w:pPr>
        <w:spacing w:line="360" w:lineRule="auto"/>
        <w:jc w:val="both"/>
        <w:rPr>
          <w:rtl/>
        </w:rPr>
      </w:pPr>
    </w:p>
    <w:p w14:paraId="1E595F29" w14:textId="77777777" w:rsidR="00FA7A58" w:rsidRDefault="00B26814">
      <w:pPr>
        <w:spacing w:line="360" w:lineRule="auto"/>
        <w:jc w:val="both"/>
        <w:rPr>
          <w:rtl/>
        </w:rPr>
      </w:pPr>
      <w:r>
        <w:rPr>
          <w:rFonts w:hint="cs"/>
          <w:rtl/>
        </w:rPr>
        <w:t>הנאשם קשר בין ביצוע העבירות להתמכרותו בסמים ומסר כי החזיק את הסמים לשימושו העצמי. לדעת שה"מ, מדובר בצעיר אשר גדל במסגרת משפחתית חסרת יציבות וללא דמויות חינוכיות מציבות גבולות. שה"מ התרשם כי התנהגותו בעבר קשורה להתמכרותו לסמים והעדר נכונותו אז לקבל טיפול במצבו, מבלי שהיה ער להשלכות ההרסניות של השימוש בסם על חייו. להתרשמות שה"מ, ההליך המשפטי היווה גורם מרתיע ומציב גבול, והנאשם מצוי בהליך של שינוי חיובי, מתמיד בהפסקת השימוש בסם ומתמקד בשיקומו האישי. נראה כי על אף קשייו, רכש בטיפול כלים להתבוננות ביקורתית על אופן התמודדותו במשברים בחייו והוא מבין את קשייו ואת הצורך שלו בהכוונה ועזרה בתחומי חייו השונים. ההתרשמות הכוללת היא, כי חרף גורמי הסיכון הקיימים, סיכויי השיקום גוברים על הסיכון לחזרתו לשימוש בסמים ולביצוע עבירות, באם ימשיך בטיפול ההולם את צרכיו.</w:t>
      </w:r>
    </w:p>
    <w:p w14:paraId="65A47059" w14:textId="77777777" w:rsidR="00FA7A58" w:rsidRDefault="00FA7A58">
      <w:pPr>
        <w:spacing w:line="360" w:lineRule="auto"/>
        <w:jc w:val="both"/>
        <w:rPr>
          <w:rtl/>
        </w:rPr>
      </w:pPr>
    </w:p>
    <w:p w14:paraId="7076F8F8" w14:textId="77777777" w:rsidR="00FA7A58" w:rsidRDefault="00B26814">
      <w:pPr>
        <w:spacing w:line="360" w:lineRule="auto"/>
        <w:jc w:val="both"/>
        <w:rPr>
          <w:rtl/>
        </w:rPr>
      </w:pPr>
      <w:r>
        <w:rPr>
          <w:rFonts w:hint="cs"/>
          <w:rtl/>
        </w:rPr>
        <w:t>לאור המוטיבציה והנכונות של הנאשם להמשך קשר טיפולי, המליץ שירות המבחן על העמדתו בצו מבחן למשך שנה, ועל הטלת עונש מאסר לריצוי בעבודות שירות, כדי לא לפגוע בתהליך השיקומי שעובר הנאשם.</w:t>
      </w:r>
    </w:p>
    <w:p w14:paraId="1F3A3EDA" w14:textId="77777777" w:rsidR="00FA7A58" w:rsidRDefault="00FA7A58">
      <w:pPr>
        <w:spacing w:line="360" w:lineRule="auto"/>
        <w:jc w:val="both"/>
        <w:rPr>
          <w:rtl/>
        </w:rPr>
      </w:pPr>
    </w:p>
    <w:p w14:paraId="1889F54F" w14:textId="77777777" w:rsidR="00FA7A58" w:rsidRDefault="00B26814">
      <w:pPr>
        <w:spacing w:line="360" w:lineRule="auto"/>
        <w:jc w:val="both"/>
        <w:rPr>
          <w:rtl/>
        </w:rPr>
      </w:pPr>
      <w:r>
        <w:rPr>
          <w:rFonts w:hint="cs"/>
          <w:rtl/>
        </w:rPr>
        <w:t>הממונה על עבודות שירות מצא את הנאשם כשיר לביצוע עבודות שירות וקבע לו מקום עבודה.</w:t>
      </w:r>
    </w:p>
    <w:p w14:paraId="7F948F71" w14:textId="77777777" w:rsidR="00FA7A58" w:rsidRDefault="00FA7A58">
      <w:pPr>
        <w:spacing w:line="360" w:lineRule="auto"/>
        <w:jc w:val="both"/>
        <w:rPr>
          <w:rtl/>
        </w:rPr>
      </w:pPr>
    </w:p>
    <w:p w14:paraId="014FE7A7" w14:textId="77777777" w:rsidR="00FA7A58" w:rsidRDefault="00B26814">
      <w:pPr>
        <w:spacing w:line="360" w:lineRule="auto"/>
        <w:jc w:val="both"/>
        <w:rPr>
          <w:rtl/>
        </w:rPr>
      </w:pPr>
      <w:r>
        <w:rPr>
          <w:rFonts w:hint="cs"/>
          <w:rtl/>
        </w:rPr>
        <w:t>בטיעונים לעונש, התביעה ביקשה לגזור על הנאשם מאסר בפועל שאינו לריצוי בעבודות שירות ורכיבים נלווים, וזאת לנוכח כמות הסם, סוגו, והחזקת המשקל האלקטרוני המלמדת על החזקה למטרה מסחרית. כמו כן, ביקשה התביעה לחלט את האופנוע עמו בוצעו העבירות. הוצגה פסיקה לתמיכה בעמדתה. לדוגמא, ב</w:t>
      </w:r>
      <w:hyperlink r:id="rId6" w:history="1">
        <w:r w:rsidRPr="00B26814">
          <w:rPr>
            <w:color w:val="0000FF"/>
            <w:u w:val="single"/>
            <w:rtl/>
          </w:rPr>
          <w:t>רע"פ 4921/07</w:t>
        </w:r>
      </w:hyperlink>
      <w:r>
        <w:rPr>
          <w:rFonts w:hint="cs"/>
          <w:rtl/>
        </w:rPr>
        <w:t xml:space="preserve"> אישר בית המשפט העליון עונש מאסר של שמונה חודשים בפועל שנגזר על נאשם שהזיק 5.5 גרם קוקאין. ב</w:t>
      </w:r>
      <w:hyperlink r:id="rId7" w:history="1">
        <w:r w:rsidRPr="00B26814">
          <w:rPr>
            <w:color w:val="0000FF"/>
            <w:u w:val="single"/>
            <w:rtl/>
          </w:rPr>
          <w:t>רע"פ 5354/12</w:t>
        </w:r>
      </w:hyperlink>
      <w:r>
        <w:rPr>
          <w:rFonts w:hint="cs"/>
          <w:rtl/>
        </w:rPr>
        <w:t xml:space="preserve"> אושר גזר דין  של 14 חודשי מאסר בפועל לנאשם שהחזיק 38 גרם קוקאין.</w:t>
      </w:r>
    </w:p>
    <w:p w14:paraId="7176A00C" w14:textId="77777777" w:rsidR="00FA7A58" w:rsidRDefault="00FA7A58">
      <w:pPr>
        <w:spacing w:line="360" w:lineRule="auto"/>
        <w:jc w:val="both"/>
        <w:rPr>
          <w:rtl/>
        </w:rPr>
      </w:pPr>
    </w:p>
    <w:p w14:paraId="6EE6D6E8" w14:textId="77777777" w:rsidR="00FA7A58" w:rsidRDefault="00B26814">
      <w:pPr>
        <w:spacing w:line="360" w:lineRule="auto"/>
        <w:jc w:val="both"/>
        <w:rPr>
          <w:rtl/>
        </w:rPr>
      </w:pPr>
      <w:r>
        <w:rPr>
          <w:rFonts w:hint="cs"/>
          <w:rtl/>
        </w:rPr>
        <w:t>הסניגור ביקש לאמץ את המלצת שירות המבחן לאור התהליך השיקומי הממושך שהנאשם עובר מזה שנה, העדר עבר פלילי מכביד, גילו הצעיר, נטילת האחריות, והסנקציות שלשלילת חירות ממשוכת בהן היה הנאשם נתון במשך שנה. הסניגור הגיש פסיקה על הטלת עונשי מאסר לריצוי בעבודות שירות בעבירות דומות. כך לדוגמא, ב</w:t>
      </w:r>
      <w:hyperlink r:id="rId8" w:history="1">
        <w:r w:rsidRPr="00B26814">
          <w:rPr>
            <w:color w:val="0000FF"/>
            <w:u w:val="single"/>
            <w:rtl/>
          </w:rPr>
          <w:t>רע"פ 7196/13</w:t>
        </w:r>
      </w:hyperlink>
      <w:r>
        <w:rPr>
          <w:rFonts w:hint="cs"/>
          <w:rtl/>
        </w:rPr>
        <w:t xml:space="preserve"> אישר בית המשפט העליון גזר דין מקל של ששה חודשי עבודות שירות שהושת על נאשם שהחזיק קוקאין במשקל 120 גרם.</w:t>
      </w:r>
    </w:p>
    <w:p w14:paraId="28CF72E6" w14:textId="77777777" w:rsidR="00FA7A58" w:rsidRDefault="00FA7A58">
      <w:pPr>
        <w:spacing w:line="360" w:lineRule="auto"/>
        <w:jc w:val="both"/>
        <w:rPr>
          <w:rtl/>
        </w:rPr>
      </w:pPr>
    </w:p>
    <w:p w14:paraId="3977BBB2" w14:textId="77777777" w:rsidR="00FA7A58" w:rsidRDefault="00B26814">
      <w:pPr>
        <w:spacing w:line="360" w:lineRule="auto"/>
        <w:jc w:val="both"/>
        <w:rPr>
          <w:rtl/>
        </w:rPr>
      </w:pPr>
      <w:r>
        <w:rPr>
          <w:rFonts w:hint="cs"/>
          <w:rtl/>
        </w:rPr>
        <w:t>העבירות בהן הורשע הנאשם פוגעות בשלום הציבור, לנוכח נפיצותו ונזקיו הרבים והמוכחים של סם הקוקאין, וכן פוגעות בבטחון המשתמשים בדרך. אציין כי קשה להשתכנע שהסם הוחזק ע"י הנאשם לצריכה עצמית, כטענתו בפני שה"מ, הן לנוכח הכמות הגדולה פי 36 מהחזקה הקבועה בפקודה, והן לנוכח נשיאת המשקל האלקטרוני על האופנוע.</w:t>
      </w:r>
    </w:p>
    <w:p w14:paraId="416862D9" w14:textId="77777777" w:rsidR="00FA7A58" w:rsidRDefault="00FA7A58">
      <w:pPr>
        <w:spacing w:line="360" w:lineRule="auto"/>
        <w:jc w:val="both"/>
        <w:rPr>
          <w:rtl/>
        </w:rPr>
      </w:pPr>
    </w:p>
    <w:p w14:paraId="5CA4E7BC" w14:textId="77777777" w:rsidR="00FA7A58" w:rsidRDefault="00B26814">
      <w:pPr>
        <w:spacing w:line="360" w:lineRule="auto"/>
        <w:jc w:val="both"/>
        <w:rPr>
          <w:rtl/>
        </w:rPr>
      </w:pPr>
      <w:r>
        <w:rPr>
          <w:rFonts w:hint="cs"/>
          <w:rtl/>
        </w:rPr>
        <w:t>העונש הראוי לעבירות הינו של מאסר בפועל לתקופה של 8 עד 18 חודשים, ואולם מתחם הענישה שהוצג ע"י הצדדים בתיק זה, מכח ההסכמה הדיונית והפניית הנאשם לחוו"ד הממונה, כולל גם הטלת מאסר לריצוי בעבודות שירות.</w:t>
      </w:r>
    </w:p>
    <w:p w14:paraId="3D5B0D62" w14:textId="77777777" w:rsidR="00FA7A58" w:rsidRDefault="00FA7A58">
      <w:pPr>
        <w:spacing w:line="360" w:lineRule="auto"/>
        <w:jc w:val="both"/>
        <w:rPr>
          <w:rtl/>
        </w:rPr>
      </w:pPr>
    </w:p>
    <w:p w14:paraId="691D4CA1" w14:textId="77777777" w:rsidR="00FA7A58" w:rsidRDefault="00B26814">
      <w:pPr>
        <w:spacing w:line="360" w:lineRule="auto"/>
        <w:jc w:val="both"/>
        <w:rPr>
          <w:rtl/>
        </w:rPr>
      </w:pPr>
      <w:r>
        <w:rPr>
          <w:rFonts w:hint="cs"/>
          <w:rtl/>
        </w:rPr>
        <w:t>לאחר ששקלתי את טיעוני הצדדים, אני סבורה כי חרף חומרת העבירות, אשר ראויות לענישה של מאסר מאחורי סורג ובריח, יש לתת משקל בכורה בשיקולי הענישה בתיק זה לתהליך הטיפולי הממושך שעבר הנאשם, ולפוטנציאל השיקומי העולה מהתסקיר, שיש בהם להטות את הכף לטובת הטלת עונש שהינו ברף התחתון של המתחם שהוצג. מנגד, קיים חשש, לנוכח גילו הצעיר של הנאשם ואישיותו הלא מגובשת, שגזירת עונש של מאסר בפועל תפגע בתוצאות התהליך הטיפולי ותדרדר את הנאשם לחברה עבריינית, דבר שיקשה על שיקומו והשתלבותו בחברה נורמטיבית.</w:t>
      </w:r>
    </w:p>
    <w:p w14:paraId="2411A923" w14:textId="77777777" w:rsidR="00FA7A58" w:rsidRDefault="00FA7A58">
      <w:pPr>
        <w:spacing w:line="360" w:lineRule="auto"/>
        <w:jc w:val="both"/>
        <w:rPr>
          <w:rtl/>
        </w:rPr>
      </w:pPr>
    </w:p>
    <w:p w14:paraId="549265BA" w14:textId="77777777" w:rsidR="00FA7A58" w:rsidRDefault="00B26814">
      <w:pPr>
        <w:spacing w:line="360" w:lineRule="auto"/>
        <w:jc w:val="both"/>
        <w:rPr>
          <w:rtl/>
        </w:rPr>
      </w:pPr>
      <w:r>
        <w:rPr>
          <w:rFonts w:hint="cs"/>
          <w:rtl/>
        </w:rPr>
        <w:t>לפיכך אני גוזרת על הנאשם את העונשים הבאים:</w:t>
      </w:r>
    </w:p>
    <w:p w14:paraId="0F556B63" w14:textId="77777777" w:rsidR="00FA7A58" w:rsidRDefault="00FA7A58">
      <w:pPr>
        <w:spacing w:line="360" w:lineRule="auto"/>
        <w:jc w:val="both"/>
        <w:rPr>
          <w:rtl/>
        </w:rPr>
      </w:pPr>
    </w:p>
    <w:p w14:paraId="5B056E22" w14:textId="77777777" w:rsidR="00FA7A58" w:rsidRDefault="00B26814">
      <w:pPr>
        <w:spacing w:line="360" w:lineRule="auto"/>
        <w:jc w:val="both"/>
        <w:rPr>
          <w:rtl/>
        </w:rPr>
      </w:pPr>
      <w:r>
        <w:rPr>
          <w:rFonts w:hint="cs"/>
          <w:rtl/>
        </w:rPr>
        <w:t>6 חודשי מאסר בפועל, לריצוי בעבודות שירות, אשר יבוצעו במרכז יום לקשיש פג'ה החל מיום 24.12.13 בימים ובשעות שקבע הממונה, ללא ניכוי ימי המעצר.</w:t>
      </w:r>
    </w:p>
    <w:p w14:paraId="7A5EFEE4" w14:textId="77777777" w:rsidR="00FA7A58" w:rsidRDefault="00FA7A58">
      <w:pPr>
        <w:spacing w:line="360" w:lineRule="auto"/>
        <w:jc w:val="both"/>
        <w:rPr>
          <w:rtl/>
        </w:rPr>
      </w:pPr>
    </w:p>
    <w:p w14:paraId="29656A4A" w14:textId="77777777" w:rsidR="00FA7A58" w:rsidRDefault="00B26814">
      <w:pPr>
        <w:spacing w:line="360" w:lineRule="auto"/>
        <w:jc w:val="both"/>
        <w:rPr>
          <w:rtl/>
        </w:rPr>
      </w:pPr>
      <w:r>
        <w:rPr>
          <w:rFonts w:hint="cs"/>
          <w:rtl/>
        </w:rPr>
        <w:t>8 חודשי מע"ת למשך שלוש שנים שלא יעבור עבירה מסוג פשע על פקודת הסמים.</w:t>
      </w:r>
    </w:p>
    <w:p w14:paraId="32AB5D4B" w14:textId="77777777" w:rsidR="00FA7A58" w:rsidRDefault="00FA7A58">
      <w:pPr>
        <w:spacing w:line="360" w:lineRule="auto"/>
        <w:jc w:val="both"/>
        <w:rPr>
          <w:rtl/>
        </w:rPr>
      </w:pPr>
    </w:p>
    <w:p w14:paraId="7326D9DD" w14:textId="77777777" w:rsidR="00FA7A58" w:rsidRDefault="00B26814">
      <w:pPr>
        <w:spacing w:line="360" w:lineRule="auto"/>
        <w:jc w:val="both"/>
        <w:rPr>
          <w:rtl/>
        </w:rPr>
      </w:pPr>
      <w:r>
        <w:rPr>
          <w:rFonts w:hint="cs"/>
          <w:rtl/>
        </w:rPr>
        <w:t>4 חודשי מע"ת למשך שלוש שנים, שלא יעבור עבירה מסוג עוון על פקודת הסמים או עבירה אחרת בה הורשע.</w:t>
      </w:r>
    </w:p>
    <w:p w14:paraId="3480E866" w14:textId="77777777" w:rsidR="00FA7A58" w:rsidRDefault="00FA7A58">
      <w:pPr>
        <w:spacing w:line="360" w:lineRule="auto"/>
        <w:jc w:val="both"/>
        <w:rPr>
          <w:rtl/>
        </w:rPr>
      </w:pPr>
    </w:p>
    <w:p w14:paraId="5060674C" w14:textId="77777777" w:rsidR="00FA7A58" w:rsidRDefault="00B26814">
      <w:pPr>
        <w:spacing w:line="360" w:lineRule="auto"/>
        <w:jc w:val="both"/>
        <w:rPr>
          <w:rtl/>
        </w:rPr>
      </w:pPr>
      <w:r>
        <w:rPr>
          <w:rFonts w:hint="cs"/>
          <w:rtl/>
        </w:rPr>
        <w:t>6 חודשי פסילה בפועל, החל מהיום. על הנאשם להפקיד את רשיון הנהיגה שלו במזכירות כדי שהפסילה תתחיל להימנות, או להצהיר כי אין לו רשיון נהיגה.</w:t>
      </w:r>
    </w:p>
    <w:p w14:paraId="1D67AB13" w14:textId="77777777" w:rsidR="00FA7A58" w:rsidRDefault="00FA7A58">
      <w:pPr>
        <w:spacing w:line="360" w:lineRule="auto"/>
        <w:jc w:val="both"/>
        <w:rPr>
          <w:rtl/>
        </w:rPr>
      </w:pPr>
    </w:p>
    <w:p w14:paraId="2D1AB0ED" w14:textId="77777777" w:rsidR="00FA7A58" w:rsidRDefault="00B26814">
      <w:pPr>
        <w:spacing w:line="360" w:lineRule="auto"/>
        <w:jc w:val="both"/>
        <w:rPr>
          <w:rtl/>
        </w:rPr>
      </w:pPr>
      <w:r>
        <w:rPr>
          <w:rFonts w:hint="cs"/>
          <w:rtl/>
        </w:rPr>
        <w:t>6 חודשי פסילה על תנאי למשך שלוש שנים, שלא יעבור עבירה על פקודת הסמים.</w:t>
      </w:r>
    </w:p>
    <w:p w14:paraId="74023056" w14:textId="77777777" w:rsidR="00FA7A58" w:rsidRDefault="00FA7A58">
      <w:pPr>
        <w:spacing w:line="360" w:lineRule="auto"/>
        <w:jc w:val="both"/>
        <w:rPr>
          <w:rtl/>
        </w:rPr>
      </w:pPr>
    </w:p>
    <w:p w14:paraId="130554F2" w14:textId="77777777" w:rsidR="00FA7A58" w:rsidRDefault="00B26814">
      <w:pPr>
        <w:spacing w:line="360" w:lineRule="auto"/>
        <w:jc w:val="both"/>
        <w:rPr>
          <w:rtl/>
        </w:rPr>
      </w:pPr>
      <w:r>
        <w:rPr>
          <w:rFonts w:hint="cs"/>
          <w:rtl/>
        </w:rPr>
        <w:t>צו מבחן למשך שנה, בתנאים שיקבע שירות המבחן ואשר יכללו המשך הטיפול לגמילה מסמים.</w:t>
      </w:r>
    </w:p>
    <w:p w14:paraId="4E988B93" w14:textId="77777777" w:rsidR="00FA7A58" w:rsidRDefault="00FA7A58">
      <w:pPr>
        <w:spacing w:line="360" w:lineRule="auto"/>
        <w:jc w:val="both"/>
        <w:rPr>
          <w:rtl/>
        </w:rPr>
      </w:pPr>
    </w:p>
    <w:p w14:paraId="4D2F6111" w14:textId="77777777" w:rsidR="00FA7A58" w:rsidRDefault="00B26814">
      <w:pPr>
        <w:spacing w:line="360" w:lineRule="auto"/>
        <w:jc w:val="both"/>
        <w:rPr>
          <w:rtl/>
        </w:rPr>
      </w:pPr>
      <w:r>
        <w:rPr>
          <w:rFonts w:hint="cs"/>
          <w:rtl/>
        </w:rPr>
        <w:t>קנס בסך 4,450 ₪ אשר ישולם מהסכום שנתפס אצל הנאשם בעת מעצרו.</w:t>
      </w:r>
    </w:p>
    <w:p w14:paraId="2DAB9AC6" w14:textId="77777777" w:rsidR="00FA7A58" w:rsidRDefault="00FA7A58">
      <w:pPr>
        <w:spacing w:line="360" w:lineRule="auto"/>
        <w:jc w:val="both"/>
        <w:rPr>
          <w:rtl/>
        </w:rPr>
      </w:pPr>
    </w:p>
    <w:p w14:paraId="2B5D705A" w14:textId="77777777" w:rsidR="00FA7A58" w:rsidRDefault="00B26814">
      <w:pPr>
        <w:spacing w:line="360" w:lineRule="auto"/>
        <w:jc w:val="both"/>
        <w:rPr>
          <w:rtl/>
        </w:rPr>
      </w:pPr>
      <w:r>
        <w:rPr>
          <w:rFonts w:hint="cs"/>
          <w:rtl/>
        </w:rPr>
        <w:t>חילוט האופנוע בו נתפסו הסמים והמשקל ועליו נהג הנאשם ללא רשיון וביטוח.</w:t>
      </w:r>
    </w:p>
    <w:p w14:paraId="3AABFF0B" w14:textId="77777777" w:rsidR="00FA7A58" w:rsidRDefault="00FA7A58">
      <w:pPr>
        <w:spacing w:line="360" w:lineRule="auto"/>
        <w:jc w:val="both"/>
        <w:rPr>
          <w:rtl/>
        </w:rPr>
      </w:pPr>
    </w:p>
    <w:p w14:paraId="7364145F" w14:textId="77777777" w:rsidR="00FA7A58" w:rsidRDefault="00B26814">
      <w:pPr>
        <w:spacing w:line="360" w:lineRule="auto"/>
        <w:jc w:val="both"/>
        <w:rPr>
          <w:rtl/>
        </w:rPr>
      </w:pPr>
      <w:r>
        <w:rPr>
          <w:rFonts w:hint="cs"/>
          <w:rtl/>
        </w:rPr>
        <w:t>צו להשמדה של יתר המוצגים.</w:t>
      </w:r>
    </w:p>
    <w:p w14:paraId="616E765F" w14:textId="77777777" w:rsidR="00FA7A58" w:rsidRDefault="00FA7A58">
      <w:pPr>
        <w:spacing w:line="360" w:lineRule="auto"/>
        <w:jc w:val="both"/>
        <w:rPr>
          <w:rtl/>
        </w:rPr>
      </w:pPr>
    </w:p>
    <w:p w14:paraId="65C01012" w14:textId="77777777" w:rsidR="00FA7A58" w:rsidRDefault="00B26814">
      <w:pPr>
        <w:spacing w:line="360" w:lineRule="auto"/>
        <w:jc w:val="both"/>
        <w:rPr>
          <w:rtl/>
        </w:rPr>
      </w:pPr>
      <w:r>
        <w:rPr>
          <w:rFonts w:hint="cs"/>
          <w:rtl/>
        </w:rPr>
        <w:t>הודעה זכות הערעור תוך 45 יום.</w:t>
      </w:r>
    </w:p>
    <w:p w14:paraId="14358285" w14:textId="77777777" w:rsidR="00FA7A58" w:rsidRPr="00B26814" w:rsidRDefault="00B26814">
      <w:pPr>
        <w:spacing w:line="360" w:lineRule="auto"/>
        <w:rPr>
          <w:color w:val="FFFFFF"/>
          <w:sz w:val="2"/>
          <w:szCs w:val="2"/>
          <w:rtl/>
        </w:rPr>
      </w:pPr>
      <w:r w:rsidRPr="00B26814">
        <w:rPr>
          <w:color w:val="FFFFFF"/>
          <w:sz w:val="2"/>
          <w:szCs w:val="2"/>
          <w:rtl/>
        </w:rPr>
        <w:t>5129371</w:t>
      </w:r>
    </w:p>
    <w:p w14:paraId="63DCE515" w14:textId="77777777" w:rsidR="00FA7A58" w:rsidRDefault="00B26814">
      <w:pPr>
        <w:rPr>
          <w:rFonts w:cs="FrankRuehl"/>
          <w:sz w:val="28"/>
          <w:szCs w:val="28"/>
          <w:rtl/>
        </w:rPr>
      </w:pPr>
      <w:r w:rsidRPr="00B26814">
        <w:rPr>
          <w:rFonts w:ascii="Arial" w:hAnsi="Arial"/>
          <w:color w:val="FFFFFF"/>
          <w:sz w:val="2"/>
          <w:szCs w:val="2"/>
          <w:rtl/>
        </w:rPr>
        <w:t>54678313</w:t>
      </w:r>
      <w:r>
        <w:rPr>
          <w:rFonts w:ascii="Arial" w:hAnsi="Arial"/>
          <w:rtl/>
        </w:rPr>
        <w:t xml:space="preserve">ניתן היום,  כ"א כסלו תשע"ד, 24 נובמבר 2013, במעמד הצדדים. </w:t>
      </w:r>
    </w:p>
    <w:p w14:paraId="2C4D3C62" w14:textId="77777777" w:rsidR="00FA7A58" w:rsidRDefault="00B2681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A1248B4" w14:textId="77777777" w:rsidR="00FA7A58" w:rsidRDefault="00FA7A58">
      <w:pPr>
        <w:jc w:val="center"/>
        <w:rPr>
          <w:rFonts w:ascii="Arial" w:hAnsi="Arial" w:cs="FrankRuehl"/>
          <w:sz w:val="28"/>
          <w:szCs w:val="28"/>
          <w:rtl/>
        </w:rPr>
      </w:pPr>
    </w:p>
    <w:p w14:paraId="1A7BF7B6" w14:textId="77777777" w:rsidR="00FA7A58" w:rsidRDefault="00FA7A58">
      <w:pPr>
        <w:rPr>
          <w:rFonts w:cs="FrankRuehl"/>
          <w:sz w:val="28"/>
          <w:szCs w:val="28"/>
          <w:rtl/>
        </w:rPr>
      </w:pPr>
    </w:p>
    <w:p w14:paraId="20DABE30" w14:textId="77777777" w:rsidR="00FA7A58" w:rsidRDefault="00FA7A58">
      <w:pPr>
        <w:pStyle w:val="a3"/>
        <w:jc w:val="center"/>
        <w:rPr>
          <w:rtl/>
        </w:rPr>
      </w:pPr>
    </w:p>
    <w:p w14:paraId="02BEEC57" w14:textId="77777777" w:rsidR="00B26814" w:rsidRPr="00B26814" w:rsidRDefault="00B26814" w:rsidP="00B26814">
      <w:pPr>
        <w:keepNext/>
        <w:rPr>
          <w:rFonts w:ascii="David" w:hAnsi="David"/>
          <w:color w:val="000000"/>
          <w:sz w:val="22"/>
          <w:szCs w:val="22"/>
          <w:rtl/>
        </w:rPr>
      </w:pPr>
    </w:p>
    <w:p w14:paraId="717D8238" w14:textId="77777777" w:rsidR="00B26814" w:rsidRPr="00B26814" w:rsidRDefault="00B26814" w:rsidP="00B26814">
      <w:pPr>
        <w:keepNext/>
        <w:rPr>
          <w:rFonts w:ascii="David" w:hAnsi="David"/>
          <w:color w:val="000000"/>
          <w:sz w:val="22"/>
          <w:szCs w:val="22"/>
          <w:rtl/>
        </w:rPr>
      </w:pPr>
      <w:r w:rsidRPr="00B26814">
        <w:rPr>
          <w:rFonts w:ascii="David" w:hAnsi="David"/>
          <w:color w:val="000000"/>
          <w:sz w:val="22"/>
          <w:szCs w:val="22"/>
          <w:rtl/>
        </w:rPr>
        <w:t>ניצה מימון שעשוע 54678313</w:t>
      </w:r>
    </w:p>
    <w:p w14:paraId="76F99C86" w14:textId="77777777" w:rsidR="00B26814" w:rsidRDefault="00B26814" w:rsidP="00B26814">
      <w:r w:rsidRPr="00B26814">
        <w:rPr>
          <w:color w:val="000000"/>
          <w:rtl/>
        </w:rPr>
        <w:t>נוסח מסמך זה כפוף לשינויי ניסוח ועריכה</w:t>
      </w:r>
    </w:p>
    <w:p w14:paraId="60F6AD19" w14:textId="77777777" w:rsidR="00B26814" w:rsidRDefault="00B26814" w:rsidP="00B26814">
      <w:pPr>
        <w:rPr>
          <w:rtl/>
        </w:rPr>
      </w:pPr>
    </w:p>
    <w:p w14:paraId="725B91FD" w14:textId="77777777" w:rsidR="00B26814" w:rsidRDefault="00B26814" w:rsidP="00B26814">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3DFC850E" w14:textId="77777777" w:rsidR="00FA7A58" w:rsidRPr="00B26814" w:rsidRDefault="00FA7A58" w:rsidP="00B26814">
      <w:pPr>
        <w:jc w:val="center"/>
        <w:rPr>
          <w:color w:val="0000FF"/>
          <w:u w:val="single"/>
        </w:rPr>
      </w:pPr>
    </w:p>
    <w:sectPr w:rsidR="00FA7A58" w:rsidRPr="00B26814" w:rsidSect="00B26814">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0648F" w14:textId="77777777" w:rsidR="00534254" w:rsidRPr="00AB3FCE" w:rsidRDefault="00534254">
      <w:pPr>
        <w:rPr>
          <w:rFonts w:cs="Arial"/>
          <w:szCs w:val="20"/>
        </w:rPr>
      </w:pPr>
      <w:r>
        <w:separator/>
      </w:r>
    </w:p>
  </w:endnote>
  <w:endnote w:type="continuationSeparator" w:id="0">
    <w:p w14:paraId="42C7219A" w14:textId="77777777" w:rsidR="00534254" w:rsidRPr="00AB3FCE" w:rsidRDefault="0053425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7BA90" w14:textId="77777777" w:rsidR="00B26814" w:rsidRDefault="00B26814" w:rsidP="00B2681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76ACD2E4" w14:textId="77777777" w:rsidR="00FA7A58" w:rsidRPr="00B26814" w:rsidRDefault="00B26814" w:rsidP="00B26814">
    <w:pPr>
      <w:pStyle w:val="a4"/>
      <w:pBdr>
        <w:top w:val="single" w:sz="4" w:space="1" w:color="auto"/>
        <w:between w:val="single" w:sz="4" w:space="0" w:color="auto"/>
      </w:pBdr>
      <w:spacing w:after="60"/>
      <w:jc w:val="center"/>
      <w:rPr>
        <w:rFonts w:ascii="FrankRuehl" w:hAnsi="FrankRuehl" w:cs="FrankRuehl"/>
        <w:color w:val="000000"/>
      </w:rPr>
    </w:pPr>
    <w:r w:rsidRPr="00B268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DA0AF" w14:textId="77777777" w:rsidR="00B26814" w:rsidRDefault="00B26814" w:rsidP="00B2681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7973">
      <w:rPr>
        <w:rFonts w:ascii="FrankRuehl" w:hAnsi="FrankRuehl" w:cs="FrankRuehl"/>
        <w:noProof/>
        <w:rtl/>
      </w:rPr>
      <w:t>1</w:t>
    </w:r>
    <w:r>
      <w:rPr>
        <w:rFonts w:ascii="FrankRuehl" w:hAnsi="FrankRuehl" w:cs="FrankRuehl"/>
        <w:rtl/>
      </w:rPr>
      <w:fldChar w:fldCharType="end"/>
    </w:r>
  </w:p>
  <w:p w14:paraId="7BCA39A1" w14:textId="77777777" w:rsidR="00FA7A58" w:rsidRPr="00B26814" w:rsidRDefault="00B26814" w:rsidP="00B26814">
    <w:pPr>
      <w:pStyle w:val="a4"/>
      <w:pBdr>
        <w:top w:val="single" w:sz="4" w:space="1" w:color="auto"/>
        <w:between w:val="single" w:sz="4" w:space="0" w:color="auto"/>
      </w:pBdr>
      <w:spacing w:after="60"/>
      <w:jc w:val="center"/>
      <w:rPr>
        <w:rFonts w:ascii="FrankRuehl" w:hAnsi="FrankRuehl" w:cs="FrankRuehl"/>
        <w:color w:val="000000"/>
      </w:rPr>
    </w:pPr>
    <w:r w:rsidRPr="00B26814">
      <w:rPr>
        <w:rFonts w:ascii="FrankRuehl" w:hAnsi="FrankRuehl" w:cs="FrankRuehl"/>
        <w:color w:val="000000"/>
      </w:rPr>
      <w:pict w14:anchorId="7FF6C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6ABBB" w14:textId="77777777" w:rsidR="00534254" w:rsidRPr="00AB3FCE" w:rsidRDefault="00534254">
      <w:pPr>
        <w:rPr>
          <w:rFonts w:cs="Arial"/>
          <w:szCs w:val="20"/>
        </w:rPr>
      </w:pPr>
      <w:r>
        <w:separator/>
      </w:r>
    </w:p>
  </w:footnote>
  <w:footnote w:type="continuationSeparator" w:id="0">
    <w:p w14:paraId="4FA638ED" w14:textId="77777777" w:rsidR="00534254" w:rsidRPr="00AB3FCE" w:rsidRDefault="0053425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B5B5B" w14:textId="77777777" w:rsidR="00B26814" w:rsidRPr="00B26814" w:rsidRDefault="00B26814" w:rsidP="00B268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36558-10-12</w:t>
    </w:r>
    <w:r>
      <w:rPr>
        <w:rFonts w:ascii="David" w:hAnsi="David"/>
        <w:color w:val="000000"/>
        <w:sz w:val="22"/>
        <w:szCs w:val="22"/>
        <w:rtl/>
      </w:rPr>
      <w:tab/>
      <w:t xml:space="preserve"> מדינת ישראל נ' יוסי הוד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3BBD0" w14:textId="77777777" w:rsidR="00B26814" w:rsidRPr="00B26814" w:rsidRDefault="00B26814" w:rsidP="00B268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36558-10-12</w:t>
    </w:r>
    <w:r>
      <w:rPr>
        <w:rFonts w:ascii="David" w:hAnsi="David"/>
        <w:color w:val="000000"/>
        <w:sz w:val="22"/>
        <w:szCs w:val="22"/>
        <w:rtl/>
      </w:rPr>
      <w:tab/>
      <w:t xml:space="preserve"> מדינת ישראל נ' יוסי הוד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7A58"/>
    <w:rsid w:val="000E43E0"/>
    <w:rsid w:val="004C0010"/>
    <w:rsid w:val="00534254"/>
    <w:rsid w:val="00926C06"/>
    <w:rsid w:val="00B26814"/>
    <w:rsid w:val="00B27973"/>
    <w:rsid w:val="00FA7A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16D621"/>
  <w15:chartTrackingRefBased/>
  <w15:docId w15:val="{4ADDF98A-640D-4DF9-9FEB-DDF2761D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7A5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A7A58"/>
    <w:pPr>
      <w:tabs>
        <w:tab w:val="center" w:pos="4153"/>
        <w:tab w:val="right" w:pos="8306"/>
      </w:tabs>
    </w:pPr>
  </w:style>
  <w:style w:type="paragraph" w:styleId="a4">
    <w:name w:val="footer"/>
    <w:basedOn w:val="a"/>
    <w:rsid w:val="00FA7A58"/>
    <w:pPr>
      <w:tabs>
        <w:tab w:val="center" w:pos="4153"/>
        <w:tab w:val="right" w:pos="8306"/>
      </w:tabs>
    </w:pPr>
  </w:style>
  <w:style w:type="character" w:styleId="a5">
    <w:name w:val="page number"/>
    <w:basedOn w:val="a0"/>
    <w:rsid w:val="00FA7A58"/>
  </w:style>
  <w:style w:type="character" w:styleId="Hyperlink">
    <w:name w:val="Hyperlink"/>
    <w:basedOn w:val="a0"/>
    <w:rsid w:val="00B26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12;&#1506;&#1508;%207196/13"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inks/psika/?link=&#1512;&#1506;&#1508;%205354/12"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link=&#1512;&#1506;&#1508;%204921/07"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1116</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6684</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98893922</vt:i4>
      </vt:variant>
      <vt:variant>
        <vt:i4>6</vt:i4>
      </vt:variant>
      <vt:variant>
        <vt:i4>0</vt:i4>
      </vt:variant>
      <vt:variant>
        <vt:i4>5</vt:i4>
      </vt:variant>
      <vt:variant>
        <vt:lpwstr>http://www.nevo.co.il/links/psika/?link=רעפ 7196/13</vt:lpwstr>
      </vt:variant>
      <vt:variant>
        <vt:lpwstr/>
      </vt:variant>
      <vt:variant>
        <vt:i4>98893932</vt:i4>
      </vt:variant>
      <vt:variant>
        <vt:i4>3</vt:i4>
      </vt:variant>
      <vt:variant>
        <vt:i4>0</vt:i4>
      </vt:variant>
      <vt:variant>
        <vt:i4>5</vt:i4>
      </vt:variant>
      <vt:variant>
        <vt:lpwstr>http://www.nevo.co.il/links/psika/?link=רעפ 5354/12</vt:lpwstr>
      </vt:variant>
      <vt:variant>
        <vt:lpwstr/>
      </vt:variant>
      <vt:variant>
        <vt:i4>99287146</vt:i4>
      </vt:variant>
      <vt:variant>
        <vt:i4>0</vt:i4>
      </vt:variant>
      <vt:variant>
        <vt:i4>0</vt:i4>
      </vt:variant>
      <vt:variant>
        <vt:i4>5</vt:i4>
      </vt:variant>
      <vt:variant>
        <vt:lpwstr>http://www.nevo.co.il/links/psika/?link=רעפ 4921/07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36558</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יוסי הוד</vt:lpwstr>
  </property>
  <property fmtid="{D5CDD505-2E9C-101B-9397-08002B2CF9AE}" pid="10" name="JUDGE">
    <vt:lpwstr>ניצה מימון שעשוע</vt:lpwstr>
  </property>
  <property fmtid="{D5CDD505-2E9C-101B-9397-08002B2CF9AE}" pid="11" name="CITY">
    <vt:lpwstr>פ"ת</vt:lpwstr>
  </property>
  <property fmtid="{D5CDD505-2E9C-101B-9397-08002B2CF9AE}" pid="12" name="DATE">
    <vt:lpwstr>20131124</vt:lpwstr>
  </property>
  <property fmtid="{D5CDD505-2E9C-101B-9397-08002B2CF9AE}" pid="13" name="TYPE_N_DATE">
    <vt:lpwstr>38020131124</vt:lpwstr>
  </property>
  <property fmtid="{D5CDD505-2E9C-101B-9397-08002B2CF9AE}" pid="14" name="WORDNUMPAGES">
    <vt:lpwstr>4</vt:lpwstr>
  </property>
  <property fmtid="{D5CDD505-2E9C-101B-9397-08002B2CF9AE}" pid="15" name="TYPE_ABS_DATE">
    <vt:lpwstr>380020131124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