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A46E8" w:rsidRPr="002F5DAF" w14:paraId="195310A9" w14:textId="77777777">
        <w:trPr>
          <w:trHeight w:hRule="exact" w:val="418"/>
          <w:jc w:val="center"/>
        </w:trPr>
        <w:tc>
          <w:tcPr>
            <w:tcW w:w="8720" w:type="dxa"/>
            <w:gridSpan w:val="3"/>
          </w:tcPr>
          <w:p w14:paraId="4AEA4B2E" w14:textId="77777777" w:rsidR="008A46E8" w:rsidRPr="002F5DAF" w:rsidRDefault="002F5DAF">
            <w:pPr>
              <w:pStyle w:val="a3"/>
              <w:tabs>
                <w:tab w:val="clear" w:pos="8306"/>
              </w:tabs>
              <w:jc w:val="center"/>
              <w:rPr>
                <w:rFonts w:ascii="Tahoma" w:hAnsi="Tahoma" w:cs="Tahoma"/>
                <w:b/>
                <w:bCs/>
                <w:color w:val="000080"/>
                <w:sz w:val="20"/>
                <w:szCs w:val="20"/>
                <w:rtl/>
              </w:rPr>
            </w:pPr>
            <w:r w:rsidRPr="002F5DAF">
              <w:rPr>
                <w:rFonts w:ascii="Tahoma" w:hAnsi="Tahoma" w:cs="Tahoma"/>
                <w:b/>
                <w:bCs/>
                <w:color w:val="000080"/>
                <w:sz w:val="20"/>
                <w:szCs w:val="20"/>
                <w:rtl/>
              </w:rPr>
              <w:t>בית משפט השלום בראשון לציון</w:t>
            </w:r>
          </w:p>
        </w:tc>
      </w:tr>
      <w:tr w:rsidR="008A46E8" w:rsidRPr="002F5DAF" w14:paraId="0216E1B0" w14:textId="77777777">
        <w:trPr>
          <w:trHeight w:val="337"/>
          <w:jc w:val="center"/>
        </w:trPr>
        <w:tc>
          <w:tcPr>
            <w:tcW w:w="3973" w:type="dxa"/>
          </w:tcPr>
          <w:p w14:paraId="22B2DAEB" w14:textId="77777777" w:rsidR="008A46E8" w:rsidRPr="002F5DAF" w:rsidRDefault="002F5DAF">
            <w:pPr>
              <w:rPr>
                <w:b/>
                <w:bCs/>
                <w:sz w:val="26"/>
                <w:szCs w:val="26"/>
                <w:rtl/>
              </w:rPr>
            </w:pPr>
            <w:r w:rsidRPr="002F5DAF">
              <w:rPr>
                <w:b/>
                <w:bCs/>
                <w:sz w:val="26"/>
                <w:szCs w:val="26"/>
                <w:rtl/>
              </w:rPr>
              <w:t>ת"פ</w:t>
            </w:r>
            <w:r w:rsidRPr="002F5DAF">
              <w:rPr>
                <w:rFonts w:hint="cs"/>
                <w:b/>
                <w:bCs/>
                <w:sz w:val="26"/>
                <w:szCs w:val="26"/>
                <w:rtl/>
              </w:rPr>
              <w:t xml:space="preserve"> </w:t>
            </w:r>
            <w:r w:rsidRPr="002F5DAF">
              <w:rPr>
                <w:b/>
                <w:bCs/>
                <w:sz w:val="26"/>
                <w:szCs w:val="26"/>
                <w:rtl/>
              </w:rPr>
              <w:t>46819-10-12</w:t>
            </w:r>
            <w:r w:rsidRPr="002F5DAF">
              <w:rPr>
                <w:rFonts w:hint="cs"/>
                <w:b/>
                <w:bCs/>
                <w:sz w:val="26"/>
                <w:szCs w:val="26"/>
                <w:rtl/>
              </w:rPr>
              <w:t xml:space="preserve"> </w:t>
            </w:r>
            <w:r w:rsidRPr="002F5DAF">
              <w:rPr>
                <w:b/>
                <w:bCs/>
                <w:sz w:val="26"/>
                <w:szCs w:val="26"/>
                <w:rtl/>
              </w:rPr>
              <w:t>מדינת ישראל נ' פרסול</w:t>
            </w:r>
          </w:p>
          <w:p w14:paraId="428533B3" w14:textId="77777777" w:rsidR="008A46E8" w:rsidRPr="002F5DAF" w:rsidRDefault="008A46E8">
            <w:pPr>
              <w:rPr>
                <w:b/>
                <w:bCs/>
                <w:sz w:val="26"/>
                <w:szCs w:val="26"/>
                <w:rtl/>
              </w:rPr>
            </w:pPr>
          </w:p>
        </w:tc>
        <w:tc>
          <w:tcPr>
            <w:tcW w:w="1068" w:type="dxa"/>
          </w:tcPr>
          <w:p w14:paraId="0B1D3B10" w14:textId="77777777" w:rsidR="008A46E8" w:rsidRPr="002F5DAF" w:rsidRDefault="008A46E8">
            <w:pPr>
              <w:pStyle w:val="a3"/>
              <w:jc w:val="right"/>
              <w:rPr>
                <w:b/>
                <w:bCs/>
                <w:sz w:val="26"/>
                <w:szCs w:val="26"/>
                <w:rtl/>
              </w:rPr>
            </w:pPr>
          </w:p>
        </w:tc>
        <w:tc>
          <w:tcPr>
            <w:tcW w:w="3679" w:type="dxa"/>
          </w:tcPr>
          <w:p w14:paraId="7B6F90E7" w14:textId="77777777" w:rsidR="008A46E8" w:rsidRPr="002F5DAF" w:rsidRDefault="002F5DAF">
            <w:pPr>
              <w:pStyle w:val="a3"/>
              <w:tabs>
                <w:tab w:val="clear" w:pos="4153"/>
              </w:tabs>
              <w:jc w:val="right"/>
              <w:rPr>
                <w:b/>
                <w:bCs/>
                <w:sz w:val="26"/>
                <w:szCs w:val="26"/>
                <w:rtl/>
              </w:rPr>
            </w:pPr>
            <w:r w:rsidRPr="002F5DAF">
              <w:rPr>
                <w:b/>
                <w:bCs/>
                <w:sz w:val="26"/>
                <w:szCs w:val="26"/>
                <w:rtl/>
              </w:rPr>
              <w:t>24 מרץ 2014</w:t>
            </w:r>
          </w:p>
        </w:tc>
      </w:tr>
    </w:tbl>
    <w:p w14:paraId="42DCC27A" w14:textId="77777777" w:rsidR="008A46E8" w:rsidRPr="002F5DAF" w:rsidRDefault="008A46E8">
      <w:pPr>
        <w:pStyle w:val="a3"/>
        <w:jc w:val="center"/>
        <w:rPr>
          <w:rFonts w:ascii="Tahoma" w:hAnsi="Tahoma" w:cs="Tahoma"/>
          <w:b/>
          <w:bCs/>
          <w:color w:val="000080"/>
          <w:sz w:val="20"/>
          <w:szCs w:val="20"/>
          <w:rtl/>
        </w:rPr>
      </w:pPr>
    </w:p>
    <w:p w14:paraId="2A1D9C3D" w14:textId="77777777" w:rsidR="008A46E8" w:rsidRPr="002F5DAF" w:rsidRDefault="008A46E8">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8A46E8" w:rsidRPr="002F5DAF" w14:paraId="04AE5042" w14:textId="77777777">
        <w:trPr>
          <w:gridAfter w:val="1"/>
          <w:wAfter w:w="55" w:type="dxa"/>
        </w:trPr>
        <w:tc>
          <w:tcPr>
            <w:tcW w:w="8719" w:type="dxa"/>
            <w:gridSpan w:val="2"/>
          </w:tcPr>
          <w:p w14:paraId="4CFF9971" w14:textId="77777777" w:rsidR="008A46E8" w:rsidRPr="002F5DAF" w:rsidRDefault="002F5DAF">
            <w:pPr>
              <w:spacing w:line="360" w:lineRule="auto"/>
              <w:jc w:val="both"/>
              <w:rPr>
                <w:rFonts w:ascii="Arial" w:eastAsia="Times New Roman" w:hAnsi="Arial" w:cs="Times New Roman"/>
                <w:rtl/>
              </w:rPr>
            </w:pPr>
            <w:r w:rsidRPr="002F5DAF">
              <w:rPr>
                <w:rFonts w:ascii="Times New Roman" w:eastAsia="Times New Roman" w:hAnsi="Times New Roman" w:hint="cs"/>
                <w:b/>
                <w:bCs/>
                <w:sz w:val="26"/>
                <w:szCs w:val="26"/>
                <w:rtl/>
              </w:rPr>
              <w:t>בפני כב' סגן הנשיאה, השופט אברהם הימן</w:t>
            </w:r>
          </w:p>
        </w:tc>
      </w:tr>
      <w:tr w:rsidR="008A46E8" w:rsidRPr="002F5DAF" w14:paraId="619A2C26" w14:textId="77777777">
        <w:tc>
          <w:tcPr>
            <w:tcW w:w="2880" w:type="dxa"/>
          </w:tcPr>
          <w:p w14:paraId="2E499D0A" w14:textId="77777777" w:rsidR="008A46E8" w:rsidRPr="002F5DAF" w:rsidRDefault="002F5DAF">
            <w:pPr>
              <w:ind w:left="26"/>
              <w:rPr>
                <w:rFonts w:ascii="Times New Roman" w:eastAsia="Times New Roman" w:hAnsi="Times New Roman"/>
                <w:b/>
                <w:bCs/>
                <w:sz w:val="26"/>
                <w:szCs w:val="26"/>
                <w:rtl/>
              </w:rPr>
            </w:pPr>
            <w:bookmarkStart w:id="0" w:name="FirstAppellant"/>
            <w:bookmarkStart w:id="1" w:name="LastJudge"/>
            <w:bookmarkEnd w:id="1"/>
            <w:r w:rsidRPr="002F5DAF">
              <w:rPr>
                <w:rFonts w:ascii="Times New Roman" w:eastAsia="Times New Roman" w:hAnsi="Times New Roman" w:hint="cs"/>
                <w:b/>
                <w:bCs/>
                <w:sz w:val="26"/>
                <w:szCs w:val="26"/>
                <w:rtl/>
              </w:rPr>
              <w:t>ה</w:t>
            </w:r>
            <w:r w:rsidRPr="002F5DAF">
              <w:rPr>
                <w:rFonts w:ascii="Times New Roman" w:eastAsia="Times New Roman" w:hAnsi="Times New Roman" w:hint="cs"/>
                <w:rtl/>
              </w:rPr>
              <w:t>מאשימה</w:t>
            </w:r>
          </w:p>
        </w:tc>
        <w:tc>
          <w:tcPr>
            <w:tcW w:w="5922" w:type="dxa"/>
            <w:gridSpan w:val="2"/>
          </w:tcPr>
          <w:p w14:paraId="591A50CA" w14:textId="77777777" w:rsidR="008A46E8" w:rsidRPr="002F5DAF" w:rsidRDefault="002F5DAF">
            <w:pPr>
              <w:rPr>
                <w:rFonts w:ascii="Times New Roman" w:eastAsia="Times New Roman" w:hAnsi="Times New Roman"/>
                <w:b/>
                <w:bCs/>
                <w:sz w:val="26"/>
                <w:szCs w:val="26"/>
                <w:rtl/>
              </w:rPr>
            </w:pPr>
            <w:r w:rsidRPr="002F5DAF">
              <w:rPr>
                <w:rFonts w:ascii="Times New Roman" w:eastAsia="Times New Roman" w:hAnsi="Times New Roman" w:hint="cs"/>
                <w:b/>
                <w:bCs/>
                <w:sz w:val="26"/>
                <w:szCs w:val="26"/>
                <w:rtl/>
              </w:rPr>
              <w:t xml:space="preserve"> </w:t>
            </w:r>
            <w:r w:rsidRPr="002F5DAF">
              <w:rPr>
                <w:rFonts w:ascii="Times New Roman" w:eastAsia="Times New Roman" w:hAnsi="Times New Roman" w:hint="cs"/>
                <w:rtl/>
              </w:rPr>
              <w:t>מדינת ישראל</w:t>
            </w:r>
          </w:p>
        </w:tc>
      </w:tr>
      <w:bookmarkEnd w:id="0"/>
      <w:tr w:rsidR="008A46E8" w:rsidRPr="002F5DAF" w14:paraId="24124D2E" w14:textId="77777777">
        <w:tc>
          <w:tcPr>
            <w:tcW w:w="8802" w:type="dxa"/>
            <w:gridSpan w:val="3"/>
          </w:tcPr>
          <w:p w14:paraId="729C94AE" w14:textId="77777777" w:rsidR="008A46E8" w:rsidRPr="002F5DAF" w:rsidRDefault="008A46E8">
            <w:pPr>
              <w:jc w:val="both"/>
              <w:rPr>
                <w:rFonts w:ascii="Arial" w:eastAsia="Times New Roman" w:hAnsi="Arial"/>
                <w:b/>
                <w:bCs/>
                <w:sz w:val="26"/>
                <w:szCs w:val="26"/>
                <w:rtl/>
              </w:rPr>
            </w:pPr>
          </w:p>
          <w:p w14:paraId="7C00C01B" w14:textId="77777777" w:rsidR="008A46E8" w:rsidRPr="002F5DAF" w:rsidRDefault="002F5DAF">
            <w:pPr>
              <w:jc w:val="center"/>
              <w:rPr>
                <w:rFonts w:ascii="Arial" w:eastAsia="Times New Roman" w:hAnsi="Arial"/>
                <w:b/>
                <w:bCs/>
                <w:sz w:val="26"/>
                <w:szCs w:val="26"/>
                <w:rtl/>
              </w:rPr>
            </w:pPr>
            <w:r w:rsidRPr="002F5DAF">
              <w:rPr>
                <w:rFonts w:ascii="Arial" w:eastAsia="Times New Roman" w:hAnsi="Arial"/>
                <w:b/>
                <w:bCs/>
                <w:sz w:val="26"/>
                <w:szCs w:val="26"/>
                <w:rtl/>
              </w:rPr>
              <w:t>נגד</w:t>
            </w:r>
          </w:p>
          <w:p w14:paraId="43D6D766" w14:textId="77777777" w:rsidR="008A46E8" w:rsidRPr="002F5DAF" w:rsidRDefault="008A46E8">
            <w:pPr>
              <w:jc w:val="center"/>
              <w:rPr>
                <w:rFonts w:ascii="Arial" w:eastAsia="Times New Roman" w:hAnsi="Arial"/>
                <w:b/>
                <w:bCs/>
                <w:sz w:val="26"/>
                <w:szCs w:val="26"/>
              </w:rPr>
            </w:pPr>
          </w:p>
        </w:tc>
      </w:tr>
      <w:tr w:rsidR="008A46E8" w:rsidRPr="002F5DAF" w14:paraId="2B724283" w14:textId="77777777">
        <w:tc>
          <w:tcPr>
            <w:tcW w:w="2880" w:type="dxa"/>
          </w:tcPr>
          <w:p w14:paraId="6D27B17A" w14:textId="77777777" w:rsidR="008A46E8" w:rsidRPr="002F5DAF" w:rsidRDefault="002F5DAF">
            <w:pPr>
              <w:ind w:left="26"/>
              <w:rPr>
                <w:rFonts w:ascii="Times New Roman" w:eastAsia="Times New Roman" w:hAnsi="Times New Roman"/>
                <w:b/>
                <w:bCs/>
                <w:sz w:val="26"/>
                <w:szCs w:val="26"/>
                <w:rtl/>
              </w:rPr>
            </w:pPr>
            <w:r w:rsidRPr="002F5DAF">
              <w:rPr>
                <w:rFonts w:ascii="Times New Roman" w:eastAsia="Times New Roman" w:hAnsi="Times New Roman" w:hint="cs"/>
                <w:b/>
                <w:bCs/>
                <w:sz w:val="26"/>
                <w:szCs w:val="26"/>
                <w:rtl/>
              </w:rPr>
              <w:t>ה</w:t>
            </w:r>
            <w:r w:rsidRPr="002F5DAF">
              <w:rPr>
                <w:rFonts w:ascii="Times New Roman" w:eastAsia="Times New Roman" w:hAnsi="Times New Roman" w:hint="cs"/>
                <w:rtl/>
              </w:rPr>
              <w:t>נאשם</w:t>
            </w:r>
          </w:p>
        </w:tc>
        <w:tc>
          <w:tcPr>
            <w:tcW w:w="5922" w:type="dxa"/>
            <w:gridSpan w:val="2"/>
          </w:tcPr>
          <w:p w14:paraId="26D0985F" w14:textId="77777777" w:rsidR="008A46E8" w:rsidRPr="002F5DAF" w:rsidRDefault="002F5DAF">
            <w:pPr>
              <w:rPr>
                <w:rFonts w:ascii="Times New Roman" w:eastAsia="Times New Roman" w:hAnsi="Times New Roman"/>
                <w:b/>
                <w:bCs/>
                <w:sz w:val="26"/>
                <w:szCs w:val="26"/>
                <w:rtl/>
              </w:rPr>
            </w:pPr>
            <w:r w:rsidRPr="002F5DAF">
              <w:rPr>
                <w:rFonts w:ascii="Times New Roman" w:eastAsia="Times New Roman" w:hAnsi="Times New Roman" w:hint="cs"/>
                <w:rtl/>
              </w:rPr>
              <w:t>רואי פרסול</w:t>
            </w:r>
          </w:p>
        </w:tc>
      </w:tr>
    </w:tbl>
    <w:p w14:paraId="596E78CD" w14:textId="77777777" w:rsidR="008A46E8" w:rsidRPr="002F5DAF" w:rsidRDefault="002F5DAF">
      <w:pPr>
        <w:spacing w:line="360" w:lineRule="auto"/>
        <w:jc w:val="both"/>
        <w:rPr>
          <w:sz w:val="6"/>
          <w:szCs w:val="6"/>
          <w:rtl/>
        </w:rPr>
      </w:pPr>
      <w:r w:rsidRPr="002F5DAF">
        <w:rPr>
          <w:sz w:val="6"/>
          <w:szCs w:val="6"/>
          <w:rtl/>
        </w:rPr>
        <w:t>&lt;#1#&gt;</w:t>
      </w:r>
    </w:p>
    <w:p w14:paraId="7E1D28CF" w14:textId="77777777" w:rsidR="008A46E8" w:rsidRPr="002F5DAF" w:rsidRDefault="008A46E8">
      <w:pPr>
        <w:pStyle w:val="12"/>
        <w:rPr>
          <w:b w:val="0"/>
          <w:bCs w:val="0"/>
          <w:u w:val="none"/>
          <w:rtl/>
        </w:rPr>
      </w:pPr>
    </w:p>
    <w:p w14:paraId="3FB39352" w14:textId="77777777" w:rsidR="008A46E8" w:rsidRPr="002F5DAF" w:rsidRDefault="002F5DAF">
      <w:pPr>
        <w:rPr>
          <w:b/>
          <w:bCs/>
          <w:rtl/>
        </w:rPr>
      </w:pPr>
      <w:r w:rsidRPr="002F5DAF">
        <w:rPr>
          <w:rFonts w:hint="cs"/>
          <w:b/>
          <w:bCs/>
          <w:rtl/>
        </w:rPr>
        <w:t>נוכחים:</w:t>
      </w:r>
    </w:p>
    <w:p w14:paraId="67279005" w14:textId="77777777" w:rsidR="008A46E8" w:rsidRPr="002F5DAF" w:rsidRDefault="002F5DAF">
      <w:pPr>
        <w:rPr>
          <w:b/>
          <w:bCs/>
          <w:rtl/>
        </w:rPr>
      </w:pPr>
      <w:bookmarkStart w:id="2" w:name="FirstLawyer"/>
      <w:r w:rsidRPr="002F5DAF">
        <w:rPr>
          <w:rFonts w:hint="cs"/>
          <w:b/>
          <w:bCs/>
          <w:rtl/>
        </w:rPr>
        <w:t>ב"כ</w:t>
      </w:r>
      <w:bookmarkEnd w:id="2"/>
      <w:r w:rsidRPr="002F5DAF">
        <w:rPr>
          <w:rFonts w:hint="cs"/>
          <w:b/>
          <w:bCs/>
          <w:rtl/>
        </w:rPr>
        <w:t xml:space="preserve"> המאשימה עו"ד עירית גלר  </w:t>
      </w:r>
    </w:p>
    <w:p w14:paraId="73CD0AD9" w14:textId="77777777" w:rsidR="008A46E8" w:rsidRPr="002F5DAF" w:rsidRDefault="002F5DAF">
      <w:pPr>
        <w:rPr>
          <w:b/>
          <w:bCs/>
          <w:rtl/>
        </w:rPr>
      </w:pPr>
      <w:r w:rsidRPr="002F5DAF">
        <w:rPr>
          <w:rFonts w:hint="cs"/>
          <w:b/>
          <w:bCs/>
          <w:rtl/>
        </w:rPr>
        <w:t xml:space="preserve">הנאשם וב"כ עו"ד   ירון פורר  </w:t>
      </w:r>
    </w:p>
    <w:p w14:paraId="1C260A6A" w14:textId="77777777" w:rsidR="008A46E8" w:rsidRPr="002F5DAF" w:rsidRDefault="008A46E8">
      <w:pPr>
        <w:pStyle w:val="12"/>
        <w:rPr>
          <w:b w:val="0"/>
          <w:bCs w:val="0"/>
          <w:u w:val="none"/>
          <w:rtl/>
        </w:rPr>
      </w:pPr>
    </w:p>
    <w:p w14:paraId="7A6A476A" w14:textId="77777777" w:rsidR="006932EB" w:rsidRDefault="002F5DAF">
      <w:pPr>
        <w:spacing w:line="360" w:lineRule="auto"/>
        <w:jc w:val="center"/>
        <w:rPr>
          <w:rFonts w:ascii="Arial" w:hAnsi="Arial"/>
          <w:sz w:val="28"/>
          <w:szCs w:val="28"/>
          <w:rtl/>
        </w:rPr>
      </w:pPr>
      <w:r w:rsidRPr="002F5DAF">
        <w:rPr>
          <w:rFonts w:ascii="Arial" w:hAnsi="Arial"/>
          <w:b/>
          <w:color w:val="FF0000"/>
          <w:sz w:val="28"/>
          <w:rtl/>
        </w:rPr>
        <w:t>במסמך זה הושמטו פרוטוקולים</w:t>
      </w:r>
      <w:bookmarkStart w:id="3" w:name="LawTable"/>
      <w:bookmarkEnd w:id="3"/>
    </w:p>
    <w:p w14:paraId="5A42B594" w14:textId="77777777" w:rsidR="006932EB" w:rsidRPr="006932EB" w:rsidRDefault="006932EB" w:rsidP="006932EB">
      <w:pPr>
        <w:spacing w:after="120" w:line="240" w:lineRule="exact"/>
        <w:ind w:left="283" w:hanging="283"/>
        <w:jc w:val="both"/>
        <w:rPr>
          <w:rFonts w:ascii="FrankRuehl" w:hAnsi="FrankRuehl" w:cs="FrankRuehl"/>
          <w:rtl/>
        </w:rPr>
      </w:pPr>
    </w:p>
    <w:p w14:paraId="4C3CC336" w14:textId="77777777" w:rsidR="006932EB" w:rsidRPr="006932EB" w:rsidRDefault="006932EB" w:rsidP="006932EB">
      <w:pPr>
        <w:spacing w:after="120" w:line="240" w:lineRule="exact"/>
        <w:ind w:left="283" w:hanging="283"/>
        <w:jc w:val="both"/>
        <w:rPr>
          <w:rFonts w:ascii="FrankRuehl" w:hAnsi="FrankRuehl" w:cs="FrankRuehl"/>
          <w:rtl/>
        </w:rPr>
      </w:pPr>
      <w:r w:rsidRPr="006932EB">
        <w:rPr>
          <w:rFonts w:ascii="FrankRuehl" w:hAnsi="FrankRuehl" w:cs="FrankRuehl"/>
          <w:rtl/>
        </w:rPr>
        <w:t xml:space="preserve">חקיקה שאוזכרה: </w:t>
      </w:r>
    </w:p>
    <w:p w14:paraId="5219BD4B" w14:textId="77777777" w:rsidR="006932EB" w:rsidRPr="006932EB" w:rsidRDefault="006932EB" w:rsidP="006932EB">
      <w:pPr>
        <w:spacing w:after="120" w:line="240" w:lineRule="exact"/>
        <w:ind w:left="283" w:hanging="283"/>
        <w:jc w:val="both"/>
        <w:rPr>
          <w:rFonts w:ascii="FrankRuehl" w:hAnsi="FrankRuehl" w:cs="FrankRuehl"/>
          <w:rtl/>
        </w:rPr>
      </w:pPr>
      <w:hyperlink r:id="rId6" w:history="1">
        <w:r w:rsidRPr="006932EB">
          <w:rPr>
            <w:rFonts w:ascii="FrankRuehl" w:hAnsi="FrankRuehl" w:cs="FrankRuehl"/>
            <w:color w:val="0000FF"/>
            <w:u w:val="single"/>
            <w:rtl/>
          </w:rPr>
          <w:t>חוק העונשין, תשל"ז-1977</w:t>
        </w:r>
      </w:hyperlink>
      <w:r w:rsidRPr="006932EB">
        <w:rPr>
          <w:rFonts w:ascii="FrankRuehl" w:hAnsi="FrankRuehl" w:cs="FrankRuehl"/>
          <w:rtl/>
        </w:rPr>
        <w:t xml:space="preserve">: סע'  </w:t>
      </w:r>
      <w:hyperlink r:id="rId7" w:history="1">
        <w:r w:rsidRPr="006932EB">
          <w:rPr>
            <w:rFonts w:ascii="FrankRuehl" w:hAnsi="FrankRuehl" w:cs="FrankRuehl"/>
            <w:color w:val="0000FF"/>
            <w:u w:val="single"/>
            <w:rtl/>
          </w:rPr>
          <w:t>413</w:t>
        </w:r>
      </w:hyperlink>
    </w:p>
    <w:p w14:paraId="407FB572" w14:textId="77777777" w:rsidR="006932EB" w:rsidRPr="006932EB" w:rsidRDefault="006932EB" w:rsidP="006932EB">
      <w:pPr>
        <w:spacing w:after="120" w:line="240" w:lineRule="exact"/>
        <w:ind w:left="283" w:hanging="283"/>
        <w:jc w:val="both"/>
        <w:rPr>
          <w:rFonts w:ascii="FrankRuehl" w:hAnsi="FrankRuehl" w:cs="FrankRuehl"/>
          <w:rtl/>
        </w:rPr>
      </w:pPr>
      <w:hyperlink r:id="rId8" w:history="1">
        <w:r w:rsidRPr="006932EB">
          <w:rPr>
            <w:rFonts w:ascii="FrankRuehl" w:hAnsi="FrankRuehl" w:cs="FrankRuehl"/>
            <w:color w:val="0000FF"/>
            <w:u w:val="single"/>
            <w:rtl/>
          </w:rPr>
          <w:t>פקודת הסמים המסוכנים [נוסח חדש], תשל"ג-1973</w:t>
        </w:r>
      </w:hyperlink>
    </w:p>
    <w:p w14:paraId="7E60B006" w14:textId="77777777" w:rsidR="006932EB" w:rsidRPr="006932EB" w:rsidRDefault="006932EB" w:rsidP="006932EB">
      <w:pPr>
        <w:spacing w:after="120" w:line="240" w:lineRule="exact"/>
        <w:ind w:left="283" w:hanging="283"/>
        <w:jc w:val="both"/>
        <w:rPr>
          <w:rFonts w:ascii="FrankRuehl" w:hAnsi="FrankRuehl" w:cs="FrankRuehl"/>
          <w:rtl/>
        </w:rPr>
      </w:pPr>
    </w:p>
    <w:p w14:paraId="5E4DDFAC" w14:textId="77777777" w:rsidR="002F5DAF" w:rsidRPr="002F5DAF" w:rsidRDefault="002F5DAF" w:rsidP="002F5DAF">
      <w:pPr>
        <w:spacing w:line="360" w:lineRule="auto"/>
        <w:jc w:val="center"/>
        <w:rPr>
          <w:rFonts w:ascii="Arial" w:hAnsi="Arial"/>
          <w:b/>
          <w:bCs/>
          <w:sz w:val="28"/>
          <w:szCs w:val="28"/>
          <w:u w:val="single"/>
          <w:rtl/>
        </w:rPr>
      </w:pPr>
      <w:bookmarkStart w:id="4" w:name="LawTable_End"/>
      <w:bookmarkStart w:id="5" w:name="PsakDin"/>
      <w:bookmarkEnd w:id="4"/>
      <w:r w:rsidRPr="002F5DAF">
        <w:rPr>
          <w:rFonts w:ascii="Arial" w:hAnsi="Arial"/>
          <w:b/>
          <w:bCs/>
          <w:sz w:val="28"/>
          <w:szCs w:val="28"/>
          <w:u w:val="single"/>
          <w:rtl/>
        </w:rPr>
        <w:t>גזר דין</w:t>
      </w:r>
    </w:p>
    <w:bookmarkEnd w:id="5"/>
    <w:p w14:paraId="6C8AAF4F" w14:textId="77777777" w:rsidR="008A46E8" w:rsidRDefault="008A46E8">
      <w:pPr>
        <w:spacing w:line="360" w:lineRule="auto"/>
        <w:rPr>
          <w:rtl/>
        </w:rPr>
      </w:pPr>
    </w:p>
    <w:p w14:paraId="1F746422" w14:textId="77777777" w:rsidR="008A46E8" w:rsidRDefault="002F5DAF">
      <w:pPr>
        <w:spacing w:line="360" w:lineRule="auto"/>
        <w:rPr>
          <w:rtl/>
        </w:rPr>
      </w:pPr>
      <w:r>
        <w:rPr>
          <w:rFonts w:hint="cs"/>
          <w:rtl/>
        </w:rPr>
        <w:t>שאלה ראשונה שיש לתת עליה הדעת היא האם בין הצדדים מצוי הסדר הטיעון שבלשון השגורה בפינו בימים אלה "סגור". אני מציג שאלה זו בפתח הדברים לפי שלדעתי  בהתאם לתיקון 113 ל</w:t>
      </w:r>
      <w:hyperlink r:id="rId9" w:history="1">
        <w:r w:rsidRPr="002F5DAF">
          <w:rPr>
            <w:color w:val="0000FF"/>
            <w:u w:val="single"/>
            <w:rtl/>
          </w:rPr>
          <w:t>חוק העונשין</w:t>
        </w:r>
      </w:hyperlink>
      <w:r>
        <w:rPr>
          <w:rFonts w:hint="cs"/>
          <w:rtl/>
        </w:rPr>
        <w:t xml:space="preserve"> הרי שככל שמוצג לבית המשפט הסדר טיעון (סגור) משמע כל רכיבי העונש מוסכמים בין הצדדים וככל שבית המשפט מקבל ההסדר ואיננו דוחה אותו ממילא אין צורך ללכת אחר אותו מתווה שנקבע בתיקון. </w:t>
      </w:r>
    </w:p>
    <w:p w14:paraId="4F323EB2" w14:textId="77777777" w:rsidR="008A46E8" w:rsidRDefault="008A46E8">
      <w:pPr>
        <w:spacing w:line="360" w:lineRule="auto"/>
        <w:rPr>
          <w:rtl/>
        </w:rPr>
      </w:pPr>
    </w:p>
    <w:p w14:paraId="559C2467" w14:textId="77777777" w:rsidR="008A46E8" w:rsidRDefault="002F5DAF">
      <w:pPr>
        <w:spacing w:line="360" w:lineRule="auto"/>
        <w:rPr>
          <w:rtl/>
        </w:rPr>
      </w:pPr>
      <w:r>
        <w:rPr>
          <w:rFonts w:hint="cs"/>
          <w:rtl/>
        </w:rPr>
        <w:t xml:space="preserve">על פי המוסכם בין הצדדים וכעולה מתוך טיעוני הצדדים כל אשר מוסכם בינהם מבחינת עונש המאסר הוא הגבלת תקופת מאסר לו עותרת התביעה והגבלה לדרך ריצוי המאסר דהיינו בעבודות שרות. התביעה הגבילה עצמה לעונש של 6 חודשי מאסר אשר ירוצו בעבודות שרות בכפוף לחוות דעת הממונה על עבודות שרות בשב"ס. </w:t>
      </w:r>
    </w:p>
    <w:p w14:paraId="622D7947" w14:textId="77777777" w:rsidR="008A46E8" w:rsidRDefault="008A46E8">
      <w:pPr>
        <w:spacing w:line="360" w:lineRule="auto"/>
        <w:rPr>
          <w:rtl/>
        </w:rPr>
      </w:pPr>
    </w:p>
    <w:p w14:paraId="05928E49" w14:textId="77777777" w:rsidR="008A46E8" w:rsidRDefault="002F5DAF">
      <w:pPr>
        <w:spacing w:line="360" w:lineRule="auto"/>
        <w:rPr>
          <w:rtl/>
        </w:rPr>
      </w:pPr>
      <w:r>
        <w:rPr>
          <w:rFonts w:hint="cs"/>
          <w:rtl/>
        </w:rPr>
        <w:t>מאידך אתה אומר כי הנאשם חופשי בטיעוניו, משום כך אני סבור שיש ללכת אחר המתווה שנקבע בתיקון 113 ל</w:t>
      </w:r>
      <w:hyperlink r:id="rId10" w:history="1">
        <w:r w:rsidRPr="002F5DAF">
          <w:rPr>
            <w:color w:val="0000FF"/>
            <w:u w:val="single"/>
            <w:rtl/>
          </w:rPr>
          <w:t>חוק העונשין</w:t>
        </w:r>
      </w:hyperlink>
      <w:r>
        <w:rPr>
          <w:rFonts w:hint="cs"/>
          <w:rtl/>
        </w:rPr>
        <w:t xml:space="preserve">. וכאן המקום לציין תוך הדגשה העבירות בהן הורשע הנאשם ואלה אשר העונש עליהן שנוי במחלוקת. </w:t>
      </w:r>
    </w:p>
    <w:p w14:paraId="626932CD" w14:textId="77777777" w:rsidR="008A46E8" w:rsidRDefault="008A46E8">
      <w:pPr>
        <w:spacing w:line="360" w:lineRule="auto"/>
        <w:rPr>
          <w:rtl/>
        </w:rPr>
      </w:pPr>
    </w:p>
    <w:p w14:paraId="78CEC9B8" w14:textId="77777777" w:rsidR="008A46E8" w:rsidRDefault="002F5DAF">
      <w:pPr>
        <w:spacing w:line="360" w:lineRule="auto"/>
        <w:rPr>
          <w:rtl/>
        </w:rPr>
      </w:pPr>
      <w:bookmarkStart w:id="6" w:name="ABSTRACT_START"/>
      <w:bookmarkEnd w:id="6"/>
      <w:r>
        <w:rPr>
          <w:rFonts w:hint="cs"/>
          <w:rtl/>
        </w:rPr>
        <w:lastRenderedPageBreak/>
        <w:t xml:space="preserve">הנאשם הורשע על פי הודייתו בעבירה של החזקת סם שלא לשימוש עצמי. מדובר בארבעה סוגי סמים שונים כפי המפורט בכתב האישום ובין היתר למעלה מ- 17 גרם קנביס ו- 55 גרם חשיש. </w:t>
      </w:r>
    </w:p>
    <w:p w14:paraId="301DA396" w14:textId="77777777" w:rsidR="008A46E8" w:rsidRDefault="008A46E8">
      <w:pPr>
        <w:spacing w:line="360" w:lineRule="auto"/>
        <w:rPr>
          <w:rtl/>
        </w:rPr>
      </w:pPr>
      <w:bookmarkStart w:id="7" w:name="ABSTRACT_END"/>
      <w:bookmarkEnd w:id="7"/>
    </w:p>
    <w:p w14:paraId="7C198230" w14:textId="77777777" w:rsidR="008A46E8" w:rsidRDefault="002F5DAF">
      <w:pPr>
        <w:spacing w:line="360" w:lineRule="auto"/>
        <w:rPr>
          <w:rtl/>
        </w:rPr>
      </w:pPr>
      <w:r>
        <w:rPr>
          <w:rFonts w:hint="cs"/>
          <w:rtl/>
        </w:rPr>
        <w:t xml:space="preserve">כאן המקום לשאול מה הוא מתחם העונש ההולם לעבירה זו. העונש הקבוע בחוק לעבירה של החזקת סם שלא לשימוש עצמי הוא 20 שנות מאסר. אין ספק בכך שמדובר באחד העונשים החמורים ביותר המצויים עלי ספר חוקים. מדיניות הענישה בעבירות סמים מסוג פשע, לרבות החזקת סם שלא לשימוש עצמי, הפגיעה הקשה בחברה בעקבות הפצת סם ושימוש סם בקרב האוכלוסיה ויתר השיקולים הרלוונטים בבחינת הנסיבות הקשורות לעבירה, הם המביאים לקביעת מתחם עונש הולם. </w:t>
      </w:r>
    </w:p>
    <w:p w14:paraId="79A45D53" w14:textId="77777777" w:rsidR="008A46E8" w:rsidRDefault="008A46E8">
      <w:pPr>
        <w:spacing w:line="360" w:lineRule="auto"/>
        <w:rPr>
          <w:rtl/>
        </w:rPr>
      </w:pPr>
    </w:p>
    <w:p w14:paraId="319D3CF4" w14:textId="77777777" w:rsidR="008A46E8" w:rsidRDefault="002F5DAF">
      <w:pPr>
        <w:spacing w:line="360" w:lineRule="auto"/>
        <w:rPr>
          <w:rtl/>
        </w:rPr>
      </w:pPr>
      <w:r>
        <w:rPr>
          <w:rFonts w:hint="cs"/>
          <w:rtl/>
        </w:rPr>
        <w:t xml:space="preserve">מתחם העונש ההולם הוא מאסר.  יש ושהמאסר בנסיבות הקשורות בעבירה שאינן מן החמורות, שיהיה קצר כמו גם מאסר שירוצה בעבודות שרות. יש שבנסיבות חמורות יהא זה מאסר לחודשים מספר או מספר רב של חודשים לנוכח חומרת העבירות. </w:t>
      </w:r>
    </w:p>
    <w:p w14:paraId="78382398" w14:textId="77777777" w:rsidR="008A46E8" w:rsidRDefault="008A46E8">
      <w:pPr>
        <w:spacing w:line="360" w:lineRule="auto"/>
        <w:rPr>
          <w:rtl/>
        </w:rPr>
      </w:pPr>
    </w:p>
    <w:p w14:paraId="1CBA7EF3" w14:textId="77777777" w:rsidR="008A46E8" w:rsidRDefault="002F5DAF">
      <w:pPr>
        <w:spacing w:line="360" w:lineRule="auto"/>
        <w:rPr>
          <w:rtl/>
        </w:rPr>
      </w:pPr>
      <w:r>
        <w:rPr>
          <w:rFonts w:hint="cs"/>
          <w:rtl/>
        </w:rPr>
        <w:t xml:space="preserve">מתוך כך עולה השאלה מה הוא עונשו של הנאשם בתוך המתחם. ברור הוא שאינני מקבל עתירת ב"כ הנאשם להשית על הנאשם עונש של מאסר על תנאי ובתוך כך אני דוחה המלצת שרות המבחן להמנע מהשתת מאסר גם כזה שירוצה בעבודות שרות.  ושוב אחזור על אשר קבעתי לעיל, העונש ההולם הוא מאסר. </w:t>
      </w:r>
    </w:p>
    <w:p w14:paraId="39A4E627" w14:textId="77777777" w:rsidR="008A46E8" w:rsidRDefault="008A46E8">
      <w:pPr>
        <w:spacing w:line="360" w:lineRule="auto"/>
        <w:rPr>
          <w:rtl/>
        </w:rPr>
      </w:pPr>
    </w:p>
    <w:p w14:paraId="061E30A7" w14:textId="77777777" w:rsidR="008A46E8" w:rsidRDefault="002F5DAF">
      <w:pPr>
        <w:spacing w:line="360" w:lineRule="auto"/>
        <w:rPr>
          <w:rtl/>
        </w:rPr>
      </w:pPr>
      <w:r>
        <w:rPr>
          <w:rFonts w:hint="cs"/>
          <w:rtl/>
        </w:rPr>
        <w:t>האם קיימות נסיבות שיש בהן כדי להקל עם הנאשם מעבר למתחם העונש? עיון בתיקון 113 ל</w:t>
      </w:r>
      <w:hyperlink r:id="rId11" w:history="1">
        <w:r w:rsidRPr="002F5DAF">
          <w:rPr>
            <w:color w:val="0000FF"/>
            <w:u w:val="single"/>
            <w:rtl/>
          </w:rPr>
          <w:t>חוק העונשין</w:t>
        </w:r>
      </w:hyperlink>
      <w:r>
        <w:rPr>
          <w:rFonts w:hint="cs"/>
          <w:rtl/>
        </w:rPr>
        <w:t xml:space="preserve"> מגלה שהדרך היחידה לחרוג לקולא ממתחם עונש הולם הוא על פי מרכיב השיקום. כאן המקום לעיין עיין היטב באמור בתסקיר שרות המבחן. שלא כדרכי אחזור על דבר אחד בלבד מתוך התסקיר. מתוך התסקיר עולה כי נוכח העובדה שהנאשם אינו מעוניין להמשיך בהליך טיפולי, חושש שרות המבחן כי הנאשם מצוי עדיין בסיכון לחזור למעגל הסמים ומודעותו לסיכונים אלה היא חלקית. לא התעלמתי ששרות המבחן המליץ להמנע מהשתת עונש מאסר וזאת מהסיבה האחת בלבד שלא לפגוע בתעסוקתו. </w:t>
      </w:r>
    </w:p>
    <w:p w14:paraId="4F3D18E9" w14:textId="77777777" w:rsidR="008A46E8" w:rsidRDefault="008A46E8">
      <w:pPr>
        <w:spacing w:line="360" w:lineRule="auto"/>
        <w:rPr>
          <w:rtl/>
        </w:rPr>
      </w:pPr>
    </w:p>
    <w:p w14:paraId="75F17CDB" w14:textId="77777777" w:rsidR="008A46E8" w:rsidRDefault="002F5DAF">
      <w:pPr>
        <w:spacing w:line="360" w:lineRule="auto"/>
        <w:rPr>
          <w:rtl/>
        </w:rPr>
      </w:pPr>
      <w:r>
        <w:rPr>
          <w:rFonts w:hint="cs"/>
          <w:rtl/>
        </w:rPr>
        <w:t xml:space="preserve">אינני סבור כי האמור בתסקיר שרות המבחן מבטא שיקום כפי שיש צורך כשבא בית המשפט לחרוג לקולא ממתחם הענישה. יתרה מזו גם אם היה בכך מרכיב של שיקום הרי לנוכח חומרת העבירה אינני מוצא כי העונש הראוי וההולם במקרה זה יהיה מאסר על תנאי בצירוף עונשים נוספים, אלא כאמור עונש מאסר שירוצה בעבודות שרות. </w:t>
      </w:r>
    </w:p>
    <w:p w14:paraId="4C4FD212" w14:textId="77777777" w:rsidR="008A46E8" w:rsidRDefault="008A46E8">
      <w:pPr>
        <w:spacing w:line="360" w:lineRule="auto"/>
        <w:rPr>
          <w:rtl/>
        </w:rPr>
      </w:pPr>
    </w:p>
    <w:p w14:paraId="2D3AE7C3" w14:textId="77777777" w:rsidR="008A46E8" w:rsidRDefault="002F5DAF">
      <w:pPr>
        <w:spacing w:line="360" w:lineRule="auto"/>
        <w:rPr>
          <w:rtl/>
        </w:rPr>
      </w:pPr>
      <w:r>
        <w:rPr>
          <w:rFonts w:hint="cs"/>
          <w:rtl/>
        </w:rPr>
        <w:t xml:space="preserve">הנסיבות המפורטות בתסקיר שרות המבחן לפיהם מצא שרות המבחן  להקל עם הנאשם לדעתי, רלוונטיות הן לאורך תקופת המאסר וככל שאני מאזן בין השיקולים השונים אני מוצא שיש לקבוע עונש מאסר לתקופה קצרה מזו לה עתרה התביעה. </w:t>
      </w:r>
    </w:p>
    <w:p w14:paraId="47D9FAE8" w14:textId="77777777" w:rsidR="008A46E8" w:rsidRDefault="008A46E8">
      <w:pPr>
        <w:spacing w:line="360" w:lineRule="auto"/>
        <w:rPr>
          <w:rtl/>
        </w:rPr>
      </w:pPr>
    </w:p>
    <w:p w14:paraId="107B72AC" w14:textId="77777777" w:rsidR="008A46E8" w:rsidRDefault="002F5DAF">
      <w:pPr>
        <w:spacing w:line="360" w:lineRule="auto"/>
        <w:rPr>
          <w:rtl/>
        </w:rPr>
      </w:pPr>
      <w:r>
        <w:rPr>
          <w:rFonts w:hint="cs"/>
          <w:rtl/>
        </w:rPr>
        <w:lastRenderedPageBreak/>
        <w:t xml:space="preserve">בשולי גזר הדין מצאתי להפנות תשומת הלב כי ביום 26/2/2004 נדון הנאשם למאסר לתקופה של 6 חודשים בעבודות שרות בגין עבירות סמים מסוג פשע, יש בכך כדי נסיבות שאינן קשורות בעבירה כדי להשפיע על עונש בתוך המתחם. </w:t>
      </w:r>
    </w:p>
    <w:p w14:paraId="6AEAE289" w14:textId="77777777" w:rsidR="008A46E8" w:rsidRDefault="008A46E8">
      <w:pPr>
        <w:spacing w:line="360" w:lineRule="auto"/>
        <w:rPr>
          <w:rtl/>
        </w:rPr>
      </w:pPr>
    </w:p>
    <w:p w14:paraId="5001887F" w14:textId="77777777" w:rsidR="008A46E8" w:rsidRDefault="002F5DAF">
      <w:pPr>
        <w:spacing w:line="360" w:lineRule="auto"/>
        <w:rPr>
          <w:rtl/>
        </w:rPr>
      </w:pPr>
      <w:r>
        <w:rPr>
          <w:rFonts w:hint="cs"/>
          <w:rtl/>
        </w:rPr>
        <w:t xml:space="preserve">עוד מצאתי לציין כי ככל שפורטו נסיבות אישיות של הנאשם שאינן קשורות בביצוע עבירה אזי גם בעניינם נסיבות אלה ישפיעו על העונש בתוך המתחם.  אני עושה בכך שימוש כמפורט להלן בעונש מאסר קצר יותר מזה אשר לו עתרה התביעה. </w:t>
      </w:r>
    </w:p>
    <w:p w14:paraId="65DE4B2C" w14:textId="77777777" w:rsidR="008A46E8" w:rsidRDefault="008A46E8">
      <w:pPr>
        <w:spacing w:line="360" w:lineRule="auto"/>
        <w:rPr>
          <w:rtl/>
        </w:rPr>
      </w:pPr>
    </w:p>
    <w:p w14:paraId="1BF6CB6D" w14:textId="77777777" w:rsidR="008A46E8" w:rsidRDefault="002F5DAF">
      <w:pPr>
        <w:spacing w:line="360" w:lineRule="auto"/>
        <w:rPr>
          <w:rtl/>
        </w:rPr>
      </w:pPr>
      <w:r>
        <w:rPr>
          <w:rFonts w:hint="cs"/>
          <w:rtl/>
        </w:rPr>
        <w:t xml:space="preserve">אלה העונשים שאני גוזר על הנאשם: </w:t>
      </w:r>
    </w:p>
    <w:p w14:paraId="65E6D269" w14:textId="77777777" w:rsidR="008A46E8" w:rsidRDefault="008A46E8">
      <w:pPr>
        <w:spacing w:line="360" w:lineRule="auto"/>
        <w:rPr>
          <w:rtl/>
        </w:rPr>
      </w:pPr>
    </w:p>
    <w:p w14:paraId="632300BA" w14:textId="77777777" w:rsidR="008A46E8" w:rsidRDefault="002F5DAF">
      <w:pPr>
        <w:spacing w:line="360" w:lineRule="auto"/>
        <w:rPr>
          <w:rtl/>
        </w:rPr>
      </w:pPr>
      <w:r>
        <w:rPr>
          <w:rFonts w:hint="cs"/>
          <w:rtl/>
        </w:rPr>
        <w:t xml:space="preserve">3 חודשי מאסר בפועל. </w:t>
      </w:r>
    </w:p>
    <w:p w14:paraId="50DFBFB4" w14:textId="77777777" w:rsidR="008A46E8" w:rsidRDefault="002F5DAF">
      <w:pPr>
        <w:spacing w:line="360" w:lineRule="auto"/>
        <w:rPr>
          <w:rtl/>
        </w:rPr>
      </w:pPr>
      <w:r>
        <w:rPr>
          <w:rFonts w:hint="cs"/>
          <w:rtl/>
        </w:rPr>
        <w:t xml:space="preserve">עונש המאסר ירוצה בעבודות שרות כפי חוות הדעת הממונה על עבודות שרות בשב"ס שעותק ממנה נמסר לנאשם, הוא יודע פרטיה, לרבות ובמיוחד תחילת העבודה. </w:t>
      </w:r>
    </w:p>
    <w:p w14:paraId="32CA37F4" w14:textId="77777777" w:rsidR="008A46E8" w:rsidRDefault="002F5DAF">
      <w:pPr>
        <w:spacing w:line="360" w:lineRule="auto"/>
        <w:rPr>
          <w:rtl/>
        </w:rPr>
      </w:pPr>
      <w:r>
        <w:rPr>
          <w:rFonts w:hint="cs"/>
          <w:rtl/>
        </w:rPr>
        <w:t xml:space="preserve">על פי חוות הדעת תחילת ריצוי העונש הוא 23/4/2014 </w:t>
      </w:r>
      <w:r>
        <w:rPr>
          <w:rtl/>
        </w:rPr>
        <w:t>–</w:t>
      </w:r>
      <w:r>
        <w:rPr>
          <w:rFonts w:hint="cs"/>
          <w:rtl/>
        </w:rPr>
        <w:t xml:space="preserve"> אני מקבל בקשת הנאשם לדחות מועד התחילה על מנת שיעלה בידו לסדר ענייניו לצורך תחילת ריצוי העונש ולפיכך אני קובע כי תחילת ריצוי עונש עבודות השרות הוא ביום 1/6/2014. </w:t>
      </w:r>
    </w:p>
    <w:p w14:paraId="12D16422" w14:textId="77777777" w:rsidR="008A46E8" w:rsidRDefault="008A46E8">
      <w:pPr>
        <w:spacing w:line="360" w:lineRule="auto"/>
        <w:rPr>
          <w:rtl/>
        </w:rPr>
      </w:pPr>
    </w:p>
    <w:p w14:paraId="05FB33B0" w14:textId="77777777" w:rsidR="008A46E8" w:rsidRDefault="002F5DAF">
      <w:pPr>
        <w:spacing w:line="360" w:lineRule="auto"/>
        <w:rPr>
          <w:rtl/>
        </w:rPr>
      </w:pPr>
      <w:r>
        <w:rPr>
          <w:rFonts w:hint="cs"/>
          <w:rtl/>
        </w:rPr>
        <w:t xml:space="preserve">5 חודשי מאסר על תנאי והתנאי הוא שבמשך שלוש שנים מהיום לא יעבור הנאשם עבירה על </w:t>
      </w:r>
      <w:hyperlink r:id="rId12" w:history="1">
        <w:r w:rsidRPr="002F5DAF">
          <w:rPr>
            <w:color w:val="0000FF"/>
            <w:u w:val="single"/>
            <w:rtl/>
          </w:rPr>
          <w:t>פקודת הסמים המסוכנים</w:t>
        </w:r>
      </w:hyperlink>
      <w:r>
        <w:rPr>
          <w:rFonts w:hint="cs"/>
          <w:rtl/>
        </w:rPr>
        <w:t xml:space="preserve"> מסוג עוון וכן עבירה של זיוף. </w:t>
      </w:r>
    </w:p>
    <w:p w14:paraId="10FA976B" w14:textId="77777777" w:rsidR="008A46E8" w:rsidRDefault="008A46E8">
      <w:pPr>
        <w:spacing w:line="360" w:lineRule="auto"/>
        <w:rPr>
          <w:rtl/>
        </w:rPr>
      </w:pPr>
    </w:p>
    <w:p w14:paraId="788FAB59" w14:textId="77777777" w:rsidR="008A46E8" w:rsidRDefault="002F5DAF">
      <w:pPr>
        <w:spacing w:line="360" w:lineRule="auto"/>
        <w:rPr>
          <w:rtl/>
        </w:rPr>
      </w:pPr>
      <w:r>
        <w:rPr>
          <w:rFonts w:hint="cs"/>
          <w:rtl/>
        </w:rPr>
        <w:t xml:space="preserve">7 חודשי מאסר על תנאי והתנאי הוא שבמשך שלוש שנים מהיום לא יעבור הנאשם עבירה על </w:t>
      </w:r>
      <w:hyperlink r:id="rId13" w:history="1">
        <w:r w:rsidRPr="002F5DAF">
          <w:rPr>
            <w:color w:val="0000FF"/>
            <w:u w:val="single"/>
            <w:rtl/>
          </w:rPr>
          <w:t>פקודת הסמים המסוכנים</w:t>
        </w:r>
      </w:hyperlink>
      <w:r>
        <w:rPr>
          <w:rFonts w:hint="cs"/>
          <w:rtl/>
        </w:rPr>
        <w:t xml:space="preserve"> מסוג פשע. </w:t>
      </w:r>
    </w:p>
    <w:p w14:paraId="3AAD8079" w14:textId="77777777" w:rsidR="008A46E8" w:rsidRDefault="008A46E8">
      <w:pPr>
        <w:spacing w:line="360" w:lineRule="auto"/>
        <w:rPr>
          <w:rtl/>
        </w:rPr>
      </w:pPr>
    </w:p>
    <w:p w14:paraId="2D2687A3" w14:textId="77777777" w:rsidR="008A46E8" w:rsidRDefault="002F5DAF">
      <w:pPr>
        <w:spacing w:line="360" w:lineRule="auto"/>
      </w:pPr>
      <w:r>
        <w:rPr>
          <w:rFonts w:hint="cs"/>
          <w:rtl/>
        </w:rPr>
        <w:t xml:space="preserve">אני פוסל את הנאשם מלקבל או להחזיק רישיון נהיגה לרכב מנועי, פסילה על תנאי, התנאי הוא אם יעבור הנאשם עבירה לפי פקודת הסמים במשך שלוש שנים  מהיום, יפסל מלקבל או להחזיק רשיון נהיגה כאמור למשך 12  חודשים. </w:t>
      </w:r>
    </w:p>
    <w:p w14:paraId="3A2E3E59" w14:textId="77777777" w:rsidR="008A46E8" w:rsidRDefault="008A46E8">
      <w:pPr>
        <w:spacing w:line="360" w:lineRule="auto"/>
        <w:rPr>
          <w:rtl/>
        </w:rPr>
      </w:pPr>
    </w:p>
    <w:p w14:paraId="1B1AB6C6" w14:textId="77777777" w:rsidR="008A46E8" w:rsidRDefault="002F5DAF">
      <w:pPr>
        <w:spacing w:line="360" w:lineRule="auto"/>
        <w:rPr>
          <w:rtl/>
        </w:rPr>
      </w:pPr>
      <w:hyperlink r:id="rId14" w:history="1">
        <w:r w:rsidRPr="002F5DAF">
          <w:rPr>
            <w:b/>
            <w:bCs/>
            <w:color w:val="0000FF"/>
            <w:u w:val="single"/>
            <w:rtl/>
          </w:rPr>
          <w:t>ת.פ. 35016-04-13</w:t>
        </w:r>
        <w:r w:rsidRPr="002F5DAF">
          <w:rPr>
            <w:b/>
            <w:bCs/>
            <w:color w:val="0000FF"/>
            <w:u w:val="single"/>
            <w:rtl/>
          </w:rPr>
          <w:cr/>
        </w:r>
      </w:hyperlink>
      <w:r>
        <w:rPr>
          <w:rFonts w:hint="cs"/>
          <w:rtl/>
        </w:rPr>
        <w:t xml:space="preserve">באשר לעונשו של הנאשם על פי הסכמת הצדדים ובעניין זה בתיק זה מדובר בהסדר "סגור" שאני מקבלו, הריני גוזר על הנאשם העונשים כדלקמן: </w:t>
      </w:r>
    </w:p>
    <w:p w14:paraId="6AE2869F" w14:textId="77777777" w:rsidR="008A46E8" w:rsidRDefault="008A46E8">
      <w:pPr>
        <w:spacing w:line="360" w:lineRule="auto"/>
        <w:rPr>
          <w:rtl/>
        </w:rPr>
      </w:pPr>
    </w:p>
    <w:p w14:paraId="0F53608D" w14:textId="77777777" w:rsidR="008A46E8" w:rsidRDefault="002F5DAF">
      <w:pPr>
        <w:spacing w:line="360" w:lineRule="auto"/>
        <w:rPr>
          <w:rtl/>
        </w:rPr>
      </w:pPr>
      <w:r>
        <w:rPr>
          <w:rFonts w:hint="cs"/>
          <w:rtl/>
        </w:rPr>
        <w:t xml:space="preserve">5 חודשי  מאסר על תנאי והתנאי הוא שבמשך שלוש שנים מהיום לא יעבור הנאשם עבירה נגד הרכוש למעט עבירה לפי </w:t>
      </w:r>
      <w:hyperlink r:id="rId15" w:history="1">
        <w:r w:rsidR="006932EB" w:rsidRPr="006932EB">
          <w:rPr>
            <w:color w:val="0000FF"/>
            <w:u w:val="single"/>
            <w:rtl/>
          </w:rPr>
          <w:t>סעיף 413</w:t>
        </w:r>
      </w:hyperlink>
      <w:r>
        <w:rPr>
          <w:rFonts w:hint="cs"/>
          <w:rtl/>
        </w:rPr>
        <w:t xml:space="preserve"> ל</w:t>
      </w:r>
      <w:hyperlink r:id="rId16" w:history="1">
        <w:r w:rsidRPr="002F5DAF">
          <w:rPr>
            <w:color w:val="0000FF"/>
            <w:u w:val="single"/>
            <w:rtl/>
          </w:rPr>
          <w:t>חוק העונשין</w:t>
        </w:r>
      </w:hyperlink>
      <w:r>
        <w:rPr>
          <w:rFonts w:hint="cs"/>
          <w:rtl/>
        </w:rPr>
        <w:t xml:space="preserve"> החזקת נכס החשוד כגנוב, לרבות עבירה של אלימות כלפי גוף אדם. </w:t>
      </w:r>
    </w:p>
    <w:p w14:paraId="0CABAC29" w14:textId="77777777" w:rsidR="008A46E8" w:rsidRDefault="008A46E8">
      <w:pPr>
        <w:spacing w:line="360" w:lineRule="auto"/>
        <w:rPr>
          <w:rtl/>
        </w:rPr>
      </w:pPr>
    </w:p>
    <w:p w14:paraId="30F85772" w14:textId="77777777" w:rsidR="008A46E8" w:rsidRDefault="002F5DAF">
      <w:pPr>
        <w:spacing w:line="360" w:lineRule="auto"/>
      </w:pPr>
      <w:r>
        <w:rPr>
          <w:rFonts w:hint="cs"/>
          <w:rtl/>
        </w:rPr>
        <w:t>קנס בסך 400 ₪ או שבוע מאסר תמורתו.</w:t>
      </w:r>
    </w:p>
    <w:p w14:paraId="423F6CE2" w14:textId="77777777" w:rsidR="008A46E8" w:rsidRDefault="002F5DAF">
      <w:pPr>
        <w:spacing w:line="360" w:lineRule="auto"/>
        <w:rPr>
          <w:rtl/>
        </w:rPr>
      </w:pPr>
      <w:r>
        <w:rPr>
          <w:rFonts w:hint="cs"/>
          <w:rtl/>
        </w:rPr>
        <w:t xml:space="preserve">הקנס ישולם עד ליום 1/5/2014. </w:t>
      </w:r>
    </w:p>
    <w:p w14:paraId="1640E3FC" w14:textId="77777777" w:rsidR="008A46E8" w:rsidRDefault="008A46E8">
      <w:pPr>
        <w:rPr>
          <w:rtl/>
        </w:rPr>
      </w:pPr>
    </w:p>
    <w:p w14:paraId="5276F1C5" w14:textId="77777777" w:rsidR="008A46E8" w:rsidRDefault="002F5DAF">
      <w:pPr>
        <w:spacing w:line="360" w:lineRule="auto"/>
        <w:rPr>
          <w:rtl/>
        </w:rPr>
      </w:pPr>
      <w:r>
        <w:rPr>
          <w:rFonts w:hint="cs"/>
          <w:rtl/>
        </w:rPr>
        <w:t xml:space="preserve">המוצגים: </w:t>
      </w:r>
    </w:p>
    <w:p w14:paraId="3825E763" w14:textId="77777777" w:rsidR="008A46E8" w:rsidRDefault="002F5DAF">
      <w:pPr>
        <w:spacing w:line="360" w:lineRule="auto"/>
        <w:rPr>
          <w:rtl/>
        </w:rPr>
      </w:pPr>
      <w:r>
        <w:rPr>
          <w:rFonts w:hint="cs"/>
          <w:rtl/>
        </w:rPr>
        <w:t xml:space="preserve">סם, שני סכינים וכסף מזוייף </w:t>
      </w:r>
      <w:r>
        <w:rPr>
          <w:rtl/>
        </w:rPr>
        <w:t>–</w:t>
      </w:r>
      <w:r>
        <w:rPr>
          <w:rFonts w:hint="cs"/>
          <w:rtl/>
        </w:rPr>
        <w:t xml:space="preserve"> יושמדו. </w:t>
      </w:r>
    </w:p>
    <w:p w14:paraId="212A8C1F" w14:textId="77777777" w:rsidR="008A46E8" w:rsidRDefault="002F5DAF">
      <w:pPr>
        <w:spacing w:line="360" w:lineRule="auto"/>
        <w:rPr>
          <w:rtl/>
        </w:rPr>
      </w:pPr>
      <w:r>
        <w:rPr>
          <w:rFonts w:hint="cs"/>
          <w:rtl/>
        </w:rPr>
        <w:t xml:space="preserve">ציוד צה"ל </w:t>
      </w:r>
      <w:r>
        <w:rPr>
          <w:rtl/>
        </w:rPr>
        <w:t>–</w:t>
      </w:r>
      <w:r>
        <w:rPr>
          <w:rFonts w:hint="cs"/>
          <w:rtl/>
        </w:rPr>
        <w:t xml:space="preserve"> יוחזר לצה"ל.</w:t>
      </w:r>
    </w:p>
    <w:p w14:paraId="784E3BDA" w14:textId="77777777" w:rsidR="008A46E8" w:rsidRDefault="002F5DAF">
      <w:pPr>
        <w:spacing w:line="360" w:lineRule="auto"/>
        <w:rPr>
          <w:rtl/>
        </w:rPr>
      </w:pPr>
      <w:r>
        <w:rPr>
          <w:rFonts w:hint="cs"/>
          <w:rtl/>
        </w:rPr>
        <w:t xml:space="preserve">טלפון ומשקלים אלקטרוניים </w:t>
      </w:r>
      <w:r>
        <w:rPr>
          <w:rtl/>
        </w:rPr>
        <w:t>–</w:t>
      </w:r>
      <w:r>
        <w:rPr>
          <w:rFonts w:hint="cs"/>
          <w:rtl/>
        </w:rPr>
        <w:t xml:space="preserve"> יחולטו. </w:t>
      </w:r>
    </w:p>
    <w:p w14:paraId="6C5B1C0B" w14:textId="77777777" w:rsidR="008A46E8" w:rsidRDefault="008A46E8">
      <w:pPr>
        <w:spacing w:line="360" w:lineRule="auto"/>
        <w:rPr>
          <w:rtl/>
        </w:rPr>
      </w:pPr>
    </w:p>
    <w:p w14:paraId="7E4FC9F4" w14:textId="77777777" w:rsidR="008A46E8" w:rsidRDefault="002F5DAF">
      <w:pPr>
        <w:spacing w:line="360" w:lineRule="auto"/>
        <w:rPr>
          <w:b/>
          <w:bCs/>
          <w:u w:val="single"/>
          <w:rtl/>
        </w:rPr>
      </w:pPr>
      <w:r>
        <w:rPr>
          <w:rFonts w:hint="cs"/>
          <w:b/>
          <w:bCs/>
          <w:u w:val="single"/>
          <w:rtl/>
        </w:rPr>
        <w:t>על המזכירות לשלוח העתק הפרוטוקול לשרות המבחן.</w:t>
      </w:r>
    </w:p>
    <w:p w14:paraId="56038E80" w14:textId="77777777" w:rsidR="008A46E8" w:rsidRDefault="008A46E8">
      <w:pPr>
        <w:spacing w:line="360" w:lineRule="auto"/>
        <w:rPr>
          <w:rtl/>
        </w:rPr>
      </w:pPr>
    </w:p>
    <w:p w14:paraId="617E9DE3" w14:textId="77777777" w:rsidR="008A46E8" w:rsidRDefault="002F5DAF">
      <w:pPr>
        <w:spacing w:line="360" w:lineRule="auto"/>
        <w:rPr>
          <w:rtl/>
        </w:rPr>
      </w:pPr>
      <w:r>
        <w:rPr>
          <w:rFonts w:hint="cs"/>
          <w:rtl/>
        </w:rPr>
        <w:t>זכות ערעור תוך 45 יום מהיום.</w:t>
      </w:r>
    </w:p>
    <w:p w14:paraId="517C020D" w14:textId="77777777" w:rsidR="008A46E8" w:rsidRDefault="008A46E8">
      <w:pPr>
        <w:spacing w:line="360" w:lineRule="auto"/>
        <w:rPr>
          <w:rtl/>
        </w:rPr>
      </w:pPr>
    </w:p>
    <w:p w14:paraId="1D679ED7" w14:textId="77777777" w:rsidR="008A46E8" w:rsidRDefault="002F5DAF">
      <w:pPr>
        <w:spacing w:line="360" w:lineRule="auto"/>
        <w:rPr>
          <w:sz w:val="6"/>
          <w:szCs w:val="6"/>
          <w:rtl/>
        </w:rPr>
      </w:pPr>
      <w:r>
        <w:rPr>
          <w:sz w:val="6"/>
          <w:szCs w:val="6"/>
          <w:rtl/>
        </w:rPr>
        <w:t>&lt;#3#&gt;</w:t>
      </w:r>
    </w:p>
    <w:p w14:paraId="2B456A16" w14:textId="77777777" w:rsidR="008A46E8" w:rsidRDefault="008A46E8">
      <w:pPr>
        <w:jc w:val="right"/>
        <w:rPr>
          <w:rtl/>
        </w:rPr>
      </w:pPr>
    </w:p>
    <w:p w14:paraId="21038883" w14:textId="77777777" w:rsidR="008A46E8" w:rsidRDefault="002F5DAF">
      <w:pPr>
        <w:jc w:val="center"/>
        <w:rPr>
          <w:rtl/>
        </w:rPr>
      </w:pPr>
      <w:r w:rsidRPr="002F5DAF">
        <w:rPr>
          <w:b/>
          <w:bCs/>
          <w:color w:val="FFFFFF"/>
          <w:sz w:val="2"/>
          <w:szCs w:val="2"/>
          <w:rtl/>
        </w:rPr>
        <w:t>5129371</w:t>
      </w:r>
      <w:r>
        <w:rPr>
          <w:b/>
          <w:bCs/>
          <w:rtl/>
        </w:rPr>
        <w:t xml:space="preserve">ניתנה והודעה היום כ"ב אדר ב תשע"ד, 24/03/2014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A46E8" w14:paraId="4451F601" w14:textId="77777777">
        <w:trPr>
          <w:trHeight w:val="364"/>
          <w:jc w:val="right"/>
        </w:trPr>
        <w:tc>
          <w:tcPr>
            <w:tcW w:w="3708" w:type="dxa"/>
          </w:tcPr>
          <w:p w14:paraId="1F98DE1C" w14:textId="77777777" w:rsidR="008A46E8" w:rsidRPr="002F5DAF" w:rsidRDefault="002F5DAF">
            <w:pPr>
              <w:jc w:val="center"/>
              <w:rPr>
                <w:rFonts w:ascii="Times New Roman" w:eastAsia="Times New Roman" w:hAnsi="Times New Roman" w:cs="Times New Roman"/>
                <w:color w:val="FFFFFF"/>
                <w:sz w:val="2"/>
                <w:szCs w:val="2"/>
              </w:rPr>
            </w:pPr>
            <w:r w:rsidRPr="002F5DAF">
              <w:rPr>
                <w:rFonts w:ascii="Times New Roman" w:eastAsia="Times New Roman" w:hAnsi="Times New Roman" w:cs="Times New Roman"/>
                <w:color w:val="FFFFFF"/>
                <w:sz w:val="2"/>
                <w:szCs w:val="2"/>
                <w:rtl/>
              </w:rPr>
              <w:t>54678313</w:t>
            </w:r>
          </w:p>
          <w:p w14:paraId="468DADD1" w14:textId="77777777" w:rsidR="008A46E8" w:rsidRDefault="008A46E8">
            <w:pPr>
              <w:jc w:val="center"/>
              <w:rPr>
                <w:rFonts w:ascii="Times New Roman" w:eastAsia="Times New Roman" w:hAnsi="Times New Roman" w:cs="Times New Roman"/>
                <w:rtl/>
              </w:rPr>
            </w:pPr>
          </w:p>
        </w:tc>
      </w:tr>
      <w:tr w:rsidR="008A46E8" w14:paraId="0DCB824F" w14:textId="77777777">
        <w:trPr>
          <w:trHeight w:val="415"/>
          <w:jc w:val="right"/>
        </w:trPr>
        <w:tc>
          <w:tcPr>
            <w:tcW w:w="3708" w:type="dxa"/>
          </w:tcPr>
          <w:p w14:paraId="17575E5B" w14:textId="77777777" w:rsidR="008A46E8" w:rsidRDefault="002F5DAF">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5352BB7C" w14:textId="77777777" w:rsidR="008A46E8" w:rsidRDefault="008A46E8">
      <w:pPr>
        <w:spacing w:line="360" w:lineRule="auto"/>
        <w:jc w:val="both"/>
        <w:rPr>
          <w:rtl/>
        </w:rPr>
      </w:pPr>
      <w:bookmarkStart w:id="8" w:name="_GoBack"/>
      <w:bookmarkEnd w:id="8"/>
    </w:p>
    <w:p w14:paraId="27EF5306" w14:textId="77777777" w:rsidR="008A46E8" w:rsidRDefault="002F5DAF">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2350D1E4" w14:textId="77777777" w:rsidR="002F5DAF" w:rsidRPr="002F5DAF" w:rsidRDefault="002F5DAF" w:rsidP="002F5DAF">
      <w:pPr>
        <w:keepNext/>
        <w:rPr>
          <w:color w:val="000000"/>
          <w:sz w:val="22"/>
          <w:szCs w:val="22"/>
          <w:rtl/>
        </w:rPr>
      </w:pPr>
    </w:p>
    <w:p w14:paraId="6E90E0F5" w14:textId="77777777" w:rsidR="002F5DAF" w:rsidRPr="002F5DAF" w:rsidRDefault="002F5DAF" w:rsidP="002F5DAF">
      <w:pPr>
        <w:keepNext/>
        <w:rPr>
          <w:color w:val="000000"/>
          <w:sz w:val="22"/>
          <w:szCs w:val="22"/>
          <w:rtl/>
        </w:rPr>
      </w:pPr>
      <w:r w:rsidRPr="002F5DAF">
        <w:rPr>
          <w:color w:val="000000"/>
          <w:sz w:val="22"/>
          <w:szCs w:val="22"/>
          <w:rtl/>
        </w:rPr>
        <w:t>אברהם הימן 54678313</w:t>
      </w:r>
    </w:p>
    <w:p w14:paraId="4712FBA2" w14:textId="77777777" w:rsidR="002F5DAF" w:rsidRDefault="002F5DAF" w:rsidP="002F5DAF">
      <w:r w:rsidRPr="002F5DAF">
        <w:rPr>
          <w:color w:val="000000"/>
          <w:rtl/>
        </w:rPr>
        <w:t>נוסח מסמך זה כפוף לשינויי ניסוח ועריכה</w:t>
      </w:r>
    </w:p>
    <w:p w14:paraId="3E4C4D98" w14:textId="77777777" w:rsidR="002F5DAF" w:rsidRDefault="002F5DAF" w:rsidP="002F5DAF">
      <w:pPr>
        <w:rPr>
          <w:rtl/>
        </w:rPr>
      </w:pPr>
    </w:p>
    <w:p w14:paraId="10498E99" w14:textId="77777777" w:rsidR="002F5DAF" w:rsidRDefault="002F5DAF" w:rsidP="002F5DAF">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70F036E8" w14:textId="77777777" w:rsidR="008A46E8" w:rsidRPr="002F5DAF" w:rsidRDefault="008A46E8" w:rsidP="002F5DAF">
      <w:pPr>
        <w:jc w:val="center"/>
        <w:rPr>
          <w:color w:val="0000FF"/>
          <w:u w:val="single"/>
        </w:rPr>
      </w:pPr>
    </w:p>
    <w:sectPr w:rsidR="008A46E8" w:rsidRPr="002F5DAF" w:rsidSect="002F5DAF">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61866" w14:textId="77777777" w:rsidR="001B6D62" w:rsidRPr="006C3BE2" w:rsidRDefault="001B6D62">
      <w:pPr>
        <w:rPr>
          <w:rFonts w:cs="Arial"/>
          <w:szCs w:val="20"/>
        </w:rPr>
      </w:pPr>
      <w:r>
        <w:separator/>
      </w:r>
    </w:p>
  </w:endnote>
  <w:endnote w:type="continuationSeparator" w:id="0">
    <w:p w14:paraId="68122135" w14:textId="77777777" w:rsidR="001B6D62" w:rsidRPr="006C3BE2" w:rsidRDefault="001B6D6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BBE97" w14:textId="77777777" w:rsidR="002F5DAF" w:rsidRDefault="002F5DAF" w:rsidP="002F5DA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005B6281" w14:textId="77777777" w:rsidR="008A46E8" w:rsidRPr="002F5DAF" w:rsidRDefault="002F5DAF" w:rsidP="002F5DAF">
    <w:pPr>
      <w:pStyle w:val="a4"/>
      <w:pBdr>
        <w:top w:val="single" w:sz="4" w:space="1" w:color="auto"/>
        <w:between w:val="single" w:sz="4" w:space="0" w:color="auto"/>
      </w:pBdr>
      <w:spacing w:after="60"/>
      <w:jc w:val="center"/>
      <w:rPr>
        <w:rFonts w:ascii="FrankRuehl" w:hAnsi="FrankRuehl" w:cs="FrankRuehl"/>
        <w:color w:val="000000"/>
      </w:rPr>
    </w:pPr>
    <w:r w:rsidRPr="002F5D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567B2" w14:textId="77777777" w:rsidR="002F5DAF" w:rsidRDefault="002F5DAF" w:rsidP="002F5DA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0DFB">
      <w:rPr>
        <w:rFonts w:ascii="FrankRuehl" w:hAnsi="FrankRuehl" w:cs="FrankRuehl"/>
        <w:noProof/>
        <w:rtl/>
      </w:rPr>
      <w:t>1</w:t>
    </w:r>
    <w:r>
      <w:rPr>
        <w:rFonts w:ascii="FrankRuehl" w:hAnsi="FrankRuehl" w:cs="FrankRuehl"/>
        <w:rtl/>
      </w:rPr>
      <w:fldChar w:fldCharType="end"/>
    </w:r>
  </w:p>
  <w:p w14:paraId="1187CF0A" w14:textId="77777777" w:rsidR="008A46E8" w:rsidRPr="002F5DAF" w:rsidRDefault="002F5DAF" w:rsidP="002F5DAF">
    <w:pPr>
      <w:pStyle w:val="a4"/>
      <w:pBdr>
        <w:top w:val="single" w:sz="4" w:space="1" w:color="auto"/>
        <w:between w:val="single" w:sz="4" w:space="0" w:color="auto"/>
      </w:pBdr>
      <w:spacing w:after="60"/>
      <w:jc w:val="center"/>
      <w:rPr>
        <w:rFonts w:ascii="FrankRuehl" w:hAnsi="FrankRuehl" w:cs="FrankRuehl"/>
        <w:color w:val="000000"/>
      </w:rPr>
    </w:pPr>
    <w:r w:rsidRPr="002F5DAF">
      <w:rPr>
        <w:rFonts w:ascii="FrankRuehl" w:hAnsi="FrankRuehl" w:cs="FrankRuehl"/>
        <w:color w:val="000000"/>
      </w:rPr>
      <w:pict w14:anchorId="0EB49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A06DE" w14:textId="77777777" w:rsidR="001B6D62" w:rsidRPr="006C3BE2" w:rsidRDefault="001B6D62">
      <w:pPr>
        <w:rPr>
          <w:rFonts w:cs="Arial"/>
          <w:szCs w:val="20"/>
        </w:rPr>
      </w:pPr>
      <w:r>
        <w:separator/>
      </w:r>
    </w:p>
  </w:footnote>
  <w:footnote w:type="continuationSeparator" w:id="0">
    <w:p w14:paraId="3EB69C35" w14:textId="77777777" w:rsidR="001B6D62" w:rsidRPr="006C3BE2" w:rsidRDefault="001B6D6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12512" w14:textId="77777777" w:rsidR="002F5DAF" w:rsidRPr="002F5DAF" w:rsidRDefault="002F5DAF" w:rsidP="002F5DA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46819-10-12</w:t>
    </w:r>
    <w:r>
      <w:rPr>
        <w:color w:val="000000"/>
        <w:sz w:val="22"/>
        <w:szCs w:val="22"/>
        <w:rtl/>
      </w:rPr>
      <w:tab/>
      <w:t xml:space="preserve"> מדינת ישראל נ' רואי פרסול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028F4" w14:textId="77777777" w:rsidR="002F5DAF" w:rsidRPr="002F5DAF" w:rsidRDefault="002F5DAF" w:rsidP="002F5DA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46819-10-12</w:t>
    </w:r>
    <w:r>
      <w:rPr>
        <w:color w:val="000000"/>
        <w:sz w:val="22"/>
        <w:szCs w:val="22"/>
        <w:rtl/>
      </w:rPr>
      <w:tab/>
      <w:t xml:space="preserve"> מדינת ישראל נ' רואי פרסול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46E8"/>
    <w:rsid w:val="001B6D62"/>
    <w:rsid w:val="002F5DAF"/>
    <w:rsid w:val="006932EB"/>
    <w:rsid w:val="008A46E8"/>
    <w:rsid w:val="00B400E4"/>
    <w:rsid w:val="00F10DFB"/>
    <w:rsid w:val="00F968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7F0C78"/>
  <w15:chartTrackingRefBased/>
  <w15:docId w15:val="{93946CA7-E6C7-4988-A6C9-01CAEBFB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46E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A46E8"/>
    <w:pPr>
      <w:tabs>
        <w:tab w:val="center" w:pos="4153"/>
        <w:tab w:val="right" w:pos="8306"/>
      </w:tabs>
    </w:pPr>
  </w:style>
  <w:style w:type="paragraph" w:styleId="a4">
    <w:name w:val="footer"/>
    <w:basedOn w:val="a"/>
    <w:rsid w:val="008A46E8"/>
    <w:pPr>
      <w:tabs>
        <w:tab w:val="center" w:pos="4153"/>
        <w:tab w:val="right" w:pos="8306"/>
      </w:tabs>
    </w:pPr>
  </w:style>
  <w:style w:type="character" w:styleId="a5">
    <w:name w:val="page number"/>
    <w:basedOn w:val="a0"/>
    <w:rsid w:val="008A46E8"/>
  </w:style>
  <w:style w:type="paragraph" w:customStyle="1" w:styleId="12">
    <w:name w:val="רגיל + ‏12 נק'"/>
    <w:aliases w:val="מיושר לשני הצדדים,מרווח בין שורות:  שורה וחצי"/>
    <w:basedOn w:val="a"/>
    <w:rsid w:val="008A46E8"/>
    <w:rPr>
      <w:rFonts w:ascii="Times New Roman" w:eastAsia="Times New Roman" w:hAnsi="Times New Roman"/>
      <w:b/>
      <w:bCs/>
      <w:u w:val="single"/>
    </w:rPr>
  </w:style>
  <w:style w:type="character" w:styleId="a6">
    <w:name w:val="line number"/>
    <w:basedOn w:val="a0"/>
    <w:rsid w:val="008A46E8"/>
  </w:style>
  <w:style w:type="character" w:styleId="Hyperlink">
    <w:name w:val="Hyperlink"/>
    <w:basedOn w:val="a0"/>
    <w:rsid w:val="002F5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413"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413"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7875083"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998</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5978</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3342449</vt:i4>
      </vt:variant>
      <vt:variant>
        <vt:i4>24</vt:i4>
      </vt:variant>
      <vt:variant>
        <vt:i4>0</vt:i4>
      </vt:variant>
      <vt:variant>
        <vt:i4>5</vt:i4>
      </vt:variant>
      <vt:variant>
        <vt:lpwstr>http://www.nevo.co.il/case/7875083</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6553697</vt:i4>
      </vt:variant>
      <vt:variant>
        <vt:i4>3</vt:i4>
      </vt:variant>
      <vt:variant>
        <vt:i4>0</vt:i4>
      </vt:variant>
      <vt:variant>
        <vt:i4>5</vt:i4>
      </vt:variant>
      <vt:variant>
        <vt:lpwstr>http://www.nevo.co.il/law/70301/413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46819</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רואי פרסול</vt:lpwstr>
  </property>
  <property fmtid="{D5CDD505-2E9C-101B-9397-08002B2CF9AE}" pid="10" name="LAWYER">
    <vt:lpwstr>עירית גלר;ירון פורר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20140324</vt:lpwstr>
  </property>
  <property fmtid="{D5CDD505-2E9C-101B-9397-08002B2CF9AE}" pid="14" name="TYPE_N_DATE">
    <vt:lpwstr>38020140324</vt:lpwstr>
  </property>
  <property fmtid="{D5CDD505-2E9C-101B-9397-08002B2CF9AE}" pid="15" name="CASESLISTTMP1">
    <vt:lpwstr>7875083</vt:lpwstr>
  </property>
  <property fmtid="{D5CDD505-2E9C-101B-9397-08002B2CF9AE}" pid="16" name="WORDNUMPAGES">
    <vt:lpwstr>4</vt:lpwstr>
  </property>
  <property fmtid="{D5CDD505-2E9C-101B-9397-08002B2CF9AE}" pid="17" name="TYPE_ABS_DATE">
    <vt:lpwstr>380020140324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70301/413</vt:lpwstr>
  </property>
  <property fmtid="{D5CDD505-2E9C-101B-9397-08002B2CF9AE}" pid="37" name="LAWLISTTMP2">
    <vt:lpwstr>4216:2</vt:lpwstr>
  </property>
</Properties>
</file>