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02866" w:rsidRPr="00395E6B" w14:paraId="2BFEBAAE" w14:textId="77777777">
        <w:trPr>
          <w:trHeight w:hRule="exact" w:val="418"/>
          <w:jc w:val="center"/>
        </w:trPr>
        <w:tc>
          <w:tcPr>
            <w:tcW w:w="8721" w:type="dxa"/>
            <w:gridSpan w:val="2"/>
          </w:tcPr>
          <w:p w14:paraId="63C231D6" w14:textId="77777777" w:rsidR="00402866" w:rsidRPr="00395E6B" w:rsidRDefault="00395E6B">
            <w:pPr>
              <w:pStyle w:val="a3"/>
              <w:jc w:val="center"/>
              <w:rPr>
                <w:rFonts w:ascii="Tahoma" w:hAnsi="Tahoma" w:cs="Tahoma"/>
                <w:color w:val="000080"/>
                <w:rtl/>
              </w:rPr>
            </w:pPr>
            <w:bookmarkStart w:id="0" w:name="LastJudge"/>
            <w:r w:rsidRPr="00395E6B">
              <w:rPr>
                <w:rFonts w:ascii="Tahoma" w:hAnsi="Tahoma" w:cs="Tahoma"/>
                <w:b/>
                <w:bCs/>
                <w:color w:val="000080"/>
                <w:rtl/>
              </w:rPr>
              <w:t>בית משפט השלום בירושלים</w:t>
            </w:r>
          </w:p>
        </w:tc>
      </w:tr>
      <w:tr w:rsidR="00402866" w:rsidRPr="00395E6B" w14:paraId="055A2320" w14:textId="77777777">
        <w:trPr>
          <w:trHeight w:val="337"/>
          <w:jc w:val="center"/>
        </w:trPr>
        <w:tc>
          <w:tcPr>
            <w:tcW w:w="5054" w:type="dxa"/>
          </w:tcPr>
          <w:p w14:paraId="664C7A2D" w14:textId="77777777" w:rsidR="00402866" w:rsidRPr="00395E6B" w:rsidRDefault="00395E6B">
            <w:pPr>
              <w:rPr>
                <w:rFonts w:cs="FrankRuehl"/>
                <w:sz w:val="28"/>
                <w:szCs w:val="28"/>
                <w:rtl/>
              </w:rPr>
            </w:pPr>
            <w:r w:rsidRPr="00395E6B">
              <w:rPr>
                <w:rFonts w:cs="FrankRuehl"/>
                <w:sz w:val="28"/>
                <w:szCs w:val="28"/>
                <w:rtl/>
              </w:rPr>
              <w:t>ת"פ</w:t>
            </w:r>
            <w:r w:rsidRPr="00395E6B">
              <w:rPr>
                <w:rFonts w:cs="FrankRuehl" w:hint="cs"/>
                <w:sz w:val="28"/>
                <w:szCs w:val="28"/>
                <w:rtl/>
              </w:rPr>
              <w:t xml:space="preserve"> </w:t>
            </w:r>
            <w:r w:rsidRPr="00395E6B">
              <w:rPr>
                <w:rFonts w:cs="FrankRuehl"/>
                <w:sz w:val="28"/>
                <w:szCs w:val="28"/>
                <w:rtl/>
              </w:rPr>
              <w:t>48535-10-12</w:t>
            </w:r>
            <w:r w:rsidRPr="00395E6B">
              <w:rPr>
                <w:rFonts w:cs="FrankRuehl" w:hint="cs"/>
                <w:sz w:val="28"/>
                <w:szCs w:val="28"/>
                <w:rtl/>
              </w:rPr>
              <w:t xml:space="preserve"> </w:t>
            </w:r>
            <w:r w:rsidRPr="00395E6B">
              <w:rPr>
                <w:rFonts w:cs="FrankRuehl"/>
                <w:sz w:val="28"/>
                <w:szCs w:val="28"/>
                <w:rtl/>
              </w:rPr>
              <w:t>מדינת ישראל נ' וקנין</w:t>
            </w:r>
          </w:p>
          <w:p w14:paraId="1EF80FCE" w14:textId="77777777" w:rsidR="00402866" w:rsidRPr="00395E6B" w:rsidRDefault="00402866">
            <w:pPr>
              <w:pStyle w:val="a3"/>
              <w:rPr>
                <w:rFonts w:cs="FrankRuehl"/>
                <w:sz w:val="28"/>
                <w:szCs w:val="28"/>
                <w:rtl/>
              </w:rPr>
            </w:pPr>
          </w:p>
          <w:p w14:paraId="2D830430" w14:textId="77777777" w:rsidR="00402866" w:rsidRPr="00395E6B" w:rsidRDefault="00395E6B">
            <w:pPr>
              <w:rPr>
                <w:rFonts w:cs="FrankRuehl"/>
                <w:sz w:val="28"/>
                <w:szCs w:val="28"/>
                <w:rtl/>
              </w:rPr>
            </w:pPr>
            <w:r w:rsidRPr="00395E6B">
              <w:rPr>
                <w:rFonts w:cs="FrankRuehl"/>
                <w:sz w:val="28"/>
                <w:szCs w:val="28"/>
                <w:rtl/>
              </w:rPr>
              <w:t>ת"פ</w:t>
            </w:r>
            <w:r w:rsidRPr="00395E6B">
              <w:rPr>
                <w:rFonts w:cs="FrankRuehl" w:hint="cs"/>
                <w:sz w:val="28"/>
                <w:szCs w:val="28"/>
                <w:rtl/>
              </w:rPr>
              <w:t xml:space="preserve"> </w:t>
            </w:r>
            <w:r w:rsidRPr="00395E6B">
              <w:rPr>
                <w:rFonts w:cs="FrankRuehl"/>
                <w:sz w:val="28"/>
                <w:szCs w:val="28"/>
                <w:rtl/>
              </w:rPr>
              <w:t>48387-10-12</w:t>
            </w:r>
            <w:r w:rsidRPr="00395E6B">
              <w:rPr>
                <w:rFonts w:cs="FrankRuehl" w:hint="cs"/>
                <w:sz w:val="28"/>
                <w:szCs w:val="28"/>
                <w:rtl/>
              </w:rPr>
              <w:t xml:space="preserve"> </w:t>
            </w:r>
            <w:r w:rsidRPr="00395E6B">
              <w:rPr>
                <w:rFonts w:cs="FrankRuehl"/>
                <w:sz w:val="28"/>
                <w:szCs w:val="28"/>
                <w:rtl/>
              </w:rPr>
              <w:t>מדינת ישראל נ' וקנין</w:t>
            </w:r>
          </w:p>
          <w:p w14:paraId="164481AD" w14:textId="77777777" w:rsidR="00402866" w:rsidRPr="00395E6B" w:rsidRDefault="00402866">
            <w:pPr>
              <w:pStyle w:val="a3"/>
              <w:rPr>
                <w:rFonts w:cs="FrankRuehl"/>
                <w:sz w:val="28"/>
                <w:szCs w:val="28"/>
                <w:rtl/>
              </w:rPr>
            </w:pPr>
          </w:p>
        </w:tc>
        <w:tc>
          <w:tcPr>
            <w:tcW w:w="3667" w:type="dxa"/>
          </w:tcPr>
          <w:p w14:paraId="5D2F9453" w14:textId="77777777" w:rsidR="00402866" w:rsidRPr="00395E6B" w:rsidRDefault="00402866">
            <w:pPr>
              <w:pStyle w:val="a3"/>
              <w:jc w:val="right"/>
              <w:rPr>
                <w:rFonts w:cs="FrankRuehl"/>
                <w:sz w:val="28"/>
                <w:szCs w:val="28"/>
                <w:rtl/>
              </w:rPr>
            </w:pPr>
          </w:p>
        </w:tc>
      </w:tr>
    </w:tbl>
    <w:p w14:paraId="6E023679" w14:textId="77777777" w:rsidR="00402866" w:rsidRPr="00395E6B" w:rsidRDefault="00395E6B">
      <w:pPr>
        <w:pStyle w:val="a3"/>
        <w:rPr>
          <w:rtl/>
        </w:rPr>
      </w:pPr>
      <w:r w:rsidRPr="00395E6B">
        <w:rPr>
          <w:rFonts w:hint="cs"/>
          <w:rtl/>
        </w:rPr>
        <w:t xml:space="preserve"> </w:t>
      </w:r>
    </w:p>
    <w:p w14:paraId="65F0B478" w14:textId="77777777" w:rsidR="00402866" w:rsidRPr="00395E6B" w:rsidRDefault="00402866">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402866" w:rsidRPr="00395E6B" w14:paraId="221AC1D0" w14:textId="77777777">
        <w:trPr>
          <w:trHeight w:val="295"/>
          <w:jc w:val="center"/>
        </w:trPr>
        <w:tc>
          <w:tcPr>
            <w:tcW w:w="923" w:type="dxa"/>
            <w:tcBorders>
              <w:top w:val="nil"/>
              <w:left w:val="nil"/>
              <w:bottom w:val="nil"/>
              <w:right w:val="nil"/>
            </w:tcBorders>
          </w:tcPr>
          <w:p w14:paraId="5E484AD1" w14:textId="77777777" w:rsidR="00402866" w:rsidRPr="00395E6B" w:rsidRDefault="00395E6B">
            <w:pPr>
              <w:jc w:val="both"/>
              <w:rPr>
                <w:rFonts w:ascii="Arial" w:hAnsi="Arial"/>
                <w:b/>
                <w:bCs/>
                <w:sz w:val="28"/>
                <w:szCs w:val="28"/>
              </w:rPr>
            </w:pPr>
            <w:r w:rsidRPr="00395E6B">
              <w:rPr>
                <w:rFonts w:ascii="Arial" w:hAnsi="Arial" w:hint="cs"/>
                <w:b/>
                <w:bCs/>
                <w:sz w:val="28"/>
                <w:szCs w:val="28"/>
                <w:rtl/>
              </w:rPr>
              <w:t>ב</w:t>
            </w:r>
            <w:r w:rsidRPr="00395E6B">
              <w:rPr>
                <w:rFonts w:ascii="Arial" w:hAnsi="Arial"/>
                <w:b/>
                <w:bCs/>
                <w:sz w:val="28"/>
                <w:szCs w:val="28"/>
                <w:rtl/>
              </w:rPr>
              <w:t xml:space="preserve">פני </w:t>
            </w:r>
          </w:p>
        </w:tc>
        <w:tc>
          <w:tcPr>
            <w:tcW w:w="7897" w:type="dxa"/>
            <w:gridSpan w:val="2"/>
            <w:tcBorders>
              <w:top w:val="nil"/>
              <w:left w:val="nil"/>
              <w:bottom w:val="nil"/>
              <w:right w:val="nil"/>
            </w:tcBorders>
          </w:tcPr>
          <w:p w14:paraId="166B0AFF" w14:textId="77777777" w:rsidR="00402866" w:rsidRPr="00395E6B" w:rsidRDefault="00395E6B" w:rsidP="00DF793E">
            <w:pPr>
              <w:rPr>
                <w:b/>
                <w:bCs/>
                <w:sz w:val="28"/>
                <w:szCs w:val="28"/>
                <w:rtl/>
              </w:rPr>
            </w:pPr>
            <w:r w:rsidRPr="00395E6B">
              <w:rPr>
                <w:rFonts w:ascii="Arial" w:hAnsi="Arial" w:hint="cs"/>
                <w:b/>
                <w:bCs/>
                <w:sz w:val="28"/>
                <w:szCs w:val="28"/>
                <w:rtl/>
              </w:rPr>
              <w:t>כב' ה</w:t>
            </w:r>
            <w:r w:rsidRPr="00395E6B">
              <w:rPr>
                <w:rFonts w:hint="cs"/>
                <w:b/>
                <w:bCs/>
                <w:sz w:val="28"/>
                <w:szCs w:val="28"/>
                <w:rtl/>
              </w:rPr>
              <w:t>שופט</w:t>
            </w:r>
            <w:r w:rsidRPr="00395E6B">
              <w:rPr>
                <w:rFonts w:ascii="Arial" w:hAnsi="Arial" w:hint="cs"/>
                <w:b/>
                <w:bCs/>
                <w:sz w:val="28"/>
                <w:szCs w:val="28"/>
                <w:rtl/>
              </w:rPr>
              <w:t xml:space="preserve">  </w:t>
            </w:r>
            <w:r w:rsidRPr="00395E6B">
              <w:rPr>
                <w:rFonts w:hint="cs"/>
                <w:b/>
                <w:bCs/>
                <w:sz w:val="28"/>
                <w:szCs w:val="28"/>
                <w:rtl/>
              </w:rPr>
              <w:t>מרדכי כדורי</w:t>
            </w:r>
          </w:p>
          <w:p w14:paraId="23918EA9" w14:textId="77777777" w:rsidR="00402866" w:rsidRPr="00395E6B" w:rsidRDefault="00402866">
            <w:pPr>
              <w:jc w:val="both"/>
              <w:rPr>
                <w:rFonts w:ascii="Arial" w:hAnsi="Arial"/>
                <w:b/>
                <w:bCs/>
                <w:sz w:val="28"/>
                <w:szCs w:val="28"/>
              </w:rPr>
            </w:pPr>
          </w:p>
        </w:tc>
      </w:tr>
      <w:tr w:rsidR="00402866" w:rsidRPr="00395E6B" w14:paraId="64509A69" w14:textId="77777777">
        <w:trPr>
          <w:trHeight w:val="355"/>
          <w:jc w:val="center"/>
        </w:trPr>
        <w:tc>
          <w:tcPr>
            <w:tcW w:w="923" w:type="dxa"/>
            <w:tcBorders>
              <w:top w:val="nil"/>
              <w:left w:val="nil"/>
              <w:bottom w:val="nil"/>
              <w:right w:val="nil"/>
            </w:tcBorders>
          </w:tcPr>
          <w:p w14:paraId="778A08EC" w14:textId="77777777" w:rsidR="00402866" w:rsidRPr="00395E6B" w:rsidRDefault="00395E6B">
            <w:pPr>
              <w:jc w:val="both"/>
              <w:rPr>
                <w:rFonts w:ascii="Arial" w:hAnsi="Arial"/>
                <w:b/>
                <w:bCs/>
                <w:sz w:val="28"/>
                <w:szCs w:val="28"/>
              </w:rPr>
            </w:pPr>
            <w:bookmarkStart w:id="1" w:name="FirstAppellant"/>
            <w:r w:rsidRPr="00395E6B">
              <w:rPr>
                <w:rFonts w:ascii="Arial" w:hAnsi="Arial" w:hint="cs"/>
                <w:b/>
                <w:bCs/>
                <w:sz w:val="28"/>
                <w:szCs w:val="28"/>
                <w:rtl/>
              </w:rPr>
              <w:t>בעניין:</w:t>
            </w:r>
          </w:p>
        </w:tc>
        <w:tc>
          <w:tcPr>
            <w:tcW w:w="4126" w:type="dxa"/>
            <w:tcBorders>
              <w:top w:val="nil"/>
              <w:left w:val="nil"/>
              <w:bottom w:val="nil"/>
              <w:right w:val="nil"/>
            </w:tcBorders>
          </w:tcPr>
          <w:p w14:paraId="05854711" w14:textId="77777777" w:rsidR="00402866" w:rsidRPr="00395E6B" w:rsidRDefault="00395E6B">
            <w:pPr>
              <w:rPr>
                <w:b/>
                <w:bCs/>
                <w:sz w:val="28"/>
                <w:szCs w:val="28"/>
              </w:rPr>
            </w:pPr>
            <w:r w:rsidRPr="00395E6B">
              <w:rPr>
                <w:rFonts w:hint="cs"/>
                <w:b/>
                <w:bCs/>
                <w:sz w:val="28"/>
                <w:szCs w:val="28"/>
                <w:rtl/>
              </w:rPr>
              <w:br/>
              <w:t>מדינת ישראל</w:t>
            </w:r>
          </w:p>
        </w:tc>
        <w:tc>
          <w:tcPr>
            <w:tcW w:w="3771" w:type="dxa"/>
            <w:tcBorders>
              <w:top w:val="nil"/>
              <w:left w:val="nil"/>
              <w:bottom w:val="nil"/>
              <w:right w:val="nil"/>
            </w:tcBorders>
          </w:tcPr>
          <w:p w14:paraId="6503F811" w14:textId="77777777" w:rsidR="00402866" w:rsidRPr="00395E6B" w:rsidRDefault="00402866">
            <w:pPr>
              <w:jc w:val="both"/>
              <w:rPr>
                <w:rFonts w:ascii="Arial" w:hAnsi="Arial"/>
                <w:b/>
                <w:bCs/>
                <w:sz w:val="28"/>
                <w:szCs w:val="28"/>
              </w:rPr>
            </w:pPr>
          </w:p>
        </w:tc>
      </w:tr>
      <w:bookmarkEnd w:id="1"/>
      <w:tr w:rsidR="00402866" w:rsidRPr="00395E6B" w14:paraId="5B5DBBD0" w14:textId="77777777">
        <w:trPr>
          <w:trHeight w:val="355"/>
          <w:jc w:val="center"/>
        </w:trPr>
        <w:tc>
          <w:tcPr>
            <w:tcW w:w="923" w:type="dxa"/>
            <w:tcBorders>
              <w:top w:val="nil"/>
              <w:left w:val="nil"/>
              <w:bottom w:val="nil"/>
              <w:right w:val="nil"/>
            </w:tcBorders>
          </w:tcPr>
          <w:p w14:paraId="0340A01D" w14:textId="77777777" w:rsidR="00402866" w:rsidRPr="00395E6B" w:rsidRDefault="00402866">
            <w:pPr>
              <w:jc w:val="both"/>
              <w:rPr>
                <w:rFonts w:ascii="Arial" w:hAnsi="Arial"/>
                <w:b/>
                <w:bCs/>
                <w:sz w:val="28"/>
                <w:szCs w:val="28"/>
                <w:rtl/>
              </w:rPr>
            </w:pPr>
          </w:p>
        </w:tc>
        <w:tc>
          <w:tcPr>
            <w:tcW w:w="4126" w:type="dxa"/>
            <w:tcBorders>
              <w:top w:val="nil"/>
              <w:left w:val="nil"/>
              <w:bottom w:val="nil"/>
              <w:right w:val="nil"/>
            </w:tcBorders>
          </w:tcPr>
          <w:p w14:paraId="614B3693" w14:textId="77777777" w:rsidR="00402866" w:rsidRPr="00395E6B" w:rsidRDefault="00402866">
            <w:pPr>
              <w:jc w:val="both"/>
              <w:rPr>
                <w:b/>
                <w:bCs/>
                <w:sz w:val="28"/>
                <w:szCs w:val="28"/>
                <w:rtl/>
              </w:rPr>
            </w:pPr>
          </w:p>
        </w:tc>
        <w:tc>
          <w:tcPr>
            <w:tcW w:w="3771" w:type="dxa"/>
            <w:tcBorders>
              <w:top w:val="nil"/>
              <w:left w:val="nil"/>
              <w:bottom w:val="nil"/>
              <w:right w:val="nil"/>
            </w:tcBorders>
          </w:tcPr>
          <w:p w14:paraId="1D798E88" w14:textId="77777777" w:rsidR="00402866" w:rsidRPr="00395E6B" w:rsidRDefault="00395E6B">
            <w:pPr>
              <w:jc w:val="right"/>
              <w:rPr>
                <w:rFonts w:ascii="Arial" w:hAnsi="Arial"/>
                <w:b/>
                <w:bCs/>
                <w:sz w:val="28"/>
                <w:szCs w:val="28"/>
                <w:rtl/>
              </w:rPr>
            </w:pPr>
            <w:r w:rsidRPr="00395E6B">
              <w:rPr>
                <w:rFonts w:ascii="Arial" w:hAnsi="Arial" w:hint="cs"/>
                <w:b/>
                <w:bCs/>
                <w:sz w:val="28"/>
                <w:szCs w:val="28"/>
                <w:rtl/>
              </w:rPr>
              <w:t>ה</w:t>
            </w:r>
            <w:r w:rsidRPr="00395E6B">
              <w:rPr>
                <w:rFonts w:hint="cs"/>
                <w:b/>
                <w:bCs/>
                <w:sz w:val="28"/>
                <w:szCs w:val="28"/>
                <w:rtl/>
              </w:rPr>
              <w:t>מאשימה</w:t>
            </w:r>
          </w:p>
        </w:tc>
      </w:tr>
      <w:tr w:rsidR="00402866" w:rsidRPr="00395E6B" w14:paraId="2E79F0D4" w14:textId="77777777">
        <w:trPr>
          <w:trHeight w:val="355"/>
          <w:jc w:val="center"/>
        </w:trPr>
        <w:tc>
          <w:tcPr>
            <w:tcW w:w="923" w:type="dxa"/>
            <w:tcBorders>
              <w:top w:val="nil"/>
              <w:left w:val="nil"/>
              <w:bottom w:val="nil"/>
              <w:right w:val="nil"/>
            </w:tcBorders>
          </w:tcPr>
          <w:p w14:paraId="35FB148C" w14:textId="77777777" w:rsidR="00402866" w:rsidRPr="00395E6B" w:rsidRDefault="00402866">
            <w:pPr>
              <w:jc w:val="both"/>
              <w:rPr>
                <w:rFonts w:ascii="Arial" w:hAnsi="Arial"/>
                <w:b/>
                <w:bCs/>
                <w:sz w:val="28"/>
                <w:szCs w:val="28"/>
                <w:rtl/>
              </w:rPr>
            </w:pPr>
          </w:p>
        </w:tc>
        <w:tc>
          <w:tcPr>
            <w:tcW w:w="7897" w:type="dxa"/>
            <w:gridSpan w:val="2"/>
            <w:tcBorders>
              <w:top w:val="nil"/>
              <w:left w:val="nil"/>
              <w:bottom w:val="nil"/>
              <w:right w:val="nil"/>
            </w:tcBorders>
          </w:tcPr>
          <w:p w14:paraId="7C500D9B" w14:textId="77777777" w:rsidR="00402866" w:rsidRPr="00395E6B" w:rsidRDefault="00402866">
            <w:pPr>
              <w:jc w:val="center"/>
              <w:rPr>
                <w:rFonts w:ascii="Arial" w:hAnsi="Arial"/>
                <w:b/>
                <w:bCs/>
                <w:sz w:val="28"/>
                <w:szCs w:val="28"/>
                <w:rtl/>
              </w:rPr>
            </w:pPr>
          </w:p>
          <w:p w14:paraId="2626EFD7" w14:textId="77777777" w:rsidR="00402866" w:rsidRPr="00395E6B" w:rsidRDefault="00395E6B">
            <w:pPr>
              <w:jc w:val="center"/>
              <w:rPr>
                <w:rFonts w:ascii="Arial" w:hAnsi="Arial"/>
                <w:b/>
                <w:bCs/>
                <w:sz w:val="28"/>
                <w:szCs w:val="28"/>
                <w:rtl/>
              </w:rPr>
            </w:pPr>
            <w:r w:rsidRPr="00395E6B">
              <w:rPr>
                <w:rFonts w:ascii="Arial" w:hAnsi="Arial"/>
                <w:b/>
                <w:bCs/>
                <w:sz w:val="28"/>
                <w:szCs w:val="28"/>
                <w:rtl/>
              </w:rPr>
              <w:t>נגד</w:t>
            </w:r>
          </w:p>
          <w:p w14:paraId="3ECBE0C0" w14:textId="77777777" w:rsidR="00402866" w:rsidRPr="00395E6B" w:rsidRDefault="00402866">
            <w:pPr>
              <w:jc w:val="both"/>
              <w:rPr>
                <w:rFonts w:ascii="Arial" w:hAnsi="Arial"/>
                <w:b/>
                <w:bCs/>
                <w:sz w:val="28"/>
                <w:szCs w:val="28"/>
              </w:rPr>
            </w:pPr>
          </w:p>
        </w:tc>
      </w:tr>
      <w:tr w:rsidR="00402866" w:rsidRPr="00395E6B" w14:paraId="745DFE48" w14:textId="77777777">
        <w:trPr>
          <w:trHeight w:val="355"/>
          <w:jc w:val="center"/>
        </w:trPr>
        <w:tc>
          <w:tcPr>
            <w:tcW w:w="923" w:type="dxa"/>
            <w:tcBorders>
              <w:top w:val="nil"/>
              <w:left w:val="nil"/>
              <w:bottom w:val="nil"/>
              <w:right w:val="nil"/>
            </w:tcBorders>
          </w:tcPr>
          <w:p w14:paraId="1718CF02" w14:textId="77777777" w:rsidR="00402866" w:rsidRPr="00395E6B" w:rsidRDefault="00402866">
            <w:pPr>
              <w:rPr>
                <w:rFonts w:ascii="Arial" w:hAnsi="Arial"/>
                <w:b/>
                <w:bCs/>
                <w:sz w:val="28"/>
                <w:szCs w:val="28"/>
                <w:rtl/>
              </w:rPr>
            </w:pPr>
          </w:p>
        </w:tc>
        <w:tc>
          <w:tcPr>
            <w:tcW w:w="4126" w:type="dxa"/>
            <w:tcBorders>
              <w:top w:val="nil"/>
              <w:left w:val="nil"/>
              <w:bottom w:val="nil"/>
              <w:right w:val="nil"/>
            </w:tcBorders>
          </w:tcPr>
          <w:p w14:paraId="2DCA38F9" w14:textId="77777777" w:rsidR="00402866" w:rsidRPr="00395E6B" w:rsidRDefault="00395E6B">
            <w:pPr>
              <w:rPr>
                <w:b/>
                <w:bCs/>
                <w:sz w:val="28"/>
                <w:szCs w:val="28"/>
                <w:rtl/>
              </w:rPr>
            </w:pPr>
            <w:r w:rsidRPr="00395E6B">
              <w:rPr>
                <w:rFonts w:hint="cs"/>
                <w:b/>
                <w:bCs/>
                <w:sz w:val="28"/>
                <w:szCs w:val="28"/>
                <w:rtl/>
              </w:rPr>
              <w:br/>
              <w:t>ישראל וקנין</w:t>
            </w:r>
          </w:p>
        </w:tc>
        <w:tc>
          <w:tcPr>
            <w:tcW w:w="3771" w:type="dxa"/>
            <w:tcBorders>
              <w:top w:val="nil"/>
              <w:left w:val="nil"/>
              <w:bottom w:val="nil"/>
              <w:right w:val="nil"/>
            </w:tcBorders>
          </w:tcPr>
          <w:p w14:paraId="41F8799B" w14:textId="77777777" w:rsidR="00402866" w:rsidRPr="00395E6B" w:rsidRDefault="00402866">
            <w:pPr>
              <w:jc w:val="right"/>
              <w:rPr>
                <w:rFonts w:ascii="Arial" w:hAnsi="Arial"/>
                <w:b/>
                <w:bCs/>
                <w:sz w:val="28"/>
                <w:szCs w:val="28"/>
              </w:rPr>
            </w:pPr>
          </w:p>
        </w:tc>
      </w:tr>
      <w:tr w:rsidR="00402866" w:rsidRPr="00395E6B" w14:paraId="6BB47E1B" w14:textId="77777777">
        <w:trPr>
          <w:trHeight w:val="355"/>
          <w:jc w:val="center"/>
        </w:trPr>
        <w:tc>
          <w:tcPr>
            <w:tcW w:w="923" w:type="dxa"/>
            <w:tcBorders>
              <w:top w:val="nil"/>
              <w:left w:val="nil"/>
              <w:bottom w:val="nil"/>
              <w:right w:val="nil"/>
            </w:tcBorders>
          </w:tcPr>
          <w:p w14:paraId="54F0FB3A" w14:textId="77777777" w:rsidR="00402866" w:rsidRPr="00395E6B" w:rsidRDefault="00402866">
            <w:pPr>
              <w:jc w:val="both"/>
              <w:rPr>
                <w:rFonts w:ascii="Arial" w:hAnsi="Arial"/>
                <w:b/>
                <w:bCs/>
                <w:sz w:val="28"/>
                <w:szCs w:val="28"/>
                <w:rtl/>
              </w:rPr>
            </w:pPr>
          </w:p>
        </w:tc>
        <w:tc>
          <w:tcPr>
            <w:tcW w:w="4126" w:type="dxa"/>
            <w:tcBorders>
              <w:top w:val="nil"/>
              <w:left w:val="nil"/>
              <w:bottom w:val="nil"/>
              <w:right w:val="nil"/>
            </w:tcBorders>
          </w:tcPr>
          <w:p w14:paraId="3BE2CFA4" w14:textId="77777777" w:rsidR="00402866" w:rsidRPr="00395E6B" w:rsidRDefault="00402866">
            <w:pPr>
              <w:jc w:val="both"/>
              <w:rPr>
                <w:b/>
                <w:bCs/>
                <w:sz w:val="28"/>
                <w:szCs w:val="28"/>
                <w:rtl/>
              </w:rPr>
            </w:pPr>
          </w:p>
        </w:tc>
        <w:tc>
          <w:tcPr>
            <w:tcW w:w="3771" w:type="dxa"/>
            <w:tcBorders>
              <w:top w:val="nil"/>
              <w:left w:val="nil"/>
              <w:bottom w:val="nil"/>
              <w:right w:val="nil"/>
            </w:tcBorders>
          </w:tcPr>
          <w:p w14:paraId="07448BD1" w14:textId="77777777" w:rsidR="00402866" w:rsidRPr="00395E6B" w:rsidRDefault="00395E6B">
            <w:pPr>
              <w:jc w:val="right"/>
              <w:rPr>
                <w:rFonts w:ascii="Arial" w:hAnsi="Arial"/>
                <w:b/>
                <w:bCs/>
                <w:sz w:val="28"/>
                <w:szCs w:val="28"/>
              </w:rPr>
            </w:pPr>
            <w:r w:rsidRPr="00395E6B">
              <w:rPr>
                <w:rFonts w:ascii="Arial" w:hAnsi="Arial" w:hint="cs"/>
                <w:b/>
                <w:bCs/>
                <w:sz w:val="28"/>
                <w:szCs w:val="28"/>
                <w:rtl/>
              </w:rPr>
              <w:t>ה</w:t>
            </w:r>
            <w:r w:rsidRPr="00395E6B">
              <w:rPr>
                <w:rFonts w:hint="cs"/>
                <w:b/>
                <w:bCs/>
                <w:sz w:val="28"/>
                <w:szCs w:val="28"/>
                <w:rtl/>
              </w:rPr>
              <w:t>נאשם</w:t>
            </w:r>
          </w:p>
        </w:tc>
      </w:tr>
    </w:tbl>
    <w:p w14:paraId="0656BFF5" w14:textId="77777777" w:rsidR="00DF793E" w:rsidRDefault="00DF793E">
      <w:pPr>
        <w:rPr>
          <w:sz w:val="28"/>
          <w:szCs w:val="28"/>
          <w:rtl/>
        </w:rPr>
      </w:pPr>
      <w:bookmarkStart w:id="2" w:name="LawTable"/>
      <w:bookmarkEnd w:id="2"/>
    </w:p>
    <w:p w14:paraId="490ECE14" w14:textId="77777777" w:rsidR="00DF793E" w:rsidRPr="00DF793E" w:rsidRDefault="00DF793E" w:rsidP="00DF793E">
      <w:pPr>
        <w:spacing w:after="120" w:line="240" w:lineRule="exact"/>
        <w:ind w:left="283" w:hanging="283"/>
        <w:jc w:val="both"/>
        <w:rPr>
          <w:rFonts w:ascii="FrankRuehl" w:hAnsi="FrankRuehl" w:cs="FrankRuehl"/>
          <w:rtl/>
        </w:rPr>
      </w:pPr>
      <w:r w:rsidRPr="00DF793E">
        <w:rPr>
          <w:rFonts w:ascii="FrankRuehl" w:hAnsi="FrankRuehl" w:cs="FrankRuehl"/>
          <w:rtl/>
        </w:rPr>
        <w:t xml:space="preserve">חקיקה שאוזכרה: </w:t>
      </w:r>
    </w:p>
    <w:p w14:paraId="5804B852" w14:textId="77777777" w:rsidR="00DF793E" w:rsidRPr="00DF793E" w:rsidRDefault="00DF793E" w:rsidP="00DF793E">
      <w:pPr>
        <w:spacing w:after="120" w:line="240" w:lineRule="exact"/>
        <w:ind w:left="283" w:hanging="283"/>
        <w:jc w:val="both"/>
        <w:rPr>
          <w:rFonts w:ascii="FrankRuehl" w:hAnsi="FrankRuehl" w:cs="FrankRuehl"/>
          <w:rtl/>
        </w:rPr>
      </w:pPr>
      <w:hyperlink r:id="rId6" w:history="1">
        <w:r w:rsidRPr="00DF793E">
          <w:rPr>
            <w:rFonts w:ascii="FrankRuehl" w:hAnsi="FrankRuehl" w:cs="FrankRuehl"/>
            <w:color w:val="0000FF"/>
            <w:u w:val="single"/>
            <w:rtl/>
          </w:rPr>
          <w:t>פקודת הסמים המסוכנים [נוסח חדש], תשל"ג-1973</w:t>
        </w:r>
      </w:hyperlink>
      <w:r w:rsidRPr="00DF793E">
        <w:rPr>
          <w:rFonts w:ascii="FrankRuehl" w:hAnsi="FrankRuehl" w:cs="FrankRuehl"/>
          <w:rtl/>
        </w:rPr>
        <w:t xml:space="preserve">: סע'  </w:t>
      </w:r>
      <w:hyperlink r:id="rId7" w:history="1">
        <w:r w:rsidRPr="00DF793E">
          <w:rPr>
            <w:rFonts w:ascii="FrankRuehl" w:hAnsi="FrankRuehl" w:cs="FrankRuehl"/>
            <w:color w:val="0000FF"/>
            <w:u w:val="single"/>
            <w:rtl/>
          </w:rPr>
          <w:t>7(א)</w:t>
        </w:r>
      </w:hyperlink>
      <w:r w:rsidRPr="00DF793E">
        <w:rPr>
          <w:rFonts w:ascii="FrankRuehl" w:hAnsi="FrankRuehl" w:cs="FrankRuehl"/>
          <w:rtl/>
        </w:rPr>
        <w:t xml:space="preserve">, </w:t>
      </w:r>
      <w:hyperlink r:id="rId8" w:history="1">
        <w:r w:rsidRPr="00DF793E">
          <w:rPr>
            <w:rFonts w:ascii="FrankRuehl" w:hAnsi="FrankRuehl" w:cs="FrankRuehl"/>
            <w:color w:val="0000FF"/>
            <w:u w:val="single"/>
            <w:rtl/>
          </w:rPr>
          <w:t>7(ג)</w:t>
        </w:r>
      </w:hyperlink>
      <w:r w:rsidRPr="00DF793E">
        <w:rPr>
          <w:rFonts w:ascii="FrankRuehl" w:hAnsi="FrankRuehl" w:cs="FrankRuehl"/>
          <w:rtl/>
        </w:rPr>
        <w:t xml:space="preserve">, </w:t>
      </w:r>
      <w:hyperlink r:id="rId9" w:history="1">
        <w:r w:rsidRPr="00DF793E">
          <w:rPr>
            <w:rFonts w:ascii="FrankRuehl" w:hAnsi="FrankRuehl" w:cs="FrankRuehl"/>
            <w:color w:val="0000FF"/>
            <w:u w:val="single"/>
            <w:rtl/>
          </w:rPr>
          <w:t>10</w:t>
        </w:r>
      </w:hyperlink>
    </w:p>
    <w:p w14:paraId="48200093" w14:textId="77777777" w:rsidR="00DF793E" w:rsidRPr="00DF793E" w:rsidRDefault="00DF793E" w:rsidP="00DF793E">
      <w:pPr>
        <w:spacing w:after="120" w:line="240" w:lineRule="exact"/>
        <w:ind w:left="283" w:hanging="283"/>
        <w:jc w:val="both"/>
        <w:rPr>
          <w:rFonts w:ascii="FrankRuehl" w:hAnsi="FrankRuehl" w:cs="FrankRuehl"/>
          <w:rtl/>
        </w:rPr>
      </w:pPr>
      <w:hyperlink r:id="rId10" w:history="1">
        <w:r w:rsidRPr="00DF793E">
          <w:rPr>
            <w:rFonts w:ascii="FrankRuehl" w:hAnsi="FrankRuehl" w:cs="FrankRuehl"/>
            <w:color w:val="0000FF"/>
            <w:u w:val="single"/>
            <w:rtl/>
          </w:rPr>
          <w:t>חוק העונשין, תשל"ז-1977</w:t>
        </w:r>
      </w:hyperlink>
      <w:r w:rsidRPr="00DF793E">
        <w:rPr>
          <w:rFonts w:ascii="FrankRuehl" w:hAnsi="FrankRuehl" w:cs="FrankRuehl"/>
          <w:rtl/>
        </w:rPr>
        <w:t xml:space="preserve">: סע'  </w:t>
      </w:r>
      <w:hyperlink r:id="rId11" w:history="1">
        <w:r w:rsidRPr="00DF793E">
          <w:rPr>
            <w:rFonts w:ascii="FrankRuehl" w:hAnsi="FrankRuehl" w:cs="FrankRuehl"/>
            <w:color w:val="0000FF"/>
            <w:u w:val="single"/>
            <w:rtl/>
          </w:rPr>
          <w:t>40ד(א)</w:t>
        </w:r>
      </w:hyperlink>
      <w:r w:rsidRPr="00DF793E">
        <w:rPr>
          <w:rFonts w:ascii="FrankRuehl" w:hAnsi="FrankRuehl" w:cs="FrankRuehl"/>
          <w:rtl/>
        </w:rPr>
        <w:t xml:space="preserve">, </w:t>
      </w:r>
      <w:hyperlink r:id="rId12" w:history="1">
        <w:r w:rsidRPr="00DF793E">
          <w:rPr>
            <w:rFonts w:ascii="FrankRuehl" w:hAnsi="FrankRuehl" w:cs="FrankRuehl"/>
            <w:color w:val="0000FF"/>
            <w:u w:val="single"/>
            <w:rtl/>
          </w:rPr>
          <w:t>288</w:t>
        </w:r>
      </w:hyperlink>
      <w:r w:rsidRPr="00DF793E">
        <w:rPr>
          <w:rFonts w:ascii="FrankRuehl" w:hAnsi="FrankRuehl" w:cs="FrankRuehl"/>
          <w:rtl/>
        </w:rPr>
        <w:t xml:space="preserve">, </w:t>
      </w:r>
      <w:hyperlink r:id="rId13" w:history="1">
        <w:r w:rsidRPr="00DF793E">
          <w:rPr>
            <w:rFonts w:ascii="FrankRuehl" w:hAnsi="FrankRuehl" w:cs="FrankRuehl"/>
            <w:color w:val="0000FF"/>
            <w:u w:val="single"/>
            <w:rtl/>
          </w:rPr>
          <w:t>380</w:t>
        </w:r>
      </w:hyperlink>
    </w:p>
    <w:p w14:paraId="0EC2D8A1" w14:textId="77777777" w:rsidR="00DF793E" w:rsidRPr="00DF793E" w:rsidRDefault="00DF793E" w:rsidP="00DF793E">
      <w:pPr>
        <w:spacing w:after="120" w:line="240" w:lineRule="exact"/>
        <w:ind w:left="283" w:hanging="283"/>
        <w:jc w:val="both"/>
        <w:rPr>
          <w:rFonts w:ascii="FrankRuehl" w:hAnsi="FrankRuehl" w:cs="FrankRuehl"/>
          <w:rtl/>
        </w:rPr>
      </w:pPr>
    </w:p>
    <w:p w14:paraId="63FD4811" w14:textId="77777777" w:rsidR="00402866" w:rsidRPr="00395E6B" w:rsidRDefault="00402866">
      <w:pPr>
        <w:rPr>
          <w:b/>
          <w:bCs/>
          <w:sz w:val="28"/>
          <w:szCs w:val="28"/>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02866" w14:paraId="328D64E2" w14:textId="77777777">
        <w:trPr>
          <w:trHeight w:val="355"/>
          <w:jc w:val="center"/>
        </w:trPr>
        <w:tc>
          <w:tcPr>
            <w:tcW w:w="8820" w:type="dxa"/>
            <w:tcBorders>
              <w:top w:val="nil"/>
              <w:left w:val="nil"/>
              <w:bottom w:val="nil"/>
              <w:right w:val="nil"/>
            </w:tcBorders>
          </w:tcPr>
          <w:p w14:paraId="06C29B22" w14:textId="77777777" w:rsidR="00395E6B" w:rsidRPr="00395E6B" w:rsidRDefault="00395E6B" w:rsidP="00395E6B">
            <w:pPr>
              <w:jc w:val="center"/>
              <w:rPr>
                <w:rFonts w:ascii="Arial" w:hAnsi="Arial"/>
                <w:b/>
                <w:bCs/>
                <w:sz w:val="28"/>
                <w:szCs w:val="28"/>
                <w:u w:val="single"/>
                <w:rtl/>
              </w:rPr>
            </w:pPr>
            <w:bookmarkStart w:id="4" w:name="PsakDin" w:colFirst="0" w:colLast="0"/>
            <w:bookmarkEnd w:id="0"/>
            <w:r w:rsidRPr="00395E6B">
              <w:rPr>
                <w:rFonts w:ascii="Arial" w:hAnsi="Arial"/>
                <w:b/>
                <w:bCs/>
                <w:sz w:val="28"/>
                <w:szCs w:val="28"/>
                <w:u w:val="single"/>
                <w:rtl/>
              </w:rPr>
              <w:t>גזר דין</w:t>
            </w:r>
          </w:p>
          <w:p w14:paraId="72C60A7D" w14:textId="77777777" w:rsidR="00402866" w:rsidRPr="00395E6B" w:rsidRDefault="00402866" w:rsidP="00395E6B">
            <w:pPr>
              <w:jc w:val="center"/>
              <w:rPr>
                <w:rFonts w:ascii="Arial" w:hAnsi="Arial"/>
                <w:b/>
                <w:bCs/>
                <w:sz w:val="28"/>
                <w:szCs w:val="28"/>
                <w:u w:val="single"/>
                <w:rtl/>
              </w:rPr>
            </w:pPr>
          </w:p>
        </w:tc>
      </w:tr>
      <w:bookmarkEnd w:id="4"/>
    </w:tbl>
    <w:p w14:paraId="7563F529" w14:textId="77777777" w:rsidR="00402866" w:rsidRDefault="00402866">
      <w:pPr>
        <w:spacing w:line="360" w:lineRule="auto"/>
        <w:rPr>
          <w:b/>
          <w:bCs/>
          <w:rtl/>
        </w:rPr>
      </w:pPr>
    </w:p>
    <w:p w14:paraId="16C1158A" w14:textId="77777777" w:rsidR="00402866" w:rsidRDefault="00395E6B">
      <w:pPr>
        <w:spacing w:line="360" w:lineRule="auto"/>
        <w:jc w:val="both"/>
        <w:rPr>
          <w:b/>
          <w:bCs/>
          <w:u w:val="single"/>
          <w:rtl/>
        </w:rPr>
      </w:pPr>
      <w:r>
        <w:rPr>
          <w:b/>
          <w:bCs/>
          <w:u w:val="single"/>
          <w:rtl/>
        </w:rPr>
        <w:t>הרקע:</w:t>
      </w:r>
    </w:p>
    <w:p w14:paraId="08641B7D" w14:textId="77777777" w:rsidR="00402866" w:rsidRDefault="00402866">
      <w:pPr>
        <w:spacing w:line="360" w:lineRule="auto"/>
        <w:jc w:val="both"/>
        <w:rPr>
          <w:u w:val="single"/>
          <w:rtl/>
        </w:rPr>
      </w:pPr>
    </w:p>
    <w:p w14:paraId="037F4169" w14:textId="77777777" w:rsidR="00402866" w:rsidRDefault="00395E6B">
      <w:pPr>
        <w:spacing w:line="360" w:lineRule="auto"/>
        <w:jc w:val="both"/>
        <w:rPr>
          <w:rtl/>
        </w:rPr>
      </w:pPr>
      <w:bookmarkStart w:id="5" w:name="ABSTRACT_START"/>
      <w:bookmarkEnd w:id="5"/>
      <w:r>
        <w:rPr>
          <w:rtl/>
        </w:rPr>
        <w:t xml:space="preserve">הנאשם הורשע על פי הודאתו, בעבירות של החזקת כלים להכנת סם לצריכה עצמית לפי </w:t>
      </w:r>
      <w:hyperlink r:id="rId14" w:history="1">
        <w:r w:rsidR="00DF793E" w:rsidRPr="00DF793E">
          <w:rPr>
            <w:color w:val="0000FF"/>
            <w:u w:val="single"/>
            <w:rtl/>
          </w:rPr>
          <w:t>סעיף 10</w:t>
        </w:r>
      </w:hyperlink>
      <w:r>
        <w:rPr>
          <w:rtl/>
        </w:rPr>
        <w:t xml:space="preserve"> לפי </w:t>
      </w:r>
      <w:hyperlink r:id="rId15" w:history="1">
        <w:r w:rsidRPr="00395E6B">
          <w:rPr>
            <w:color w:val="0000FF"/>
            <w:u w:val="single"/>
            <w:rtl/>
          </w:rPr>
          <w:t>פקודת הסמים המסוכנים</w:t>
        </w:r>
      </w:hyperlink>
      <w:r>
        <w:rPr>
          <w:rtl/>
        </w:rPr>
        <w:t xml:space="preserve"> [נוסח חדש], תשל"ג – 1973 (להלן: "</w:t>
      </w:r>
      <w:r>
        <w:rPr>
          <w:b/>
          <w:bCs/>
          <w:rtl/>
        </w:rPr>
        <w:t>פקודת הסמים</w:t>
      </w:r>
      <w:r>
        <w:rPr>
          <w:rtl/>
        </w:rPr>
        <w:t xml:space="preserve">"), והחזקת סם לצריכה עצמית לפי </w:t>
      </w:r>
      <w:hyperlink r:id="rId16" w:history="1">
        <w:r w:rsidR="00DF793E" w:rsidRPr="00DF793E">
          <w:rPr>
            <w:color w:val="0000FF"/>
            <w:u w:val="single"/>
            <w:rtl/>
          </w:rPr>
          <w:t>סעיף 7(א)</w:t>
        </w:r>
      </w:hyperlink>
      <w:r>
        <w:rPr>
          <w:rtl/>
        </w:rPr>
        <w:t xml:space="preserve"> +</w:t>
      </w:r>
      <w:hyperlink r:id="rId17" w:history="1">
        <w:r w:rsidR="00DF793E" w:rsidRPr="00DF793E">
          <w:rPr>
            <w:rStyle w:val="Hyperlink"/>
            <w:rtl/>
          </w:rPr>
          <w:t>7(ג)</w:t>
        </w:r>
      </w:hyperlink>
      <w:r>
        <w:rPr>
          <w:rtl/>
        </w:rPr>
        <w:t xml:space="preserve"> לפקודת הסמים.</w:t>
      </w:r>
    </w:p>
    <w:p w14:paraId="43FD190F" w14:textId="77777777" w:rsidR="00402866" w:rsidRDefault="00402866">
      <w:pPr>
        <w:spacing w:line="360" w:lineRule="auto"/>
        <w:jc w:val="both"/>
        <w:rPr>
          <w:rtl/>
        </w:rPr>
      </w:pPr>
      <w:bookmarkStart w:id="6" w:name="ABSTRACT_END"/>
      <w:bookmarkEnd w:id="6"/>
    </w:p>
    <w:p w14:paraId="5FB72BF7" w14:textId="77777777" w:rsidR="00402866" w:rsidRDefault="00395E6B">
      <w:pPr>
        <w:spacing w:line="360" w:lineRule="auto"/>
        <w:jc w:val="both"/>
        <w:rPr>
          <w:rtl/>
        </w:rPr>
      </w:pPr>
      <w:r>
        <w:rPr>
          <w:rtl/>
        </w:rPr>
        <w:t>לפי עובדות כתב האישום, ביום 23/1/2012 החזיק הנאשם בביתו 1.19 גרם חשיש וכלי לעישון סמים, זאת מבלי שהיה ברשותו היתר או רישיון כדין.</w:t>
      </w:r>
    </w:p>
    <w:p w14:paraId="111E8291" w14:textId="77777777" w:rsidR="00402866" w:rsidRDefault="00402866">
      <w:pPr>
        <w:spacing w:line="360" w:lineRule="auto"/>
        <w:jc w:val="both"/>
        <w:rPr>
          <w:rtl/>
        </w:rPr>
      </w:pPr>
    </w:p>
    <w:p w14:paraId="5A83B45D" w14:textId="77777777" w:rsidR="00402866" w:rsidRDefault="00395E6B">
      <w:pPr>
        <w:spacing w:line="360" w:lineRule="auto"/>
        <w:jc w:val="both"/>
        <w:rPr>
          <w:rtl/>
        </w:rPr>
      </w:pPr>
      <w:hyperlink r:id="rId18" w:history="1">
        <w:r w:rsidRPr="00395E6B">
          <w:rPr>
            <w:color w:val="0000FF"/>
            <w:u w:val="single"/>
            <w:rtl/>
          </w:rPr>
          <w:t>ת"פ 48387-10-12</w:t>
        </w:r>
        <w:r w:rsidRPr="00395E6B">
          <w:rPr>
            <w:color w:val="0000FF"/>
            <w:u w:val="single"/>
            <w:rtl/>
          </w:rPr>
          <w:cr/>
        </w:r>
      </w:hyperlink>
      <w:r>
        <w:rPr>
          <w:rtl/>
        </w:rPr>
        <w:t>בהמשך הגיעו הצדדים להסדר טיעון במסגרתו תוקן כתב האישום שהוגש נגד הנאשם ב</w:t>
      </w:r>
      <w:hyperlink r:id="rId19" w:history="1">
        <w:r w:rsidRPr="00395E6B">
          <w:rPr>
            <w:color w:val="0000FF"/>
            <w:u w:val="single"/>
            <w:rtl/>
          </w:rPr>
          <w:t>ת.פ. 48387-</w:t>
        </w:r>
        <w:r w:rsidRPr="00395E6B">
          <w:rPr>
            <w:color w:val="0000FF"/>
            <w:u w:val="single"/>
            <w:rtl/>
          </w:rPr>
          <w:lastRenderedPageBreak/>
          <w:t>10-12</w:t>
        </w:r>
      </w:hyperlink>
      <w:r>
        <w:rPr>
          <w:rtl/>
        </w:rPr>
        <w:t xml:space="preserve">. הנאשם הודה בעובדות כתב האישום המתוקן, והורשע בעבירה של תקיפה הגורמת חבלה של ממש לפי </w:t>
      </w:r>
      <w:hyperlink r:id="rId20" w:history="1">
        <w:r w:rsidR="00DF793E" w:rsidRPr="00DF793E">
          <w:rPr>
            <w:rStyle w:val="Hyperlink"/>
            <w:rtl/>
          </w:rPr>
          <w:t>סעיף 380</w:t>
        </w:r>
      </w:hyperlink>
      <w:r>
        <w:rPr>
          <w:rtl/>
        </w:rPr>
        <w:t xml:space="preserve"> ל</w:t>
      </w:r>
      <w:hyperlink r:id="rId21" w:history="1">
        <w:r w:rsidRPr="00395E6B">
          <w:rPr>
            <w:color w:val="0000FF"/>
            <w:u w:val="single"/>
            <w:rtl/>
          </w:rPr>
          <w:t>חוק העונשין</w:t>
        </w:r>
      </w:hyperlink>
      <w:r>
        <w:rPr>
          <w:rtl/>
        </w:rPr>
        <w:t>, תשל"ז-1977 (להלן: "</w:t>
      </w:r>
      <w:r>
        <w:rPr>
          <w:b/>
          <w:bCs/>
          <w:rtl/>
        </w:rPr>
        <w:t>חוק העונשין</w:t>
      </w:r>
      <w:r>
        <w:rPr>
          <w:rtl/>
        </w:rPr>
        <w:t>").</w:t>
      </w:r>
    </w:p>
    <w:p w14:paraId="09AB3CC3" w14:textId="77777777" w:rsidR="00402866" w:rsidRDefault="00402866">
      <w:pPr>
        <w:spacing w:line="360" w:lineRule="auto"/>
        <w:jc w:val="both"/>
        <w:rPr>
          <w:rtl/>
        </w:rPr>
      </w:pPr>
    </w:p>
    <w:p w14:paraId="0946CAAD" w14:textId="77777777" w:rsidR="00402866" w:rsidRDefault="00395E6B">
      <w:pPr>
        <w:spacing w:line="360" w:lineRule="auto"/>
        <w:jc w:val="both"/>
        <w:rPr>
          <w:rtl/>
        </w:rPr>
      </w:pPr>
      <w:r>
        <w:rPr>
          <w:rtl/>
        </w:rPr>
        <w:t xml:space="preserve">לפי עובדות כתב האישום המתוקן, ביום 25/2/2012 תקף הנאשם את נ.ל., קטין כבן 17 (להלן: "המתלונן"), וגרם לו לחבלות של ממש. </w:t>
      </w:r>
    </w:p>
    <w:p w14:paraId="7BDA0D69" w14:textId="77777777" w:rsidR="00402866" w:rsidRDefault="00395E6B">
      <w:pPr>
        <w:spacing w:line="360" w:lineRule="auto"/>
        <w:jc w:val="both"/>
        <w:rPr>
          <w:rtl/>
        </w:rPr>
      </w:pPr>
      <w:r>
        <w:rPr>
          <w:rtl/>
        </w:rPr>
        <w:t>הנאשם ביקש להצטרף למתלונן ולחבריו ששיחקו כדורגל במגרש הספורט של היישוב בו הוא מתגורר. הנאשם סירב לדרישתו של המתלונן לרדת מהמגרש ולחכות לתורו, ודחף את המתלונן. לאחר שהמתלונן דחף את הנאשם חזרה, תפס הנאשם בחולצתו של המתלונן ונגח בראשו. המתלונן ניסה להתגונן מפני הנאשם וחבט בנאשם באגרופו. אך הנאשם איים על המתלונן באמרו: "אני אזיין אותך", והכה באגרופיו בחזהו של המתלונן. לאחר שהשניים נפלו על הקרקע, ובעוד המתלונן שרוע עליה, המשיך הנאשם והכה באגרופיו במתלונן, איים עליו בצעקה "אני אהרוג אותך מה אתה חושב שאתה עושה", ולאחר מכן הכה בראשו של המתלונן באמצעות אבן אותה הרים מהרצפה.</w:t>
      </w:r>
    </w:p>
    <w:p w14:paraId="774168AE" w14:textId="77777777" w:rsidR="00402866" w:rsidRDefault="00402866">
      <w:pPr>
        <w:spacing w:line="360" w:lineRule="auto"/>
        <w:jc w:val="both"/>
        <w:rPr>
          <w:rtl/>
        </w:rPr>
      </w:pPr>
    </w:p>
    <w:p w14:paraId="2359DF03" w14:textId="77777777" w:rsidR="00402866" w:rsidRDefault="00395E6B">
      <w:pPr>
        <w:spacing w:line="360" w:lineRule="auto"/>
        <w:jc w:val="both"/>
        <w:rPr>
          <w:rtl/>
        </w:rPr>
      </w:pPr>
      <w:r>
        <w:rPr>
          <w:rtl/>
        </w:rPr>
        <w:t xml:space="preserve">כתוצאה ממעשיו של הנאשם נגרמו למתלונן נפיחות קלה בקרקפת מעל אוזן ימין, שריטות בצוואר, וכן שריטות ושטף דם בבית החזה הימני. </w:t>
      </w:r>
    </w:p>
    <w:p w14:paraId="49CD3D0C" w14:textId="77777777" w:rsidR="00402866" w:rsidRDefault="00402866">
      <w:pPr>
        <w:spacing w:line="360" w:lineRule="auto"/>
        <w:jc w:val="both"/>
        <w:rPr>
          <w:rtl/>
        </w:rPr>
      </w:pPr>
    </w:p>
    <w:p w14:paraId="61ABCFB9" w14:textId="77777777" w:rsidR="00402866" w:rsidRDefault="00395E6B">
      <w:pPr>
        <w:spacing w:line="360" w:lineRule="auto"/>
        <w:jc w:val="both"/>
        <w:rPr>
          <w:rtl/>
        </w:rPr>
      </w:pPr>
      <w:r>
        <w:rPr>
          <w:rtl/>
        </w:rPr>
        <w:t xml:space="preserve">הנאשם נחבל אף הוא באירוע מעל עינו ובידו.  </w:t>
      </w:r>
    </w:p>
    <w:p w14:paraId="174CC84C" w14:textId="77777777" w:rsidR="00402866" w:rsidRDefault="00402866">
      <w:pPr>
        <w:spacing w:line="360" w:lineRule="auto"/>
        <w:jc w:val="both"/>
        <w:rPr>
          <w:b/>
          <w:bCs/>
          <w:rtl/>
        </w:rPr>
      </w:pPr>
    </w:p>
    <w:p w14:paraId="77ACC826" w14:textId="77777777" w:rsidR="00402866" w:rsidRDefault="00395E6B">
      <w:pPr>
        <w:spacing w:line="360" w:lineRule="auto"/>
        <w:jc w:val="both"/>
        <w:rPr>
          <w:rtl/>
        </w:rPr>
      </w:pPr>
      <w:hyperlink r:id="rId22" w:history="1">
        <w:r w:rsidRPr="00395E6B">
          <w:rPr>
            <w:color w:val="0000FF"/>
            <w:u w:val="single"/>
            <w:rtl/>
          </w:rPr>
          <w:t>ת"פ (ת"א)  54473-11-12</w:t>
        </w:r>
      </w:hyperlink>
      <w:r>
        <w:rPr>
          <w:rtl/>
        </w:rPr>
        <w:t xml:space="preserve"> </w:t>
      </w:r>
    </w:p>
    <w:p w14:paraId="3A875104" w14:textId="77777777" w:rsidR="00402866" w:rsidRDefault="00395E6B">
      <w:pPr>
        <w:spacing w:line="360" w:lineRule="auto"/>
        <w:jc w:val="both"/>
        <w:rPr>
          <w:rtl/>
        </w:rPr>
      </w:pPr>
      <w:r>
        <w:rPr>
          <w:rtl/>
        </w:rPr>
        <w:t>לאחר שהצדדים הודיעו על הסדר הטיעון הנ"ל,  ביקש הנאשם להודות בעובדות כתב האישום שהוגש נגדו ב</w:t>
      </w:r>
      <w:hyperlink r:id="rId23" w:history="1">
        <w:r w:rsidRPr="00395E6B">
          <w:rPr>
            <w:color w:val="0000FF"/>
            <w:u w:val="single"/>
            <w:rtl/>
          </w:rPr>
          <w:t>ת"פ 54473-11-12</w:t>
        </w:r>
      </w:hyperlink>
      <w:r>
        <w:rPr>
          <w:rtl/>
        </w:rPr>
        <w:t xml:space="preserve"> ולצרפו. על פי הודאתו הורשע הנאשם בעבירות של החזקת סם לצריכה עצמית לפי </w:t>
      </w:r>
      <w:hyperlink r:id="rId24" w:history="1">
        <w:r w:rsidR="00DF793E" w:rsidRPr="00DF793E">
          <w:rPr>
            <w:rStyle w:val="Hyperlink"/>
            <w:rtl/>
          </w:rPr>
          <w:t>סעיף 7(א)</w:t>
        </w:r>
      </w:hyperlink>
      <w:r>
        <w:rPr>
          <w:rtl/>
        </w:rPr>
        <w:t xml:space="preserve"> +</w:t>
      </w:r>
      <w:hyperlink r:id="rId25" w:history="1">
        <w:r w:rsidR="00DF793E" w:rsidRPr="00DF793E">
          <w:rPr>
            <w:rStyle w:val="Hyperlink"/>
            <w:rtl/>
          </w:rPr>
          <w:t>7(ג)</w:t>
        </w:r>
      </w:hyperlink>
      <w:r>
        <w:rPr>
          <w:rtl/>
        </w:rPr>
        <w:t xml:space="preserve"> לפקודת הסמים והעלבת עובד ציבור לפי </w:t>
      </w:r>
      <w:hyperlink r:id="rId26" w:history="1">
        <w:r w:rsidR="00DF793E" w:rsidRPr="00DF793E">
          <w:rPr>
            <w:rStyle w:val="Hyperlink"/>
            <w:rtl/>
          </w:rPr>
          <w:t>סעיף 288</w:t>
        </w:r>
      </w:hyperlink>
      <w:r>
        <w:rPr>
          <w:rtl/>
        </w:rPr>
        <w:t xml:space="preserve"> ל</w:t>
      </w:r>
      <w:hyperlink r:id="rId27" w:history="1">
        <w:r w:rsidRPr="00395E6B">
          <w:rPr>
            <w:color w:val="0000FF"/>
            <w:u w:val="single"/>
            <w:rtl/>
          </w:rPr>
          <w:t>חוק העונשין</w:t>
        </w:r>
      </w:hyperlink>
      <w:r>
        <w:rPr>
          <w:rtl/>
        </w:rPr>
        <w:t xml:space="preserve">. </w:t>
      </w:r>
    </w:p>
    <w:p w14:paraId="743BDFFD" w14:textId="77777777" w:rsidR="00402866" w:rsidRDefault="00402866">
      <w:pPr>
        <w:spacing w:line="360" w:lineRule="auto"/>
        <w:jc w:val="both"/>
        <w:rPr>
          <w:rtl/>
        </w:rPr>
      </w:pPr>
    </w:p>
    <w:p w14:paraId="380CEF70" w14:textId="77777777" w:rsidR="00402866" w:rsidRDefault="00395E6B">
      <w:pPr>
        <w:spacing w:line="360" w:lineRule="auto"/>
        <w:jc w:val="both"/>
        <w:rPr>
          <w:rtl/>
        </w:rPr>
      </w:pPr>
      <w:r>
        <w:rPr>
          <w:rtl/>
        </w:rPr>
        <w:t>על פי עובדות כתב האישום הנ"ל, ביום 22/5/2011 החזיק הנאשם ברכבו סם מסוכן מסוג חשיש במשקל של 0.10 גרם נטו לצריכה עצמית, ללא היתר כדין. במהלך האירוע אמר הנאשם לשוטר "עזוב אותי יא בן זונה".</w:t>
      </w:r>
    </w:p>
    <w:p w14:paraId="634A5F59" w14:textId="77777777" w:rsidR="00402866" w:rsidRDefault="00402866">
      <w:pPr>
        <w:spacing w:line="360" w:lineRule="auto"/>
        <w:jc w:val="both"/>
        <w:rPr>
          <w:rtl/>
        </w:rPr>
      </w:pPr>
    </w:p>
    <w:p w14:paraId="3738B3FF" w14:textId="77777777" w:rsidR="00402866" w:rsidRDefault="00395E6B">
      <w:pPr>
        <w:spacing w:line="360" w:lineRule="auto"/>
        <w:jc w:val="both"/>
        <w:rPr>
          <w:b/>
          <w:bCs/>
          <w:u w:val="single"/>
          <w:rtl/>
        </w:rPr>
      </w:pPr>
      <w:r>
        <w:rPr>
          <w:b/>
          <w:bCs/>
          <w:u w:val="single"/>
          <w:rtl/>
        </w:rPr>
        <w:t>תמצית טיעוני הצדדים:</w:t>
      </w:r>
    </w:p>
    <w:p w14:paraId="155E0F3D" w14:textId="77777777" w:rsidR="00402866" w:rsidRDefault="00402866">
      <w:pPr>
        <w:spacing w:line="360" w:lineRule="auto"/>
        <w:jc w:val="both"/>
        <w:rPr>
          <w:u w:val="single"/>
          <w:rtl/>
        </w:rPr>
      </w:pPr>
    </w:p>
    <w:p w14:paraId="547B4338" w14:textId="77777777" w:rsidR="00402866" w:rsidRDefault="00395E6B">
      <w:pPr>
        <w:spacing w:line="360" w:lineRule="auto"/>
        <w:jc w:val="both"/>
        <w:rPr>
          <w:rtl/>
        </w:rPr>
      </w:pPr>
      <w:r>
        <w:rPr>
          <w:rtl/>
        </w:rPr>
        <w:t>המאשימה ביקשה להטיל על הנאשם עונש מאסר בפועל למשך שנה אחת, מאסר על תנאי ופיצוי למתלונן.</w:t>
      </w:r>
    </w:p>
    <w:p w14:paraId="17CE8DB1" w14:textId="77777777" w:rsidR="00402866" w:rsidRDefault="00402866">
      <w:pPr>
        <w:spacing w:line="360" w:lineRule="auto"/>
        <w:jc w:val="both"/>
        <w:rPr>
          <w:rtl/>
        </w:rPr>
      </w:pPr>
    </w:p>
    <w:p w14:paraId="6A1E8AAD" w14:textId="77777777" w:rsidR="00402866" w:rsidRDefault="00395E6B">
      <w:pPr>
        <w:spacing w:line="360" w:lineRule="auto"/>
        <w:jc w:val="both"/>
        <w:rPr>
          <w:rtl/>
        </w:rPr>
      </w:pPr>
      <w:r>
        <w:rPr>
          <w:rtl/>
        </w:rPr>
        <w:lastRenderedPageBreak/>
        <w:t>את טיעוניה לעונש מיקדה המאשימה בנוגע למעשה התקיפה הגורמת חבלה של ממש שביצע הנאשם. לטענתה, מדובר באירוע חמור בו נקט הנאשם אלימות מתמשכת, ממוקדת, בלתי נשלטת וחייתית, אשר אין לה כל נסיבה מקילה.</w:t>
      </w:r>
    </w:p>
    <w:p w14:paraId="30BB04B6" w14:textId="77777777" w:rsidR="00402866" w:rsidRDefault="00402866">
      <w:pPr>
        <w:spacing w:line="360" w:lineRule="auto"/>
        <w:jc w:val="both"/>
        <w:rPr>
          <w:rtl/>
        </w:rPr>
      </w:pPr>
    </w:p>
    <w:p w14:paraId="11B0893F" w14:textId="77777777" w:rsidR="00402866" w:rsidRDefault="00395E6B">
      <w:pPr>
        <w:spacing w:line="360" w:lineRule="auto"/>
        <w:jc w:val="both"/>
        <w:rPr>
          <w:rtl/>
        </w:rPr>
      </w:pPr>
      <w:r>
        <w:rPr>
          <w:rtl/>
        </w:rPr>
        <w:t xml:space="preserve">המאשימה טענה עוד כי מעשיו של הנאשם עלולים היו להיות הרי אסון והרי גורל, וכי רק במזל לא נגרם למתלונן נזק חמור יותר. </w:t>
      </w:r>
    </w:p>
    <w:p w14:paraId="3C8DE22B" w14:textId="77777777" w:rsidR="00402866" w:rsidRDefault="00402866">
      <w:pPr>
        <w:spacing w:line="360" w:lineRule="auto"/>
        <w:jc w:val="both"/>
        <w:rPr>
          <w:rtl/>
        </w:rPr>
      </w:pPr>
    </w:p>
    <w:p w14:paraId="2A2A72E0" w14:textId="77777777" w:rsidR="00402866" w:rsidRDefault="00395E6B">
      <w:pPr>
        <w:spacing w:line="360" w:lineRule="auto"/>
        <w:jc w:val="both"/>
        <w:rPr>
          <w:rtl/>
        </w:rPr>
      </w:pPr>
      <w:r>
        <w:rPr>
          <w:rtl/>
        </w:rPr>
        <w:t>עוד טענה המאשימה כי המלצת שירות המבחן להטיל על הנאשם עונש של של"צ אינו הלם את האינטרס הציבורי, ואינו מממש את שיקולי ההרתעה. במיוחד נכונים הדברים, טענה המאשימה, על רקע הרשעתו הקודמת של הנאשם בעב</w:t>
      </w:r>
      <w:r>
        <w:rPr>
          <w:rFonts w:hint="cs"/>
          <w:rtl/>
        </w:rPr>
        <w:t>י</w:t>
      </w:r>
      <w:r>
        <w:rPr>
          <w:rtl/>
        </w:rPr>
        <w:t>רה של תגרה במקום ציבורי, שנעברה על ידו כשנתיים בלבד קודם למעשה העבירה הנוכחי.</w:t>
      </w:r>
    </w:p>
    <w:p w14:paraId="3985BA64" w14:textId="77777777" w:rsidR="00402866" w:rsidRDefault="00402866">
      <w:pPr>
        <w:spacing w:line="360" w:lineRule="auto"/>
        <w:jc w:val="both"/>
        <w:rPr>
          <w:rtl/>
        </w:rPr>
      </w:pPr>
    </w:p>
    <w:p w14:paraId="5A4C5EF3" w14:textId="77777777" w:rsidR="00402866" w:rsidRDefault="00395E6B">
      <w:pPr>
        <w:spacing w:line="360" w:lineRule="auto"/>
        <w:jc w:val="both"/>
        <w:rPr>
          <w:rtl/>
        </w:rPr>
      </w:pPr>
      <w:r>
        <w:rPr>
          <w:rtl/>
        </w:rPr>
        <w:t>המאשימה לא התעלמה מהליך השיקום שעבר הנאשם. לטענתה, יש בשיקומו של הנאשם כדי  להציק סטייה ממתחם הענישה, אולם לא במידה שיהיה בה להימנע מלהטיל עליו עונש מאסר בפועל. לסברת המאשימה, הרף העליון של מתחם העונש ההולם למעשה העבירה שביצע הנאשם עומד על שתי שנות מאסר בפועל, ולנוכח שיקומו של הנאשם ניתן להסתפק בשנת מאסר אחת.</w:t>
      </w:r>
    </w:p>
    <w:p w14:paraId="3EE37B33" w14:textId="77777777" w:rsidR="00402866" w:rsidRDefault="00402866">
      <w:pPr>
        <w:spacing w:line="360" w:lineRule="auto"/>
        <w:jc w:val="both"/>
        <w:rPr>
          <w:rtl/>
        </w:rPr>
      </w:pPr>
    </w:p>
    <w:p w14:paraId="37FA3516" w14:textId="77777777" w:rsidR="00402866" w:rsidRDefault="00395E6B">
      <w:pPr>
        <w:spacing w:line="360" w:lineRule="auto"/>
        <w:jc w:val="both"/>
        <w:rPr>
          <w:rtl/>
        </w:rPr>
      </w:pPr>
      <w:r>
        <w:rPr>
          <w:rtl/>
        </w:rPr>
        <w:t>בהתייחס למעשי העבירה האחרים בהם הורשע הנאשם טענה המאשימה כי אין בהם משמעות סגולית להכבדת העונש, אלא כדי להצביע על העבירות שביצע הנאשם באותה תקופה.</w:t>
      </w:r>
    </w:p>
    <w:p w14:paraId="14D35381" w14:textId="77777777" w:rsidR="00402866" w:rsidRDefault="00402866">
      <w:pPr>
        <w:spacing w:line="360" w:lineRule="auto"/>
        <w:jc w:val="both"/>
        <w:rPr>
          <w:rtl/>
        </w:rPr>
      </w:pPr>
    </w:p>
    <w:p w14:paraId="0A372C6C" w14:textId="77777777" w:rsidR="00402866" w:rsidRDefault="00395E6B">
      <w:pPr>
        <w:spacing w:line="360" w:lineRule="auto"/>
        <w:jc w:val="both"/>
        <w:rPr>
          <w:rtl/>
        </w:rPr>
      </w:pPr>
      <w:r>
        <w:rPr>
          <w:rtl/>
        </w:rPr>
        <w:t>ההגנה מצידה ביקשה לאמץ את המלצת שירות המבחן להטיל על הנאשם של"צ וצו מבחן בלבד.</w:t>
      </w:r>
    </w:p>
    <w:p w14:paraId="01AFD353" w14:textId="77777777" w:rsidR="00402866" w:rsidRDefault="00402866">
      <w:pPr>
        <w:spacing w:line="360" w:lineRule="auto"/>
        <w:jc w:val="both"/>
        <w:rPr>
          <w:rtl/>
        </w:rPr>
      </w:pPr>
    </w:p>
    <w:p w14:paraId="514AD172" w14:textId="77777777" w:rsidR="00402866" w:rsidRDefault="00395E6B">
      <w:pPr>
        <w:spacing w:line="360" w:lineRule="auto"/>
        <w:jc w:val="both"/>
        <w:rPr>
          <w:rtl/>
        </w:rPr>
      </w:pPr>
      <w:r>
        <w:rPr>
          <w:rtl/>
        </w:rPr>
        <w:t>לטענת ב"כ הנאשם, מדובר במעשה עבירה הדומה לקטטה יותר מאשר לתקיפה. לסברתה, מדובר בסיטואציה שכיחה בין נערים, כאשר הנאשם ביקש להצטרף למשחק כדורגל ונדחה על ידי אחרים. ב"כ הנאשם הדגישה כי המתלונן הכה גם הוא את הנאשם וגרם לו חבלות, וטענה כי  בעוד למתלונן נגרמו חבלות יבשות, לנאשם נגרם דימום מעל העין, חבלה מסוכנת לא פחות מהחבלות שנגרמו למתלונן.</w:t>
      </w:r>
    </w:p>
    <w:p w14:paraId="3E51E865" w14:textId="77777777" w:rsidR="00402866" w:rsidRDefault="00402866">
      <w:pPr>
        <w:spacing w:line="360" w:lineRule="auto"/>
        <w:jc w:val="both"/>
        <w:rPr>
          <w:rtl/>
        </w:rPr>
      </w:pPr>
    </w:p>
    <w:p w14:paraId="674D3D56" w14:textId="77777777" w:rsidR="00402866" w:rsidRDefault="00395E6B">
      <w:pPr>
        <w:spacing w:line="360" w:lineRule="auto"/>
        <w:jc w:val="both"/>
        <w:rPr>
          <w:rtl/>
        </w:rPr>
      </w:pPr>
      <w:r>
        <w:rPr>
          <w:rtl/>
        </w:rPr>
        <w:t>ב"כ הנאשם טענה עוד כי המלצת שירות המבחן אינה חורגת ממתחם העונש ההולם, אשר הרף התחתון שלו הינו אי הרשעה.</w:t>
      </w:r>
    </w:p>
    <w:p w14:paraId="1936F37F" w14:textId="77777777" w:rsidR="00402866" w:rsidRDefault="00402866">
      <w:pPr>
        <w:spacing w:line="360" w:lineRule="auto"/>
        <w:jc w:val="both"/>
        <w:rPr>
          <w:rtl/>
        </w:rPr>
      </w:pPr>
    </w:p>
    <w:p w14:paraId="6C280E26" w14:textId="77777777" w:rsidR="00402866" w:rsidRDefault="00395E6B">
      <w:pPr>
        <w:spacing w:line="360" w:lineRule="auto"/>
        <w:jc w:val="both"/>
        <w:rPr>
          <w:rtl/>
        </w:rPr>
      </w:pPr>
      <w:r>
        <w:rPr>
          <w:rtl/>
        </w:rPr>
        <w:t>הסנגורית ציינה כי כל מעשי העבירה בהם הנאשם הורשע בוצעו על ידו בהיותו בן 19 בלבד, וכי הוא הורשע בעבירת התגרה, על אף שבוצעה בהיותו קטין, בשל כך שהוגש נגדו כתב האישום ב</w:t>
      </w:r>
      <w:hyperlink r:id="rId28" w:history="1">
        <w:r w:rsidRPr="00395E6B">
          <w:rPr>
            <w:color w:val="0000FF"/>
            <w:u w:val="single"/>
            <w:rtl/>
          </w:rPr>
          <w:t>ת.פ. 48387-10-12</w:t>
        </w:r>
      </w:hyperlink>
      <w:r>
        <w:rPr>
          <w:rtl/>
        </w:rPr>
        <w:t xml:space="preserve">. לטענתה, כיום, שנתיים לאחר ביצוע העבירות, הנאשם נמצא במקום אחר. הוא השתלב בהליך טיפולי, שיתף פעולה עם שירות המבחן וגילה רצינות. בנוסף, הנאשם התחתן לפני מספר חודשים, עזב את משפחתו ואת עירו, ומתגורר כיום בנתיבות עם אשתו המשמשת עבורו גורם תמיכה משמעותי. הנאשם יציב מבחינה תעסוקתית, אך בשל תאונה שארעה לו הוא שקוע בחובות בסך של 130,000 ₪. </w:t>
      </w:r>
    </w:p>
    <w:p w14:paraId="57B3BECA" w14:textId="77777777" w:rsidR="00402866" w:rsidRDefault="00402866">
      <w:pPr>
        <w:spacing w:line="360" w:lineRule="auto"/>
        <w:jc w:val="both"/>
        <w:rPr>
          <w:rtl/>
        </w:rPr>
      </w:pPr>
    </w:p>
    <w:p w14:paraId="25AB364F" w14:textId="77777777" w:rsidR="00402866" w:rsidRDefault="00395E6B">
      <w:pPr>
        <w:spacing w:line="360" w:lineRule="auto"/>
        <w:jc w:val="both"/>
        <w:rPr>
          <w:rtl/>
        </w:rPr>
      </w:pPr>
      <w:r>
        <w:rPr>
          <w:rtl/>
        </w:rPr>
        <w:t>בנסיבות אלו, טענה ב"כ הנאשם, אם יוטל על הנאשם עונש מאסר, אף אם בעבודות שירות, ייקטע הליך השיקום של הנאשם, תיפגע פרנסתו ומצוקתו הכלכלית תעמיק.</w:t>
      </w:r>
    </w:p>
    <w:p w14:paraId="344F2FE5" w14:textId="77777777" w:rsidR="00402866" w:rsidRDefault="00402866">
      <w:pPr>
        <w:spacing w:line="360" w:lineRule="auto"/>
        <w:jc w:val="both"/>
        <w:rPr>
          <w:rtl/>
        </w:rPr>
      </w:pPr>
    </w:p>
    <w:p w14:paraId="5CED2AB3" w14:textId="77777777" w:rsidR="00402866" w:rsidRDefault="00395E6B">
      <w:pPr>
        <w:spacing w:line="360" w:lineRule="auto"/>
        <w:jc w:val="both"/>
        <w:rPr>
          <w:rtl/>
        </w:rPr>
      </w:pPr>
      <w:r>
        <w:rPr>
          <w:rtl/>
        </w:rPr>
        <w:t xml:space="preserve">הנאשם טען כי הוא אינו מבין כיצד הגיע למצב בו נעשו על ידו מעשי העבירה. לדבריו, הוא לא הבין את משמעות הדברים ואת התוצאות האפשריות של מעשיו, ולא התעניין בהם. הנאשם הסביר כי בסביבה בה הוא התגורר זו היתה הדרך לפתור בעיות ולמנוע מאחרים להציק לו. הנאשם הוסיף וטען כי כיום הוא מבין את משמעות מעשיו ומודע לכך שעליו להיענש בגינם. לטענתו, הוא החליט לשנות את דרכו ואת אורח חייו, ולשם כך ביקש מיוזמתו להשתתף בהליך טיפולי. </w:t>
      </w:r>
    </w:p>
    <w:p w14:paraId="118BEBF3" w14:textId="77777777" w:rsidR="00402866" w:rsidRDefault="00402866">
      <w:pPr>
        <w:spacing w:line="360" w:lineRule="auto"/>
        <w:jc w:val="both"/>
        <w:rPr>
          <w:rtl/>
        </w:rPr>
      </w:pPr>
    </w:p>
    <w:p w14:paraId="3FE7715D" w14:textId="77777777" w:rsidR="00402866" w:rsidRDefault="00395E6B">
      <w:pPr>
        <w:spacing w:line="360" w:lineRule="auto"/>
        <w:jc w:val="both"/>
        <w:rPr>
          <w:rFonts w:ascii="Calibri" w:hAnsi="Calibri"/>
          <w:b/>
          <w:bCs/>
          <w:u w:val="single"/>
          <w:rtl/>
        </w:rPr>
      </w:pPr>
      <w:r>
        <w:rPr>
          <w:rFonts w:ascii="Calibri" w:hAnsi="Calibri" w:hint="eastAsia"/>
          <w:b/>
          <w:bCs/>
          <w:u w:val="single"/>
          <w:rtl/>
        </w:rPr>
        <w:t>תסקירי</w:t>
      </w:r>
      <w:r>
        <w:rPr>
          <w:rFonts w:ascii="Calibri" w:hAnsi="Calibri"/>
          <w:b/>
          <w:bCs/>
          <w:u w:val="single"/>
          <w:rtl/>
        </w:rPr>
        <w:t xml:space="preserve"> </w:t>
      </w:r>
      <w:r>
        <w:rPr>
          <w:rFonts w:ascii="Calibri" w:hAnsi="Calibri" w:hint="eastAsia"/>
          <w:b/>
          <w:bCs/>
          <w:u w:val="single"/>
          <w:rtl/>
        </w:rPr>
        <w:t>שירות</w:t>
      </w:r>
      <w:r>
        <w:rPr>
          <w:rFonts w:ascii="Calibri" w:hAnsi="Calibri"/>
          <w:b/>
          <w:bCs/>
          <w:u w:val="single"/>
          <w:rtl/>
        </w:rPr>
        <w:t xml:space="preserve"> </w:t>
      </w:r>
      <w:r>
        <w:rPr>
          <w:rFonts w:ascii="Calibri" w:hAnsi="Calibri" w:hint="eastAsia"/>
          <w:b/>
          <w:bCs/>
          <w:u w:val="single"/>
          <w:rtl/>
        </w:rPr>
        <w:t>המבחן</w:t>
      </w:r>
    </w:p>
    <w:p w14:paraId="2CF4DD72" w14:textId="77777777" w:rsidR="00402866" w:rsidRDefault="00402866">
      <w:pPr>
        <w:spacing w:line="360" w:lineRule="auto"/>
        <w:jc w:val="both"/>
        <w:rPr>
          <w:rFonts w:ascii="Calibri" w:hAnsi="Calibri"/>
          <w:rtl/>
        </w:rPr>
      </w:pPr>
    </w:p>
    <w:p w14:paraId="48E01E07" w14:textId="77777777" w:rsidR="00402866" w:rsidRDefault="00395E6B">
      <w:pPr>
        <w:spacing w:line="360" w:lineRule="auto"/>
        <w:jc w:val="both"/>
        <w:rPr>
          <w:rFonts w:ascii="Calibri" w:hAnsi="Calibri"/>
          <w:rtl/>
        </w:rPr>
      </w:pP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ליווה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חודשים</w:t>
      </w:r>
      <w:r>
        <w:rPr>
          <w:rFonts w:ascii="Calibri" w:hAnsi="Calibri"/>
          <w:rtl/>
        </w:rPr>
        <w:t>.</w:t>
      </w:r>
    </w:p>
    <w:p w14:paraId="58ECD48C" w14:textId="77777777" w:rsidR="00402866" w:rsidRDefault="00402866">
      <w:pPr>
        <w:spacing w:line="360" w:lineRule="auto"/>
        <w:jc w:val="both"/>
        <w:rPr>
          <w:rFonts w:ascii="Calibri" w:hAnsi="Calibri"/>
          <w:rtl/>
        </w:rPr>
      </w:pPr>
    </w:p>
    <w:p w14:paraId="10A2EF2E" w14:textId="77777777" w:rsidR="00402866" w:rsidRDefault="00395E6B">
      <w:pPr>
        <w:spacing w:line="360" w:lineRule="auto"/>
        <w:jc w:val="both"/>
        <w:rPr>
          <w:rFonts w:ascii="Calibri" w:hAnsi="Calibri"/>
          <w:rtl/>
        </w:rPr>
      </w:pPr>
      <w:r>
        <w:rPr>
          <w:rFonts w:ascii="Calibri" w:hAnsi="Calibri" w:hint="eastAsia"/>
          <w:rtl/>
        </w:rPr>
        <w:t>בתסקיר</w:t>
      </w:r>
      <w:r>
        <w:rPr>
          <w:rtl/>
        </w:rPr>
        <w:t xml:space="preserve"> מיום 13/11/2013 </w:t>
      </w:r>
      <w:r>
        <w:rPr>
          <w:rFonts w:ascii="Calibri" w:hAnsi="Calibri" w:hint="eastAsia"/>
          <w:rtl/>
        </w:rPr>
        <w:t>פירט</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הרקע</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והמשפחתיות</w:t>
      </w:r>
      <w:r>
        <w:rPr>
          <w:rFonts w:ascii="Calibri" w:hAnsi="Calibri"/>
          <w:rtl/>
        </w:rPr>
        <w:t xml:space="preserve">, </w:t>
      </w:r>
      <w:r>
        <w:rPr>
          <w:rFonts w:ascii="Calibri" w:hAnsi="Calibri" w:hint="eastAsia"/>
          <w:rtl/>
        </w:rPr>
        <w:t>יכולותיו</w:t>
      </w:r>
      <w:r>
        <w:rPr>
          <w:rFonts w:ascii="Calibri" w:hAnsi="Calibri"/>
          <w:rtl/>
        </w:rPr>
        <w:t xml:space="preserve">, </w:t>
      </w:r>
      <w:r>
        <w:rPr>
          <w:rFonts w:ascii="Calibri" w:hAnsi="Calibri" w:hint="eastAsia"/>
          <w:rtl/>
        </w:rPr>
        <w:t>קשייו</w:t>
      </w:r>
      <w:r>
        <w:rPr>
          <w:rFonts w:ascii="Calibri" w:hAnsi="Calibri"/>
          <w:rtl/>
        </w:rPr>
        <w:t xml:space="preserve">, </w:t>
      </w:r>
      <w:r>
        <w:rPr>
          <w:rFonts w:ascii="Calibri" w:hAnsi="Calibri" w:hint="eastAsia"/>
          <w:rtl/>
        </w:rPr>
        <w:t>אורחות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מצוקותיו</w:t>
      </w:r>
      <w:r>
        <w:rPr>
          <w:rFonts w:ascii="Calibri" w:hAnsi="Calibri"/>
          <w:rtl/>
        </w:rPr>
        <w:t xml:space="preserve"> </w:t>
      </w:r>
      <w:r>
        <w:rPr>
          <w:rFonts w:ascii="Calibri" w:hAnsi="Calibri" w:hint="eastAsia"/>
          <w:rtl/>
        </w:rPr>
        <w:t>ועברו</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תיאר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הגורמים</w:t>
      </w:r>
      <w:r>
        <w:rPr>
          <w:rFonts w:ascii="Calibri" w:hAnsi="Calibri"/>
          <w:rtl/>
        </w:rPr>
        <w:t xml:space="preserve"> </w:t>
      </w:r>
      <w:r>
        <w:rPr>
          <w:rFonts w:ascii="Calibri" w:hAnsi="Calibri" w:hint="eastAsia"/>
          <w:rtl/>
        </w:rPr>
        <w:t>להתדרדרותו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המניעים</w:t>
      </w:r>
      <w:r>
        <w:rPr>
          <w:rFonts w:ascii="Calibri" w:hAnsi="Calibri"/>
          <w:rtl/>
        </w:rPr>
        <w:t xml:space="preserve"> </w:t>
      </w:r>
      <w:r>
        <w:rPr>
          <w:rFonts w:ascii="Calibri" w:hAnsi="Calibri" w:hint="eastAsia"/>
          <w:rtl/>
        </w:rPr>
        <w:t>לפעולותיו</w:t>
      </w:r>
      <w:r>
        <w:rPr>
          <w:rFonts w:ascii="Calibri" w:hAnsi="Calibri"/>
          <w:rtl/>
        </w:rPr>
        <w:t xml:space="preserve"> </w:t>
      </w:r>
      <w:r>
        <w:rPr>
          <w:rFonts w:ascii="Calibri" w:hAnsi="Calibri" w:hint="eastAsia"/>
          <w:rtl/>
        </w:rPr>
        <w:t>השליליות</w:t>
      </w:r>
      <w:r>
        <w:rPr>
          <w:rFonts w:ascii="Calibri" w:hAnsi="Calibri"/>
          <w:rtl/>
        </w:rPr>
        <w:t>.</w:t>
      </w:r>
    </w:p>
    <w:p w14:paraId="55BE75E7" w14:textId="77777777" w:rsidR="00402866" w:rsidRDefault="00402866">
      <w:pPr>
        <w:spacing w:line="360" w:lineRule="auto"/>
        <w:jc w:val="both"/>
        <w:rPr>
          <w:rFonts w:ascii="Calibri" w:hAnsi="Calibri"/>
          <w:rtl/>
        </w:rPr>
      </w:pPr>
    </w:p>
    <w:p w14:paraId="06BDEF9F" w14:textId="77777777" w:rsidR="00402866" w:rsidRDefault="00395E6B">
      <w:pPr>
        <w:spacing w:line="360" w:lineRule="auto"/>
        <w:jc w:val="both"/>
        <w:rPr>
          <w:rFonts w:ascii="Calibri" w:hAnsi="Calibri"/>
          <w:rtl/>
        </w:rPr>
      </w:pP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מגלה</w:t>
      </w:r>
      <w:r>
        <w:rPr>
          <w:rFonts w:ascii="Calibri" w:hAnsi="Calibri"/>
          <w:rtl/>
        </w:rPr>
        <w:t xml:space="preserve"> </w:t>
      </w:r>
      <w:r>
        <w:rPr>
          <w:rFonts w:ascii="Calibri" w:hAnsi="Calibri" w:hint="eastAsia"/>
          <w:rtl/>
        </w:rPr>
        <w:t>רצון</w:t>
      </w:r>
      <w:r>
        <w:rPr>
          <w:rFonts w:ascii="Calibri" w:hAnsi="Calibri"/>
          <w:rtl/>
        </w:rPr>
        <w:t xml:space="preserve"> </w:t>
      </w:r>
      <w:r>
        <w:rPr>
          <w:rFonts w:ascii="Calibri" w:hAnsi="Calibri" w:hint="eastAsia"/>
          <w:rtl/>
        </w:rPr>
        <w:t>ויכולות</w:t>
      </w:r>
      <w:r>
        <w:rPr>
          <w:rFonts w:ascii="Calibri" w:hAnsi="Calibri"/>
          <w:rtl/>
        </w:rPr>
        <w:t xml:space="preserve"> </w:t>
      </w:r>
      <w:r>
        <w:rPr>
          <w:rFonts w:ascii="Calibri" w:hAnsi="Calibri" w:hint="eastAsia"/>
          <w:rtl/>
        </w:rPr>
        <w:t>לתפקוד</w:t>
      </w:r>
      <w:r>
        <w:rPr>
          <w:rFonts w:ascii="Calibri" w:hAnsi="Calibri"/>
          <w:rtl/>
        </w:rPr>
        <w:t xml:space="preserve"> </w:t>
      </w:r>
      <w:r>
        <w:rPr>
          <w:rFonts w:ascii="Calibri" w:hAnsi="Calibri" w:hint="eastAsia"/>
          <w:rtl/>
        </w:rPr>
        <w:t>תקין</w:t>
      </w:r>
      <w:r>
        <w:rPr>
          <w:rFonts w:ascii="Calibri" w:hAnsi="Calibri"/>
          <w:rtl/>
        </w:rPr>
        <w:t xml:space="preserve">, </w:t>
      </w:r>
      <w:r>
        <w:rPr>
          <w:rFonts w:ascii="Calibri" w:hAnsi="Calibri" w:hint="eastAsia"/>
          <w:rtl/>
        </w:rPr>
        <w:t>מנסה</w:t>
      </w:r>
      <w:r>
        <w:rPr>
          <w:rFonts w:ascii="Calibri" w:hAnsi="Calibri"/>
          <w:rtl/>
        </w:rPr>
        <w:t xml:space="preserve"> </w:t>
      </w:r>
      <w:r>
        <w:rPr>
          <w:rFonts w:ascii="Calibri" w:hAnsi="Calibri" w:hint="eastAsia"/>
          <w:rtl/>
        </w:rPr>
        <w:t>לערוך</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באורח</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וביטא</w:t>
      </w:r>
      <w:r>
        <w:rPr>
          <w:rFonts w:ascii="Calibri" w:hAnsi="Calibri"/>
          <w:rtl/>
        </w:rPr>
        <w:t xml:space="preserve"> </w:t>
      </w:r>
      <w:r>
        <w:rPr>
          <w:rFonts w:ascii="Calibri" w:hAnsi="Calibri" w:hint="eastAsia"/>
          <w:rtl/>
        </w:rPr>
        <w:t>רצון</w:t>
      </w:r>
      <w:r>
        <w:rPr>
          <w:rFonts w:ascii="Calibri" w:hAnsi="Calibri"/>
          <w:rtl/>
        </w:rPr>
        <w:t xml:space="preserve"> </w:t>
      </w:r>
      <w:r>
        <w:rPr>
          <w:rFonts w:ascii="Calibri" w:hAnsi="Calibri" w:hint="eastAsia"/>
          <w:rtl/>
        </w:rPr>
        <w:t>לקבלת</w:t>
      </w:r>
      <w:r>
        <w:rPr>
          <w:rFonts w:ascii="Calibri" w:hAnsi="Calibri"/>
          <w:rtl/>
        </w:rPr>
        <w:t xml:space="preserve"> </w:t>
      </w:r>
      <w:r>
        <w:rPr>
          <w:rFonts w:ascii="Calibri" w:hAnsi="Calibri" w:hint="eastAsia"/>
          <w:rtl/>
        </w:rPr>
        <w:t>עזרה</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השליטה</w:t>
      </w:r>
      <w:r>
        <w:rPr>
          <w:rFonts w:ascii="Calibri" w:hAnsi="Calibri"/>
          <w:rtl/>
        </w:rPr>
        <w:t xml:space="preserve"> </w:t>
      </w:r>
      <w:r>
        <w:rPr>
          <w:rFonts w:ascii="Calibri" w:hAnsi="Calibri" w:hint="eastAsia"/>
          <w:rtl/>
        </w:rPr>
        <w:t>בכעסים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השתתף</w:t>
      </w:r>
      <w:r>
        <w:rPr>
          <w:rFonts w:ascii="Calibri" w:hAnsi="Calibri"/>
          <w:rtl/>
        </w:rPr>
        <w:t xml:space="preserve"> </w:t>
      </w:r>
      <w:r>
        <w:rPr>
          <w:rFonts w:ascii="Calibri" w:hAnsi="Calibri" w:hint="eastAsia"/>
          <w:rtl/>
        </w:rPr>
        <w:t>בסדנת</w:t>
      </w:r>
      <w:r>
        <w:rPr>
          <w:rFonts w:ascii="Calibri" w:hAnsi="Calibri"/>
          <w:rtl/>
        </w:rPr>
        <w:t xml:space="preserve"> </w:t>
      </w:r>
      <w:r>
        <w:rPr>
          <w:rFonts w:ascii="Calibri" w:hAnsi="Calibri" w:hint="eastAsia"/>
          <w:rtl/>
        </w:rPr>
        <w:t>הכנה</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קבוצתי</w:t>
      </w:r>
      <w:r>
        <w:rPr>
          <w:rFonts w:ascii="Calibri" w:hAnsi="Calibri"/>
          <w:rtl/>
        </w:rPr>
        <w:t xml:space="preserve"> </w:t>
      </w:r>
      <w:r>
        <w:rPr>
          <w:rFonts w:ascii="Calibri" w:hAnsi="Calibri" w:hint="eastAsia"/>
          <w:rtl/>
        </w:rPr>
        <w:t>בשירות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והשתתף</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פעיל</w:t>
      </w:r>
      <w:r>
        <w:rPr>
          <w:rFonts w:ascii="Calibri" w:hAnsi="Calibri"/>
          <w:rtl/>
        </w:rPr>
        <w:t xml:space="preserve"> </w:t>
      </w:r>
      <w:r>
        <w:rPr>
          <w:rFonts w:ascii="Calibri" w:hAnsi="Calibri" w:hint="eastAsia"/>
          <w:rtl/>
        </w:rPr>
        <w:t>וכנה</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גילוי</w:t>
      </w:r>
      <w:r>
        <w:rPr>
          <w:rFonts w:ascii="Calibri" w:hAnsi="Calibri"/>
          <w:rtl/>
        </w:rPr>
        <w:t xml:space="preserve"> </w:t>
      </w:r>
      <w:r>
        <w:rPr>
          <w:rFonts w:ascii="Calibri" w:hAnsi="Calibri" w:hint="eastAsia"/>
          <w:rtl/>
        </w:rPr>
        <w:t>פתיחות</w:t>
      </w:r>
      <w:r>
        <w:rPr>
          <w:rFonts w:ascii="Calibri" w:hAnsi="Calibri"/>
          <w:rtl/>
        </w:rPr>
        <w:t xml:space="preserve"> </w:t>
      </w:r>
      <w:r>
        <w:rPr>
          <w:rFonts w:ascii="Calibri" w:hAnsi="Calibri" w:hint="eastAsia"/>
          <w:rtl/>
        </w:rPr>
        <w:t>וכבוד</w:t>
      </w:r>
      <w:r>
        <w:rPr>
          <w:rFonts w:ascii="Calibri" w:hAnsi="Calibri"/>
          <w:rtl/>
        </w:rPr>
        <w:t xml:space="preserve"> </w:t>
      </w:r>
      <w:r>
        <w:rPr>
          <w:rFonts w:ascii="Calibri" w:hAnsi="Calibri" w:hint="eastAsia"/>
          <w:rtl/>
        </w:rPr>
        <w:t>למשתתפים</w:t>
      </w:r>
      <w:r>
        <w:rPr>
          <w:rFonts w:ascii="Calibri" w:hAnsi="Calibri"/>
          <w:rtl/>
        </w:rPr>
        <w:t xml:space="preserve"> </w:t>
      </w:r>
      <w:r>
        <w:rPr>
          <w:rFonts w:ascii="Calibri" w:hAnsi="Calibri" w:hint="eastAsia"/>
          <w:rtl/>
        </w:rPr>
        <w:t>אחרים</w:t>
      </w:r>
      <w:r>
        <w:rPr>
          <w:rFonts w:ascii="Calibri" w:hAnsi="Calibri"/>
          <w:rtl/>
        </w:rPr>
        <w:t>.</w:t>
      </w:r>
    </w:p>
    <w:p w14:paraId="3F9E4BED" w14:textId="77777777" w:rsidR="00402866" w:rsidRDefault="00402866">
      <w:pPr>
        <w:spacing w:line="360" w:lineRule="auto"/>
        <w:jc w:val="both"/>
        <w:rPr>
          <w:rFonts w:ascii="Calibri" w:hAnsi="Calibri"/>
          <w:rtl/>
        </w:rPr>
      </w:pPr>
    </w:p>
    <w:p w14:paraId="36D3A089" w14:textId="77777777" w:rsidR="00402866" w:rsidRDefault="00395E6B">
      <w:pPr>
        <w:spacing w:line="360" w:lineRule="auto"/>
        <w:jc w:val="both"/>
        <w:rPr>
          <w:rFonts w:ascii="Calibri" w:hAnsi="Calibri"/>
          <w:rtl/>
        </w:rPr>
      </w:pPr>
      <w:r>
        <w:rPr>
          <w:rFonts w:ascii="Calibri" w:hAnsi="Calibri" w:hint="eastAsia"/>
          <w:rtl/>
        </w:rPr>
        <w:t>אשר</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המליץ</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של</w:t>
      </w:r>
      <w:r>
        <w:rPr>
          <w:rFonts w:ascii="Calibri" w:hAnsi="Calibri"/>
          <w:rtl/>
        </w:rPr>
        <w:t>"</w:t>
      </w:r>
      <w:r>
        <w:rPr>
          <w:rFonts w:ascii="Calibri" w:hAnsi="Calibri" w:hint="eastAsia"/>
          <w:rtl/>
        </w:rPr>
        <w:t>צ</w:t>
      </w:r>
      <w:r>
        <w:rPr>
          <w:rFonts w:ascii="Calibri" w:hAnsi="Calibri"/>
          <w:rtl/>
        </w:rPr>
        <w:t xml:space="preserve"> </w:t>
      </w:r>
      <w:r>
        <w:rPr>
          <w:rFonts w:ascii="Calibri" w:hAnsi="Calibri" w:hint="eastAsia"/>
          <w:rtl/>
        </w:rPr>
        <w:t>בהיקף</w:t>
      </w:r>
      <w:r>
        <w:rPr>
          <w:rFonts w:ascii="Calibri" w:hAnsi="Calibri"/>
          <w:rtl/>
        </w:rPr>
        <w:t xml:space="preserve"> </w:t>
      </w:r>
      <w:r>
        <w:rPr>
          <w:rFonts w:ascii="Calibri" w:hAnsi="Calibri" w:hint="eastAsia"/>
          <w:rtl/>
        </w:rPr>
        <w:t>של</w:t>
      </w:r>
      <w:r>
        <w:rPr>
          <w:rFonts w:ascii="Calibri" w:hAnsi="Calibri"/>
          <w:rtl/>
        </w:rPr>
        <w:t xml:space="preserve"> 150 </w:t>
      </w:r>
      <w:r>
        <w:rPr>
          <w:rFonts w:ascii="Calibri" w:hAnsi="Calibri" w:hint="eastAsia"/>
          <w:rtl/>
        </w:rPr>
        <w:t>שעות</w:t>
      </w:r>
      <w:r>
        <w:rPr>
          <w:rFonts w:ascii="Calibri" w:hAnsi="Calibri"/>
          <w:rtl/>
        </w:rPr>
        <w:t xml:space="preserve"> </w:t>
      </w:r>
      <w:r>
        <w:rPr>
          <w:rFonts w:ascii="Calibri" w:hAnsi="Calibri" w:hint="eastAsia"/>
          <w:rtl/>
        </w:rPr>
        <w:t>וצו</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שנה</w:t>
      </w:r>
      <w:r>
        <w:rPr>
          <w:rFonts w:ascii="Calibri" w:hAnsi="Calibri"/>
          <w:rtl/>
        </w:rPr>
        <w:t>.</w:t>
      </w:r>
    </w:p>
    <w:p w14:paraId="6FC26EA6" w14:textId="77777777" w:rsidR="00402866" w:rsidRDefault="00402866">
      <w:pPr>
        <w:spacing w:line="360" w:lineRule="auto"/>
        <w:jc w:val="both"/>
        <w:rPr>
          <w:rFonts w:ascii="Calibri" w:hAnsi="Calibri"/>
          <w:rtl/>
        </w:rPr>
      </w:pPr>
    </w:p>
    <w:p w14:paraId="111BD011" w14:textId="77777777" w:rsidR="00402866" w:rsidRDefault="00395E6B">
      <w:pPr>
        <w:spacing w:line="360" w:lineRule="auto"/>
        <w:jc w:val="both"/>
        <w:rPr>
          <w:rFonts w:ascii="Calibri" w:hAnsi="Calibri"/>
          <w:rtl/>
        </w:rPr>
      </w:pPr>
      <w:r>
        <w:rPr>
          <w:rFonts w:ascii="Calibri" w:hAnsi="Calibri" w:hint="eastAsia"/>
          <w:rtl/>
        </w:rPr>
        <w:t>בתסקיר</w:t>
      </w:r>
      <w:r>
        <w:rPr>
          <w:rFonts w:ascii="Calibri" w:hAnsi="Calibri"/>
          <w:rtl/>
        </w:rPr>
        <w:t xml:space="preserve"> </w:t>
      </w:r>
      <w:r>
        <w:rPr>
          <w:rFonts w:ascii="Calibri" w:hAnsi="Calibri" w:hint="eastAsia"/>
          <w:rtl/>
        </w:rPr>
        <w:t>משלים</w:t>
      </w:r>
      <w:r>
        <w:rPr>
          <w:rFonts w:ascii="Calibri" w:hAnsi="Calibri"/>
          <w:rtl/>
        </w:rPr>
        <w:t xml:space="preserve"> </w:t>
      </w:r>
      <w:r>
        <w:rPr>
          <w:rFonts w:ascii="Calibri" w:hAnsi="Calibri" w:hint="eastAsia"/>
          <w:rtl/>
        </w:rPr>
        <w:t>מיום</w:t>
      </w:r>
      <w:r>
        <w:rPr>
          <w:rFonts w:ascii="Calibri" w:hAnsi="Calibri"/>
          <w:rtl/>
        </w:rPr>
        <w:t xml:space="preserve"> 25/2/2014 </w:t>
      </w:r>
      <w:r>
        <w:rPr>
          <w:rFonts w:ascii="Calibri" w:hAnsi="Calibri" w:hint="eastAsia"/>
          <w:rtl/>
        </w:rPr>
        <w:t>ציין</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השתלב</w:t>
      </w:r>
      <w:r>
        <w:rPr>
          <w:rFonts w:ascii="Calibri" w:hAnsi="Calibri"/>
          <w:rtl/>
        </w:rPr>
        <w:t xml:space="preserve"> </w:t>
      </w:r>
      <w:r>
        <w:rPr>
          <w:rFonts w:ascii="Calibri" w:hAnsi="Calibri" w:hint="eastAsia"/>
          <w:rtl/>
        </w:rPr>
        <w:t>בקבוצה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בנושא</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שליטה</w:t>
      </w:r>
      <w:r>
        <w:rPr>
          <w:rFonts w:ascii="Calibri" w:hAnsi="Calibri"/>
          <w:rtl/>
        </w:rPr>
        <w:t xml:space="preserve"> </w:t>
      </w:r>
      <w:r>
        <w:rPr>
          <w:rFonts w:ascii="Calibri" w:hAnsi="Calibri" w:hint="eastAsia"/>
          <w:rtl/>
        </w:rPr>
        <w:t>בכעסים</w:t>
      </w:r>
      <w:r>
        <w:rPr>
          <w:rFonts w:ascii="Calibri" w:hAnsi="Calibri"/>
          <w:rtl/>
        </w:rPr>
        <w:t xml:space="preserve"> </w:t>
      </w:r>
      <w:r>
        <w:rPr>
          <w:rFonts w:ascii="Calibri" w:hAnsi="Calibri" w:hint="eastAsia"/>
          <w:rtl/>
        </w:rPr>
        <w:t>המיועדת</w:t>
      </w:r>
      <w:r>
        <w:rPr>
          <w:rFonts w:ascii="Calibri" w:hAnsi="Calibri"/>
          <w:rtl/>
        </w:rPr>
        <w:t xml:space="preserve"> </w:t>
      </w:r>
      <w:r>
        <w:rPr>
          <w:rFonts w:ascii="Calibri" w:hAnsi="Calibri" w:hint="eastAsia"/>
          <w:rtl/>
        </w:rPr>
        <w:t>לאנשים</w:t>
      </w:r>
      <w:r>
        <w:rPr>
          <w:rFonts w:ascii="Calibri" w:hAnsi="Calibri"/>
          <w:rtl/>
        </w:rPr>
        <w:t xml:space="preserve"> </w:t>
      </w:r>
      <w:r>
        <w:rPr>
          <w:rFonts w:ascii="Calibri" w:hAnsi="Calibri" w:hint="eastAsia"/>
          <w:rtl/>
        </w:rPr>
        <w:t>שביצעו</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השתתף</w:t>
      </w:r>
      <w:r>
        <w:rPr>
          <w:rFonts w:ascii="Calibri" w:hAnsi="Calibri"/>
          <w:rtl/>
        </w:rPr>
        <w:t xml:space="preserve"> </w:t>
      </w:r>
      <w:r>
        <w:rPr>
          <w:rFonts w:ascii="Calibri" w:hAnsi="Calibri" w:hint="eastAsia"/>
          <w:rtl/>
        </w:rPr>
        <w:t>במפגשים</w:t>
      </w:r>
      <w:r>
        <w:rPr>
          <w:rFonts w:ascii="Calibri" w:hAnsi="Calibri"/>
          <w:rtl/>
        </w:rPr>
        <w:t xml:space="preserve"> </w:t>
      </w:r>
      <w:r>
        <w:rPr>
          <w:rFonts w:ascii="Calibri" w:hAnsi="Calibri" w:hint="eastAsia"/>
          <w:rtl/>
        </w:rPr>
        <w:t>בהתמדה</w:t>
      </w:r>
      <w:r>
        <w:rPr>
          <w:rFonts w:ascii="Calibri" w:hAnsi="Calibri"/>
          <w:rtl/>
        </w:rPr>
        <w:t xml:space="preserve"> </w:t>
      </w:r>
      <w:r>
        <w:rPr>
          <w:rFonts w:ascii="Calibri" w:hAnsi="Calibri" w:hint="eastAsia"/>
          <w:rtl/>
        </w:rPr>
        <w:t>וגילה</w:t>
      </w:r>
      <w:r>
        <w:rPr>
          <w:rFonts w:ascii="Calibri" w:hAnsi="Calibri"/>
          <w:rtl/>
        </w:rPr>
        <w:t xml:space="preserve"> </w:t>
      </w:r>
      <w:r>
        <w:rPr>
          <w:rFonts w:ascii="Calibri" w:hAnsi="Calibri" w:hint="eastAsia"/>
          <w:rtl/>
        </w:rPr>
        <w:t>מחויבות</w:t>
      </w:r>
      <w:r>
        <w:rPr>
          <w:rFonts w:ascii="Calibri" w:hAnsi="Calibri"/>
          <w:rtl/>
        </w:rPr>
        <w:t xml:space="preserve"> </w:t>
      </w:r>
      <w:r>
        <w:rPr>
          <w:rFonts w:ascii="Calibri" w:hAnsi="Calibri" w:hint="eastAsia"/>
          <w:rtl/>
        </w:rPr>
        <w:t>ומוטיבציה</w:t>
      </w:r>
      <w:r>
        <w:rPr>
          <w:rFonts w:ascii="Calibri" w:hAnsi="Calibri"/>
          <w:rtl/>
        </w:rPr>
        <w:t xml:space="preserve"> </w:t>
      </w:r>
      <w:r>
        <w:rPr>
          <w:rFonts w:ascii="Calibri" w:hAnsi="Calibri" w:hint="eastAsia"/>
          <w:rtl/>
        </w:rPr>
        <w:t>להשתתף</w:t>
      </w:r>
      <w:r>
        <w:rPr>
          <w:rFonts w:ascii="Calibri" w:hAnsi="Calibri"/>
          <w:rtl/>
        </w:rPr>
        <w:t xml:space="preserve"> </w:t>
      </w:r>
      <w:r>
        <w:rPr>
          <w:rFonts w:ascii="Calibri" w:hAnsi="Calibri" w:hint="eastAsia"/>
          <w:rtl/>
        </w:rPr>
        <w:t>בקבוצה</w:t>
      </w:r>
      <w:r>
        <w:rPr>
          <w:rFonts w:ascii="Calibri" w:hAnsi="Calibri"/>
          <w:rtl/>
        </w:rPr>
        <w:t xml:space="preserve"> </w:t>
      </w:r>
      <w:r>
        <w:rPr>
          <w:rFonts w:ascii="Calibri" w:hAnsi="Calibri" w:hint="eastAsia"/>
          <w:rtl/>
        </w:rPr>
        <w:t>ורצון</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שינוי</w:t>
      </w:r>
      <w:r>
        <w:rPr>
          <w:rFonts w:ascii="Calibri" w:hAnsi="Calibri"/>
          <w:rtl/>
        </w:rPr>
        <w:t xml:space="preserve"> </w:t>
      </w:r>
      <w:r>
        <w:rPr>
          <w:rFonts w:ascii="Calibri" w:hAnsi="Calibri" w:hint="eastAsia"/>
          <w:rtl/>
        </w:rPr>
        <w:t>בחייו</w:t>
      </w:r>
      <w:r>
        <w:rPr>
          <w:rFonts w:ascii="Calibri" w:hAnsi="Calibri"/>
          <w:rtl/>
        </w:rPr>
        <w:t>.</w:t>
      </w:r>
    </w:p>
    <w:p w14:paraId="7309D618" w14:textId="77777777" w:rsidR="00402866" w:rsidRDefault="00395E6B">
      <w:pPr>
        <w:spacing w:line="360" w:lineRule="auto"/>
        <w:jc w:val="both"/>
        <w:rPr>
          <w:rFonts w:ascii="Calibri" w:hAnsi="Calibri"/>
          <w:rtl/>
        </w:rPr>
      </w:pP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מצוי</w:t>
      </w:r>
      <w:r>
        <w:rPr>
          <w:rFonts w:ascii="Calibri" w:hAnsi="Calibri"/>
          <w:rtl/>
        </w:rPr>
        <w:t xml:space="preserve"> </w:t>
      </w:r>
      <w:r>
        <w:rPr>
          <w:rFonts w:ascii="Calibri" w:hAnsi="Calibri" w:hint="eastAsia"/>
          <w:rtl/>
        </w:rPr>
        <w:t>בשלבים</w:t>
      </w:r>
      <w:r>
        <w:rPr>
          <w:rFonts w:ascii="Calibri" w:hAnsi="Calibri"/>
          <w:rtl/>
        </w:rPr>
        <w:t xml:space="preserve"> </w:t>
      </w:r>
      <w:r>
        <w:rPr>
          <w:rFonts w:ascii="Calibri" w:hAnsi="Calibri" w:hint="eastAsia"/>
          <w:rtl/>
        </w:rPr>
        <w:t>ראשוניים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השתלבות</w:t>
      </w:r>
      <w:r>
        <w:rPr>
          <w:rFonts w:ascii="Calibri" w:hAnsi="Calibri"/>
          <w:rtl/>
        </w:rPr>
        <w:t xml:space="preserve"> </w:t>
      </w:r>
      <w:r>
        <w:rPr>
          <w:rFonts w:ascii="Calibri" w:hAnsi="Calibri" w:hint="eastAsia"/>
          <w:rtl/>
        </w:rPr>
        <w:t>בקבוצה</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המותאם</w:t>
      </w:r>
      <w:r>
        <w:rPr>
          <w:rFonts w:ascii="Calibri" w:hAnsi="Calibri"/>
          <w:rtl/>
        </w:rPr>
        <w:t xml:space="preserve"> </w:t>
      </w:r>
      <w:r>
        <w:rPr>
          <w:rFonts w:ascii="Calibri" w:hAnsi="Calibri" w:hint="eastAsia"/>
          <w:rtl/>
        </w:rPr>
        <w:t>לשלב</w:t>
      </w:r>
      <w:r>
        <w:rPr>
          <w:rFonts w:ascii="Calibri" w:hAnsi="Calibri"/>
          <w:rtl/>
        </w:rPr>
        <w:t xml:space="preserve"> </w:t>
      </w:r>
      <w:r>
        <w:rPr>
          <w:rFonts w:ascii="Calibri" w:hAnsi="Calibri" w:hint="eastAsia"/>
          <w:rtl/>
        </w:rPr>
        <w:t>הטיפול</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מצוי</w:t>
      </w:r>
      <w:r>
        <w:rPr>
          <w:rFonts w:ascii="Calibri" w:hAnsi="Calibri"/>
          <w:rtl/>
        </w:rPr>
        <w:t>.</w:t>
      </w:r>
    </w:p>
    <w:p w14:paraId="5B674037" w14:textId="77777777" w:rsidR="00402866" w:rsidRDefault="00402866">
      <w:pPr>
        <w:spacing w:line="360" w:lineRule="auto"/>
        <w:jc w:val="both"/>
        <w:rPr>
          <w:rFonts w:ascii="Calibri" w:hAnsi="Calibri"/>
          <w:rtl/>
        </w:rPr>
      </w:pPr>
    </w:p>
    <w:p w14:paraId="23177498" w14:textId="77777777" w:rsidR="00402866" w:rsidRDefault="00395E6B">
      <w:pPr>
        <w:spacing w:line="360" w:lineRule="auto"/>
        <w:jc w:val="both"/>
        <w:rPr>
          <w:rFonts w:ascii="Calibri" w:hAnsi="Calibri"/>
          <w:rtl/>
        </w:rPr>
      </w:pP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שב</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המלצתו</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שבתסקירו</w:t>
      </w:r>
      <w:r>
        <w:rPr>
          <w:rFonts w:ascii="Calibri" w:hAnsi="Calibri"/>
          <w:rtl/>
        </w:rPr>
        <w:t xml:space="preserve"> </w:t>
      </w:r>
      <w:r>
        <w:rPr>
          <w:rFonts w:ascii="Calibri" w:hAnsi="Calibri" w:hint="eastAsia"/>
          <w:rtl/>
        </w:rPr>
        <w:t>הקודם</w:t>
      </w:r>
      <w:r>
        <w:rPr>
          <w:rFonts w:ascii="Calibri" w:hAnsi="Calibri"/>
          <w:rtl/>
        </w:rPr>
        <w:t>.</w:t>
      </w:r>
    </w:p>
    <w:p w14:paraId="55E0B34C" w14:textId="77777777" w:rsidR="00402866" w:rsidRDefault="00402866">
      <w:pPr>
        <w:spacing w:line="360" w:lineRule="auto"/>
        <w:jc w:val="both"/>
        <w:rPr>
          <w:rFonts w:ascii="Calibri" w:hAnsi="Calibri"/>
          <w:b/>
          <w:bCs/>
          <w:rtl/>
        </w:rPr>
      </w:pPr>
    </w:p>
    <w:p w14:paraId="284B60C6" w14:textId="77777777" w:rsidR="00402866" w:rsidRDefault="00395E6B">
      <w:pPr>
        <w:spacing w:line="360" w:lineRule="auto"/>
        <w:jc w:val="both"/>
        <w:rPr>
          <w:rFonts w:ascii="Calibri" w:hAnsi="Calibri"/>
          <w:b/>
          <w:bCs/>
          <w:rtl/>
        </w:rPr>
      </w:pPr>
      <w:r>
        <w:rPr>
          <w:rFonts w:ascii="Calibri" w:hAnsi="Calibri" w:hint="eastAsia"/>
          <w:b/>
          <w:bCs/>
          <w:u w:val="single"/>
          <w:rtl/>
        </w:rPr>
        <w:t>דיון</w:t>
      </w:r>
      <w:r>
        <w:rPr>
          <w:rFonts w:ascii="Calibri" w:hAnsi="Calibri"/>
          <w:b/>
          <w:bCs/>
          <w:u w:val="single"/>
          <w:rtl/>
        </w:rPr>
        <w:t xml:space="preserve"> </w:t>
      </w:r>
      <w:r>
        <w:rPr>
          <w:rFonts w:ascii="Calibri" w:hAnsi="Calibri" w:hint="eastAsia"/>
          <w:b/>
          <w:bCs/>
          <w:u w:val="single"/>
          <w:rtl/>
        </w:rPr>
        <w:t>והכרעה</w:t>
      </w:r>
      <w:r>
        <w:rPr>
          <w:rFonts w:ascii="Calibri" w:hAnsi="Calibri"/>
          <w:b/>
          <w:bCs/>
          <w:rtl/>
        </w:rPr>
        <w:t>:</w:t>
      </w:r>
    </w:p>
    <w:p w14:paraId="6ECC5090" w14:textId="77777777" w:rsidR="00402866" w:rsidRDefault="00402866">
      <w:pPr>
        <w:spacing w:line="360" w:lineRule="auto"/>
        <w:jc w:val="both"/>
        <w:rPr>
          <w:rFonts w:ascii="Calibri" w:hAnsi="Calibri"/>
          <w:rtl/>
        </w:rPr>
      </w:pPr>
    </w:p>
    <w:p w14:paraId="2F3B8CD7" w14:textId="77777777" w:rsidR="00402866" w:rsidRDefault="00395E6B">
      <w:pPr>
        <w:spacing w:line="360" w:lineRule="auto"/>
        <w:ind w:left="-58"/>
        <w:jc w:val="both"/>
        <w:rPr>
          <w:rFonts w:ascii="David" w:hAnsi="David"/>
          <w:color w:val="000000"/>
          <w:rtl/>
        </w:rPr>
      </w:pPr>
      <w:r>
        <w:rPr>
          <w:rFonts w:ascii="David" w:hAnsi="David" w:hint="eastAsia"/>
          <w:color w:val="000000"/>
          <w:rtl/>
        </w:rPr>
        <w:t>במעשה</w:t>
      </w:r>
      <w:r>
        <w:rPr>
          <w:rFonts w:ascii="David" w:hAnsi="David"/>
          <w:color w:val="000000"/>
          <w:rtl/>
        </w:rPr>
        <w:t xml:space="preserve"> </w:t>
      </w:r>
      <w:r>
        <w:rPr>
          <w:rFonts w:ascii="David" w:hAnsi="David" w:hint="eastAsia"/>
          <w:color w:val="000000"/>
          <w:rtl/>
        </w:rPr>
        <w:t>התקיפה</w:t>
      </w:r>
      <w:r>
        <w:rPr>
          <w:rFonts w:ascii="David" w:hAnsi="David"/>
          <w:color w:val="000000"/>
          <w:rtl/>
        </w:rPr>
        <w:t xml:space="preserve"> </w:t>
      </w:r>
      <w:r>
        <w:rPr>
          <w:rFonts w:ascii="David" w:hAnsi="David" w:hint="eastAsia"/>
          <w:color w:val="000000"/>
          <w:rtl/>
        </w:rPr>
        <w:t>שביצע</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פגע</w:t>
      </w:r>
      <w:r>
        <w:rPr>
          <w:rFonts w:ascii="David" w:hAnsi="David"/>
          <w:color w:val="000000"/>
          <w:rtl/>
        </w:rPr>
        <w:t xml:space="preserve"> </w:t>
      </w:r>
      <w:r>
        <w:rPr>
          <w:rFonts w:ascii="David" w:hAnsi="David" w:hint="eastAsia"/>
          <w:color w:val="000000"/>
          <w:rtl/>
        </w:rPr>
        <w:t>פגיעה</w:t>
      </w:r>
      <w:r>
        <w:rPr>
          <w:rFonts w:ascii="David" w:hAnsi="David"/>
          <w:color w:val="000000"/>
          <w:rtl/>
        </w:rPr>
        <w:t xml:space="preserve"> </w:t>
      </w:r>
      <w:r>
        <w:rPr>
          <w:rFonts w:ascii="David" w:hAnsi="David" w:hint="eastAsia"/>
          <w:color w:val="000000"/>
          <w:rtl/>
        </w:rPr>
        <w:t>עמוקה</w:t>
      </w:r>
      <w:r>
        <w:rPr>
          <w:rFonts w:ascii="David" w:hAnsi="David"/>
          <w:color w:val="000000"/>
          <w:rtl/>
        </w:rPr>
        <w:t xml:space="preserve"> </w:t>
      </w:r>
      <w:r>
        <w:rPr>
          <w:rFonts w:ascii="David" w:hAnsi="David" w:hint="eastAsia"/>
          <w:color w:val="000000"/>
          <w:rtl/>
        </w:rPr>
        <w:t>בזכותו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המתלונן</w:t>
      </w:r>
      <w:r>
        <w:rPr>
          <w:rFonts w:ascii="David" w:hAnsi="David"/>
          <w:color w:val="000000"/>
          <w:rtl/>
        </w:rPr>
        <w:t xml:space="preserve"> </w:t>
      </w:r>
      <w:r>
        <w:rPr>
          <w:rFonts w:ascii="David" w:hAnsi="David" w:hint="eastAsia"/>
          <w:color w:val="000000"/>
          <w:rtl/>
        </w:rPr>
        <w:t>לשלום</w:t>
      </w:r>
      <w:r>
        <w:rPr>
          <w:rFonts w:ascii="David" w:hAnsi="David"/>
          <w:color w:val="000000"/>
          <w:rtl/>
        </w:rPr>
        <w:t xml:space="preserve">, </w:t>
      </w:r>
      <w:r>
        <w:rPr>
          <w:rFonts w:ascii="David" w:hAnsi="David" w:hint="eastAsia"/>
          <w:color w:val="000000"/>
          <w:rtl/>
        </w:rPr>
        <w:t>ביטחון</w:t>
      </w:r>
      <w:r>
        <w:rPr>
          <w:rFonts w:ascii="David" w:hAnsi="David"/>
          <w:color w:val="000000"/>
          <w:rtl/>
        </w:rPr>
        <w:t xml:space="preserve"> </w:t>
      </w:r>
      <w:r>
        <w:rPr>
          <w:rFonts w:ascii="David" w:hAnsi="David" w:hint="eastAsia"/>
          <w:color w:val="000000"/>
          <w:rtl/>
        </w:rPr>
        <w:t>ושלמות</w:t>
      </w:r>
      <w:r>
        <w:rPr>
          <w:rFonts w:ascii="David" w:hAnsi="David"/>
          <w:color w:val="000000"/>
          <w:rtl/>
        </w:rPr>
        <w:t xml:space="preserve"> </w:t>
      </w:r>
      <w:r>
        <w:rPr>
          <w:rFonts w:ascii="David" w:hAnsi="David" w:hint="eastAsia"/>
          <w:color w:val="000000"/>
          <w:rtl/>
        </w:rPr>
        <w:t>הגוף</w:t>
      </w:r>
      <w:r>
        <w:rPr>
          <w:rFonts w:ascii="David" w:hAnsi="David"/>
          <w:color w:val="000000"/>
          <w:rtl/>
        </w:rPr>
        <w:t xml:space="preserve">. </w:t>
      </w:r>
    </w:p>
    <w:p w14:paraId="1A96D692" w14:textId="77777777" w:rsidR="00402866" w:rsidRDefault="00395E6B">
      <w:pPr>
        <w:spacing w:line="360" w:lineRule="auto"/>
        <w:ind w:left="-58"/>
        <w:jc w:val="both"/>
        <w:rPr>
          <w:rFonts w:ascii="David" w:hAnsi="David"/>
          <w:color w:val="000000"/>
          <w:rtl/>
        </w:rPr>
      </w:pPr>
      <w:r>
        <w:rPr>
          <w:rFonts w:ascii="David" w:hAnsi="David" w:hint="eastAsia"/>
          <w:color w:val="000000"/>
          <w:rtl/>
        </w:rPr>
        <w:t>יש</w:t>
      </w:r>
      <w:r>
        <w:rPr>
          <w:rFonts w:ascii="David" w:hAnsi="David"/>
          <w:color w:val="000000"/>
          <w:rtl/>
        </w:rPr>
        <w:t xml:space="preserve"> </w:t>
      </w:r>
      <w:r>
        <w:rPr>
          <w:rFonts w:ascii="David" w:hAnsi="David" w:hint="eastAsia"/>
          <w:color w:val="000000"/>
          <w:rtl/>
        </w:rPr>
        <w:t>לזכור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במעשה</w:t>
      </w:r>
      <w:r>
        <w:rPr>
          <w:rFonts w:ascii="David" w:hAnsi="David"/>
          <w:color w:val="000000"/>
          <w:rtl/>
        </w:rPr>
        <w:t xml:space="preserve"> </w:t>
      </w:r>
      <w:r>
        <w:rPr>
          <w:rFonts w:ascii="David" w:hAnsi="David" w:hint="eastAsia"/>
          <w:color w:val="000000"/>
          <w:rtl/>
        </w:rPr>
        <w:t>מתמשך</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חומרתו</w:t>
      </w:r>
      <w:r>
        <w:rPr>
          <w:rFonts w:ascii="David" w:hAnsi="David"/>
          <w:color w:val="000000"/>
          <w:rtl/>
        </w:rPr>
        <w:t xml:space="preserve"> </w:t>
      </w:r>
      <w:r>
        <w:rPr>
          <w:rFonts w:ascii="David" w:hAnsi="David" w:hint="eastAsia"/>
          <w:color w:val="000000"/>
          <w:rtl/>
        </w:rPr>
        <w:t>הלכה</w:t>
      </w:r>
      <w:r>
        <w:rPr>
          <w:rFonts w:ascii="David" w:hAnsi="David"/>
          <w:color w:val="000000"/>
          <w:rtl/>
        </w:rPr>
        <w:t xml:space="preserve"> </w:t>
      </w:r>
      <w:r>
        <w:rPr>
          <w:rFonts w:ascii="David" w:hAnsi="David" w:hint="eastAsia"/>
          <w:color w:val="000000"/>
          <w:rtl/>
        </w:rPr>
        <w:t>ועלתה</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הזמן</w:t>
      </w:r>
      <w:r>
        <w:rPr>
          <w:rFonts w:ascii="David" w:hAnsi="David"/>
          <w:color w:val="000000"/>
          <w:rtl/>
        </w:rPr>
        <w:t xml:space="preserve">. </w:t>
      </w:r>
      <w:r>
        <w:rPr>
          <w:rFonts w:ascii="David" w:hAnsi="David" w:hint="eastAsia"/>
          <w:color w:val="000000"/>
          <w:rtl/>
        </w:rPr>
        <w:t>בתחילה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דחף</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המתלונן</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מכן</w:t>
      </w:r>
      <w:r>
        <w:rPr>
          <w:rFonts w:ascii="David" w:hAnsi="David"/>
          <w:color w:val="000000"/>
          <w:rtl/>
        </w:rPr>
        <w:t xml:space="preserve"> </w:t>
      </w:r>
      <w:r>
        <w:rPr>
          <w:rFonts w:ascii="David" w:hAnsi="David" w:hint="eastAsia"/>
          <w:color w:val="000000"/>
          <w:rtl/>
        </w:rPr>
        <w:t>נגח</w:t>
      </w:r>
      <w:r>
        <w:rPr>
          <w:rFonts w:ascii="David" w:hAnsi="David"/>
          <w:color w:val="000000"/>
          <w:rtl/>
        </w:rPr>
        <w:t xml:space="preserve"> </w:t>
      </w:r>
      <w:r>
        <w:rPr>
          <w:rFonts w:ascii="David" w:hAnsi="David" w:hint="eastAsia"/>
          <w:color w:val="000000"/>
          <w:rtl/>
        </w:rPr>
        <w:t>בראשו</w:t>
      </w:r>
      <w:r>
        <w:rPr>
          <w:rFonts w:ascii="David" w:hAnsi="David"/>
          <w:color w:val="000000"/>
          <w:rtl/>
        </w:rPr>
        <w:t xml:space="preserve">, </w:t>
      </w:r>
      <w:r>
        <w:rPr>
          <w:rFonts w:ascii="David" w:hAnsi="David" w:hint="eastAsia"/>
          <w:color w:val="000000"/>
          <w:rtl/>
        </w:rPr>
        <w:t>בהמשך</w:t>
      </w:r>
      <w:r>
        <w:rPr>
          <w:rFonts w:ascii="David" w:hAnsi="David"/>
          <w:color w:val="000000"/>
          <w:rtl/>
        </w:rPr>
        <w:t xml:space="preserve"> </w:t>
      </w:r>
      <w:r>
        <w:rPr>
          <w:rFonts w:ascii="David" w:hAnsi="David" w:hint="eastAsia"/>
          <w:color w:val="000000"/>
          <w:rtl/>
        </w:rPr>
        <w:t>הכה</w:t>
      </w:r>
      <w:r>
        <w:rPr>
          <w:rFonts w:ascii="David" w:hAnsi="David"/>
          <w:color w:val="000000"/>
          <w:rtl/>
        </w:rPr>
        <w:t xml:space="preserve"> </w:t>
      </w:r>
      <w:r>
        <w:rPr>
          <w:rFonts w:ascii="David" w:hAnsi="David" w:hint="eastAsia"/>
          <w:color w:val="000000"/>
          <w:rtl/>
        </w:rPr>
        <w:t>אותו</w:t>
      </w:r>
      <w:r>
        <w:rPr>
          <w:rFonts w:ascii="David" w:hAnsi="David"/>
          <w:color w:val="000000"/>
          <w:rtl/>
        </w:rPr>
        <w:t xml:space="preserve"> </w:t>
      </w:r>
      <w:r>
        <w:rPr>
          <w:rFonts w:ascii="David" w:hAnsi="David" w:hint="eastAsia"/>
          <w:color w:val="000000"/>
          <w:rtl/>
        </w:rPr>
        <w:t>באגרופיו</w:t>
      </w:r>
      <w:r>
        <w:rPr>
          <w:rFonts w:ascii="David" w:hAnsi="David"/>
          <w:color w:val="000000"/>
          <w:rtl/>
        </w:rPr>
        <w:t xml:space="preserve"> </w:t>
      </w:r>
      <w:r>
        <w:rPr>
          <w:rFonts w:ascii="David" w:hAnsi="David" w:hint="eastAsia"/>
          <w:color w:val="000000"/>
          <w:rtl/>
        </w:rPr>
        <w:t>ולסיום</w:t>
      </w:r>
      <w:r>
        <w:rPr>
          <w:rFonts w:ascii="David" w:hAnsi="David"/>
          <w:color w:val="000000"/>
          <w:rtl/>
        </w:rPr>
        <w:t xml:space="preserve"> </w:t>
      </w:r>
      <w:r>
        <w:rPr>
          <w:rFonts w:ascii="David" w:hAnsi="David" w:hint="eastAsia"/>
          <w:color w:val="000000"/>
          <w:rtl/>
        </w:rPr>
        <w:t>הכה</w:t>
      </w:r>
      <w:r>
        <w:rPr>
          <w:rFonts w:ascii="David" w:hAnsi="David"/>
          <w:color w:val="000000"/>
          <w:rtl/>
        </w:rPr>
        <w:t xml:space="preserve"> </w:t>
      </w:r>
      <w:r>
        <w:rPr>
          <w:rFonts w:ascii="David" w:hAnsi="David" w:hint="eastAsia"/>
          <w:color w:val="000000"/>
          <w:rtl/>
        </w:rPr>
        <w:t>בראשו</w:t>
      </w:r>
      <w:r>
        <w:rPr>
          <w:rFonts w:ascii="David" w:hAnsi="David"/>
          <w:color w:val="000000"/>
          <w:rtl/>
        </w:rPr>
        <w:t xml:space="preserve"> </w:t>
      </w:r>
      <w:r>
        <w:rPr>
          <w:rFonts w:ascii="David" w:hAnsi="David" w:hint="eastAsia"/>
          <w:color w:val="000000"/>
          <w:rtl/>
        </w:rPr>
        <w:t>באמצעות</w:t>
      </w:r>
      <w:r>
        <w:rPr>
          <w:rFonts w:ascii="David" w:hAnsi="David"/>
          <w:color w:val="000000"/>
          <w:rtl/>
        </w:rPr>
        <w:t xml:space="preserve"> </w:t>
      </w:r>
      <w:r>
        <w:rPr>
          <w:rFonts w:ascii="David" w:hAnsi="David" w:hint="eastAsia"/>
          <w:color w:val="000000"/>
          <w:rtl/>
        </w:rPr>
        <w:t>אבן</w:t>
      </w:r>
      <w:r>
        <w:rPr>
          <w:rFonts w:ascii="David" w:hAnsi="David"/>
          <w:color w:val="000000"/>
          <w:rtl/>
        </w:rPr>
        <w:t xml:space="preserve">. </w:t>
      </w:r>
    </w:p>
    <w:p w14:paraId="27B256F0" w14:textId="77777777" w:rsidR="00402866" w:rsidRDefault="00402866">
      <w:pPr>
        <w:spacing w:line="360" w:lineRule="auto"/>
        <w:jc w:val="both"/>
        <w:rPr>
          <w:rtl/>
        </w:rPr>
      </w:pPr>
    </w:p>
    <w:p w14:paraId="7FBDFBFE" w14:textId="77777777" w:rsidR="00402866" w:rsidRDefault="00395E6B">
      <w:pPr>
        <w:spacing w:line="360" w:lineRule="auto"/>
        <w:jc w:val="both"/>
        <w:rPr>
          <w:rtl/>
        </w:rPr>
      </w:pPr>
      <w:r>
        <w:rPr>
          <w:rtl/>
        </w:rPr>
        <w:t>הנזק שהיה צפוי להיגרם מביצוע העבירה הינו חמור ביותר. הכאה בראשו של אדם באמצעות אבן עלולה לגרום לקורבן העבירה נזק גוף חמור ביותר, נכות קשה, ולעיתים אף לאבדן חייו.</w:t>
      </w:r>
    </w:p>
    <w:p w14:paraId="36793211" w14:textId="77777777" w:rsidR="00402866" w:rsidRDefault="00402866">
      <w:pPr>
        <w:spacing w:line="360" w:lineRule="auto"/>
        <w:ind w:firstLine="720"/>
        <w:jc w:val="both"/>
        <w:rPr>
          <w:rtl/>
        </w:rPr>
      </w:pPr>
    </w:p>
    <w:p w14:paraId="62827424" w14:textId="77777777" w:rsidR="00402866" w:rsidRDefault="00395E6B">
      <w:pPr>
        <w:spacing w:line="360" w:lineRule="auto"/>
        <w:jc w:val="both"/>
        <w:rPr>
          <w:rtl/>
        </w:rPr>
      </w:pPr>
      <w:r>
        <w:rPr>
          <w:rtl/>
        </w:rPr>
        <w:t>אמנם, הנזק שנגרם למתלונן בפועל רחוק במידה רבה מאוד מן הנזק שהיה צפוי להיגרם לו. אולם, מדובר בתוצאה אקראית בלבד, שכן אך  במזל הסתיים האירוע בחבלות המתוארות לעיל.</w:t>
      </w:r>
    </w:p>
    <w:p w14:paraId="41AE6B3C" w14:textId="77777777" w:rsidR="00402866" w:rsidRDefault="00402866">
      <w:pPr>
        <w:spacing w:line="360" w:lineRule="auto"/>
        <w:jc w:val="both"/>
        <w:rPr>
          <w:rtl/>
        </w:rPr>
      </w:pPr>
    </w:p>
    <w:p w14:paraId="5B54B4B0" w14:textId="77777777" w:rsidR="00402866" w:rsidRDefault="00395E6B">
      <w:pPr>
        <w:spacing w:line="360" w:lineRule="auto"/>
        <w:ind w:left="-58"/>
        <w:jc w:val="both"/>
        <w:rPr>
          <w:rFonts w:ascii="David" w:hAnsi="David"/>
          <w:color w:val="000000"/>
          <w:rtl/>
        </w:rPr>
      </w:pPr>
      <w:r>
        <w:rPr>
          <w:rFonts w:ascii="David" w:hAnsi="David" w:hint="eastAsia"/>
          <w:color w:val="000000"/>
          <w:rtl/>
        </w:rPr>
        <w:t>עם</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להתעלם</w:t>
      </w:r>
      <w:r>
        <w:rPr>
          <w:rFonts w:ascii="David" w:hAnsi="David"/>
          <w:color w:val="000000"/>
          <w:rtl/>
        </w:rPr>
        <w:t xml:space="preserve"> </w:t>
      </w:r>
      <w:r>
        <w:rPr>
          <w:rFonts w:ascii="David" w:hAnsi="David" w:hint="eastAsia"/>
          <w:color w:val="000000"/>
          <w:rtl/>
        </w:rPr>
        <w:t>מכך</w:t>
      </w:r>
      <w:r>
        <w:rPr>
          <w:rFonts w:ascii="David" w:hAnsi="David"/>
          <w:color w:val="000000"/>
          <w:rtl/>
        </w:rPr>
        <w:t xml:space="preserve"> </w:t>
      </w:r>
      <w:r>
        <w:rPr>
          <w:rFonts w:ascii="David" w:hAnsi="David" w:hint="eastAsia"/>
          <w:color w:val="000000"/>
          <w:rtl/>
        </w:rPr>
        <w:t>שעובדות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מלמדות</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פעל</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תכנון</w:t>
      </w:r>
      <w:r>
        <w:rPr>
          <w:rFonts w:ascii="David" w:hAnsi="David"/>
          <w:color w:val="000000"/>
          <w:rtl/>
        </w:rPr>
        <w:t xml:space="preserve"> </w:t>
      </w:r>
      <w:r>
        <w:rPr>
          <w:rFonts w:ascii="David" w:hAnsi="David" w:hint="eastAsia"/>
          <w:color w:val="000000"/>
          <w:rtl/>
        </w:rPr>
        <w:t>מראש</w:t>
      </w:r>
      <w:r>
        <w:rPr>
          <w:rFonts w:ascii="David" w:hAnsi="David"/>
          <w:color w:val="000000"/>
          <w:rtl/>
        </w:rPr>
        <w:t xml:space="preserve">, </w:t>
      </w:r>
      <w:r>
        <w:rPr>
          <w:rFonts w:ascii="David" w:hAnsi="David" w:hint="eastAsia"/>
          <w:color w:val="000000"/>
          <w:rtl/>
        </w:rPr>
        <w:t>אלא</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אימפולסיבי</w:t>
      </w:r>
      <w:r>
        <w:rPr>
          <w:rFonts w:ascii="David" w:hAnsi="David"/>
          <w:color w:val="000000"/>
          <w:rtl/>
        </w:rPr>
        <w:t>.</w:t>
      </w:r>
    </w:p>
    <w:p w14:paraId="5BA4A03F" w14:textId="77777777" w:rsidR="00402866" w:rsidRDefault="00402866">
      <w:pPr>
        <w:spacing w:line="360" w:lineRule="auto"/>
        <w:jc w:val="both"/>
        <w:rPr>
          <w:rtl/>
        </w:rPr>
      </w:pPr>
    </w:p>
    <w:p w14:paraId="55A488B2" w14:textId="77777777" w:rsidR="00402866" w:rsidRDefault="00395E6B">
      <w:pPr>
        <w:spacing w:line="360" w:lineRule="auto"/>
        <w:jc w:val="both"/>
        <w:rPr>
          <w:rtl/>
        </w:rPr>
      </w:pPr>
      <w:r>
        <w:rPr>
          <w:rtl/>
        </w:rPr>
        <w:t>עוד יש להביא בחשבון את החבלות שנגרמו לנאשם כתוצאה מביצוע העבירה.</w:t>
      </w:r>
    </w:p>
    <w:p w14:paraId="241CFF84" w14:textId="77777777" w:rsidR="00402866" w:rsidRDefault="00402866">
      <w:pPr>
        <w:spacing w:line="360" w:lineRule="auto"/>
        <w:jc w:val="both"/>
        <w:rPr>
          <w:rFonts w:ascii="AngsanaUPC" w:hAnsi="AngsanaUPC" w:cs="AngsanaUPC"/>
          <w:rtl/>
        </w:rPr>
      </w:pPr>
    </w:p>
    <w:p w14:paraId="07831F2F" w14:textId="77777777" w:rsidR="00402866" w:rsidRDefault="00395E6B">
      <w:pPr>
        <w:spacing w:line="360" w:lineRule="auto"/>
        <w:jc w:val="both"/>
        <w:rPr>
          <w:rFonts w:ascii="AngsanaUPC" w:hAnsi="AngsanaUPC"/>
          <w:rtl/>
        </w:rPr>
      </w:pPr>
      <w:r>
        <w:rPr>
          <w:rtl/>
        </w:rPr>
        <w:t>לאור</w:t>
      </w:r>
      <w:r>
        <w:rPr>
          <w:rFonts w:ascii="AngsanaUPC" w:hAnsi="AngsanaUPC"/>
          <w:rtl/>
        </w:rPr>
        <w:t xml:space="preserve"> </w:t>
      </w:r>
      <w:r>
        <w:rPr>
          <w:rtl/>
        </w:rPr>
        <w:t>האמור</w:t>
      </w:r>
      <w:r>
        <w:rPr>
          <w:rFonts w:ascii="AngsanaUPC" w:hAnsi="AngsanaUPC"/>
          <w:rtl/>
        </w:rPr>
        <w:t xml:space="preserve">, </w:t>
      </w:r>
      <w:r>
        <w:rPr>
          <w:rtl/>
        </w:rPr>
        <w:t>בהתחשב</w:t>
      </w:r>
      <w:r>
        <w:rPr>
          <w:rFonts w:ascii="AngsanaUPC" w:hAnsi="AngsanaUPC"/>
          <w:rtl/>
        </w:rPr>
        <w:t xml:space="preserve"> </w:t>
      </w:r>
      <w:r>
        <w:rPr>
          <w:rtl/>
        </w:rPr>
        <w:t>במדיניות</w:t>
      </w:r>
      <w:r>
        <w:rPr>
          <w:rFonts w:ascii="AngsanaUPC" w:hAnsi="AngsanaUPC"/>
          <w:rtl/>
        </w:rPr>
        <w:t xml:space="preserve"> </w:t>
      </w:r>
      <w:r>
        <w:rPr>
          <w:rtl/>
        </w:rPr>
        <w:t>הענישה</w:t>
      </w:r>
      <w:r>
        <w:rPr>
          <w:rFonts w:ascii="AngsanaUPC" w:hAnsi="AngsanaUPC"/>
          <w:rtl/>
        </w:rPr>
        <w:t xml:space="preserve"> </w:t>
      </w:r>
      <w:r>
        <w:rPr>
          <w:rtl/>
        </w:rPr>
        <w:t>הנהוגה</w:t>
      </w:r>
      <w:r>
        <w:rPr>
          <w:rFonts w:ascii="AngsanaUPC" w:hAnsi="AngsanaUPC"/>
          <w:rtl/>
        </w:rPr>
        <w:t xml:space="preserve"> (</w:t>
      </w:r>
      <w:r>
        <w:rPr>
          <w:rtl/>
        </w:rPr>
        <w:t>ראו</w:t>
      </w:r>
      <w:r>
        <w:rPr>
          <w:rFonts w:ascii="AngsanaUPC" w:hAnsi="AngsanaUPC"/>
          <w:rtl/>
        </w:rPr>
        <w:t>:</w:t>
      </w:r>
      <w:r>
        <w:rPr>
          <w:rtl/>
        </w:rPr>
        <w:t xml:space="preserve"> </w:t>
      </w:r>
      <w:hyperlink r:id="rId29" w:history="1">
        <w:r w:rsidRPr="00395E6B">
          <w:rPr>
            <w:color w:val="0000FF"/>
            <w:sz w:val="26"/>
            <w:u w:val="single"/>
            <w:rtl/>
          </w:rPr>
          <w:t>רע"פ 3622/11</w:t>
        </w:r>
      </w:hyperlink>
      <w:r>
        <w:rPr>
          <w:sz w:val="26"/>
          <w:rtl/>
        </w:rPr>
        <w:t xml:space="preserve"> </w:t>
      </w:r>
      <w:r>
        <w:rPr>
          <w:b/>
          <w:bCs/>
          <w:sz w:val="26"/>
          <w:rtl/>
        </w:rPr>
        <w:t xml:space="preserve">ישראל נ' מדינת ישראל </w:t>
      </w:r>
      <w:r>
        <w:rPr>
          <w:sz w:val="26"/>
          <w:rtl/>
        </w:rPr>
        <w:t xml:space="preserve">27/5/2011, </w:t>
      </w:r>
      <w:r>
        <w:rPr>
          <w:rtl/>
        </w:rPr>
        <w:t xml:space="preserve"> </w:t>
      </w:r>
      <w:hyperlink r:id="rId30" w:history="1">
        <w:r w:rsidRPr="00395E6B">
          <w:rPr>
            <w:color w:val="0000FF"/>
            <w:sz w:val="26"/>
            <w:u w:val="single"/>
            <w:rtl/>
          </w:rPr>
          <w:t>ע"פ (י-ם) 53061-02-13</w:t>
        </w:r>
      </w:hyperlink>
      <w:r>
        <w:rPr>
          <w:sz w:val="26"/>
          <w:rtl/>
        </w:rPr>
        <w:t xml:space="preserve"> </w:t>
      </w:r>
      <w:r>
        <w:rPr>
          <w:b/>
          <w:bCs/>
          <w:sz w:val="26"/>
          <w:rtl/>
        </w:rPr>
        <w:t>נתן נ' מדינת ישראל</w:t>
      </w:r>
      <w:r>
        <w:rPr>
          <w:sz w:val="26"/>
          <w:rtl/>
        </w:rPr>
        <w:t xml:space="preserve"> 30/5/2013</w:t>
      </w:r>
      <w:r>
        <w:rPr>
          <w:rFonts w:ascii="AngsanaUPC" w:hAnsi="AngsanaUPC"/>
          <w:rtl/>
        </w:rPr>
        <w:t xml:space="preserve">,  </w:t>
      </w:r>
      <w:hyperlink r:id="rId31" w:history="1">
        <w:r w:rsidRPr="00395E6B">
          <w:rPr>
            <w:color w:val="0000FF"/>
            <w:sz w:val="26"/>
            <w:u w:val="single"/>
            <w:rtl/>
          </w:rPr>
          <w:t>ע"פ (מרכז) 16160-10-11</w:t>
        </w:r>
      </w:hyperlink>
      <w:r>
        <w:rPr>
          <w:sz w:val="26"/>
          <w:rtl/>
        </w:rPr>
        <w:t xml:space="preserve"> </w:t>
      </w:r>
      <w:r>
        <w:rPr>
          <w:b/>
          <w:bCs/>
          <w:sz w:val="26"/>
          <w:rtl/>
        </w:rPr>
        <w:t>טבנציק נ' מדינת ישראל</w:t>
      </w:r>
      <w:r>
        <w:rPr>
          <w:sz w:val="26"/>
          <w:rtl/>
        </w:rPr>
        <w:t xml:space="preserve"> 25/12/2011, </w:t>
      </w:r>
      <w:hyperlink r:id="rId32" w:history="1">
        <w:r w:rsidRPr="00395E6B">
          <w:rPr>
            <w:color w:val="0000FF"/>
            <w:sz w:val="26"/>
            <w:u w:val="single"/>
            <w:rtl/>
          </w:rPr>
          <w:t>ע"פ (מרכז) 41309-08-11</w:t>
        </w:r>
      </w:hyperlink>
      <w:r>
        <w:rPr>
          <w:sz w:val="26"/>
          <w:rtl/>
        </w:rPr>
        <w:t xml:space="preserve"> </w:t>
      </w:r>
      <w:r>
        <w:rPr>
          <w:b/>
          <w:bCs/>
          <w:sz w:val="26"/>
          <w:rtl/>
        </w:rPr>
        <w:t>מעודד נ' מדינת ישראל</w:t>
      </w:r>
      <w:r>
        <w:rPr>
          <w:sz w:val="26"/>
          <w:rtl/>
        </w:rPr>
        <w:t xml:space="preserve"> 18/12/2011</w:t>
      </w:r>
      <w:r>
        <w:rPr>
          <w:rFonts w:ascii="AngsanaUPC" w:hAnsi="AngsanaUPC"/>
          <w:rtl/>
        </w:rPr>
        <w:t xml:space="preserve">, </w:t>
      </w:r>
      <w:hyperlink r:id="rId33" w:history="1">
        <w:r w:rsidRPr="00395E6B">
          <w:rPr>
            <w:color w:val="0000FF"/>
            <w:sz w:val="26"/>
            <w:u w:val="single"/>
            <w:rtl/>
          </w:rPr>
          <w:t>ע"פ (ב"ש) 11563-08-12</w:t>
        </w:r>
      </w:hyperlink>
      <w:r>
        <w:rPr>
          <w:sz w:val="26"/>
          <w:rtl/>
        </w:rPr>
        <w:t xml:space="preserve"> </w:t>
      </w:r>
      <w:r>
        <w:rPr>
          <w:b/>
          <w:bCs/>
          <w:sz w:val="26"/>
          <w:rtl/>
        </w:rPr>
        <w:t>אוקראינצנקו נ' מדינת ישראל</w:t>
      </w:r>
      <w:r>
        <w:rPr>
          <w:sz w:val="26"/>
          <w:rtl/>
        </w:rPr>
        <w:t xml:space="preserve"> 20/2/2013, </w:t>
      </w:r>
      <w:hyperlink r:id="rId34" w:history="1">
        <w:r w:rsidRPr="00395E6B">
          <w:rPr>
            <w:color w:val="0000FF"/>
            <w:sz w:val="26"/>
            <w:u w:val="single"/>
            <w:rtl/>
          </w:rPr>
          <w:t>ת"פ (ראשל"צ) 15223-01-12</w:t>
        </w:r>
      </w:hyperlink>
      <w:r>
        <w:rPr>
          <w:sz w:val="26"/>
          <w:rtl/>
        </w:rPr>
        <w:t xml:space="preserve"> </w:t>
      </w:r>
      <w:r>
        <w:rPr>
          <w:b/>
          <w:bCs/>
          <w:sz w:val="26"/>
          <w:rtl/>
        </w:rPr>
        <w:t>מדינת ישראל נ' אברהמי</w:t>
      </w:r>
      <w:r>
        <w:rPr>
          <w:sz w:val="26"/>
          <w:rtl/>
        </w:rPr>
        <w:t xml:space="preserve"> 3/1/2013), </w:t>
      </w:r>
      <w:r>
        <w:rPr>
          <w:rtl/>
        </w:rPr>
        <w:t>נראה</w:t>
      </w:r>
      <w:r>
        <w:rPr>
          <w:rFonts w:ascii="AngsanaUPC" w:hAnsi="AngsanaUPC"/>
          <w:rtl/>
        </w:rPr>
        <w:t xml:space="preserve"> </w:t>
      </w:r>
      <w:r>
        <w:rPr>
          <w:rtl/>
        </w:rPr>
        <w:t>לי</w:t>
      </w:r>
      <w:r>
        <w:rPr>
          <w:rFonts w:ascii="AngsanaUPC" w:hAnsi="AngsanaUPC"/>
          <w:rtl/>
        </w:rPr>
        <w:t xml:space="preserve"> </w:t>
      </w:r>
      <w:r>
        <w:rPr>
          <w:rtl/>
        </w:rPr>
        <w:t>מתחם</w:t>
      </w:r>
      <w:r>
        <w:rPr>
          <w:rFonts w:ascii="AngsanaUPC" w:hAnsi="AngsanaUPC"/>
          <w:rtl/>
        </w:rPr>
        <w:t xml:space="preserve"> </w:t>
      </w:r>
      <w:r>
        <w:rPr>
          <w:rtl/>
        </w:rPr>
        <w:t>העונש</w:t>
      </w:r>
      <w:r>
        <w:rPr>
          <w:rFonts w:ascii="AngsanaUPC" w:hAnsi="AngsanaUPC"/>
          <w:rtl/>
        </w:rPr>
        <w:t xml:space="preserve"> </w:t>
      </w:r>
      <w:r>
        <w:rPr>
          <w:rtl/>
        </w:rPr>
        <w:t>ההולם</w:t>
      </w:r>
      <w:r>
        <w:rPr>
          <w:rFonts w:ascii="AngsanaUPC" w:hAnsi="AngsanaUPC"/>
          <w:rtl/>
        </w:rPr>
        <w:t xml:space="preserve"> </w:t>
      </w:r>
      <w:r>
        <w:rPr>
          <w:rtl/>
        </w:rPr>
        <w:t>למעשה</w:t>
      </w:r>
      <w:r>
        <w:rPr>
          <w:rFonts w:ascii="AngsanaUPC" w:hAnsi="AngsanaUPC"/>
          <w:rtl/>
        </w:rPr>
        <w:t xml:space="preserve"> </w:t>
      </w:r>
      <w:r>
        <w:rPr>
          <w:rtl/>
        </w:rPr>
        <w:t>העבירה</w:t>
      </w:r>
      <w:r>
        <w:rPr>
          <w:rFonts w:ascii="AngsanaUPC" w:hAnsi="AngsanaUPC"/>
          <w:rtl/>
        </w:rPr>
        <w:t xml:space="preserve"> </w:t>
      </w:r>
      <w:r>
        <w:rPr>
          <w:rtl/>
        </w:rPr>
        <w:t>התקיפה שביצע</w:t>
      </w:r>
      <w:r>
        <w:rPr>
          <w:rFonts w:ascii="AngsanaUPC" w:hAnsi="AngsanaUPC"/>
          <w:rtl/>
        </w:rPr>
        <w:t xml:space="preserve"> </w:t>
      </w:r>
      <w:r>
        <w:rPr>
          <w:rtl/>
        </w:rPr>
        <w:t>הנאשם</w:t>
      </w:r>
      <w:r>
        <w:rPr>
          <w:rFonts w:ascii="AngsanaUPC" w:hAnsi="AngsanaUPC"/>
          <w:rtl/>
        </w:rPr>
        <w:t xml:space="preserve"> </w:t>
      </w:r>
      <w:r>
        <w:rPr>
          <w:rtl/>
        </w:rPr>
        <w:t>נע בין 4 חודשי מאסר, אשר יכול וירוצו בעבודות שירות, לבין 18 חודשי מאסר</w:t>
      </w:r>
      <w:r>
        <w:rPr>
          <w:rFonts w:hint="cs"/>
          <w:rtl/>
        </w:rPr>
        <w:t xml:space="preserve"> בפועל</w:t>
      </w:r>
      <w:r>
        <w:rPr>
          <w:rtl/>
        </w:rPr>
        <w:t xml:space="preserve">. </w:t>
      </w:r>
    </w:p>
    <w:p w14:paraId="4C4FF257" w14:textId="77777777" w:rsidR="00402866" w:rsidRDefault="00402866">
      <w:pPr>
        <w:spacing w:line="360" w:lineRule="auto"/>
        <w:jc w:val="both"/>
        <w:rPr>
          <w:rFonts w:ascii="Calibri" w:hAnsi="Calibri" w:cs="AngsanaUPC"/>
          <w:rtl/>
        </w:rPr>
      </w:pPr>
    </w:p>
    <w:p w14:paraId="3210CA26" w14:textId="77777777" w:rsidR="00402866" w:rsidRDefault="00395E6B">
      <w:pPr>
        <w:spacing w:line="360" w:lineRule="auto"/>
        <w:jc w:val="both"/>
        <w:rPr>
          <w:rFonts w:ascii="Calibri" w:hAnsi="Calibri"/>
          <w:rtl/>
        </w:rPr>
      </w:pPr>
      <w:r>
        <w:rPr>
          <w:rFonts w:ascii="Calibri" w:hAnsi="Calibri" w:hint="eastAsia"/>
          <w:rtl/>
        </w:rPr>
        <w:t>בהעדר</w:t>
      </w:r>
      <w:r>
        <w:rPr>
          <w:rFonts w:ascii="Calibri" w:hAnsi="Calibri"/>
          <w:rtl/>
        </w:rPr>
        <w:t xml:space="preserve"> </w:t>
      </w:r>
      <w:r>
        <w:rPr>
          <w:rFonts w:ascii="Calibri" w:hAnsi="Calibri" w:hint="eastAsia"/>
          <w:rtl/>
        </w:rPr>
        <w:t>התייחסות</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בטיעוניהם</w:t>
      </w:r>
      <w:r>
        <w:rPr>
          <w:rFonts w:ascii="Calibri" w:hAnsi="Calibri"/>
          <w:rtl/>
        </w:rPr>
        <w:t xml:space="preserve"> </w:t>
      </w:r>
      <w:r>
        <w:rPr>
          <w:rFonts w:ascii="Calibri" w:hAnsi="Calibri" w:hint="eastAsia"/>
          <w:rtl/>
        </w:rPr>
        <w:t>למעשי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האחרים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לנוכח</w:t>
      </w:r>
      <w:r>
        <w:rPr>
          <w:rFonts w:ascii="Calibri" w:hAnsi="Calibri"/>
          <w:rtl/>
        </w:rPr>
        <w:t xml:space="preserve"> </w:t>
      </w:r>
      <w:r>
        <w:rPr>
          <w:rFonts w:ascii="Calibri" w:hAnsi="Calibri" w:hint="eastAsia"/>
          <w:rtl/>
        </w:rPr>
        <w:t>עמדת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במעשים</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להכביד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להצביע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ומאחר</w:t>
      </w:r>
      <w:r>
        <w:rPr>
          <w:rFonts w:ascii="Calibri" w:hAnsi="Calibri"/>
          <w:rtl/>
        </w:rPr>
        <w:t xml:space="preserve"> </w:t>
      </w:r>
      <w:r>
        <w:rPr>
          <w:rFonts w:ascii="Calibri" w:hAnsi="Calibri" w:hint="eastAsia"/>
          <w:rtl/>
        </w:rPr>
        <w:t>שבית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קטגור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יינתן</w:t>
      </w:r>
      <w:r>
        <w:rPr>
          <w:rFonts w:ascii="Calibri" w:hAnsi="Calibri"/>
          <w:rtl/>
        </w:rPr>
        <w:t xml:space="preserve"> </w:t>
      </w:r>
      <w:r>
        <w:rPr>
          <w:rFonts w:ascii="Calibri" w:hAnsi="Calibri" w:hint="eastAsia"/>
          <w:rtl/>
        </w:rPr>
        <w:t>למעשים</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מעבר</w:t>
      </w:r>
      <w:r>
        <w:rPr>
          <w:rFonts w:ascii="Calibri" w:hAnsi="Calibri"/>
          <w:rtl/>
        </w:rPr>
        <w:t xml:space="preserve"> </w:t>
      </w:r>
      <w:r>
        <w:rPr>
          <w:rFonts w:ascii="Calibri" w:hAnsi="Calibri" w:hint="eastAsia"/>
          <w:rtl/>
        </w:rPr>
        <w:t>למבוקש</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המאשימה</w:t>
      </w:r>
      <w:r>
        <w:rPr>
          <w:rFonts w:ascii="Calibri" w:hAnsi="Calibri"/>
          <w:rtl/>
        </w:rPr>
        <w:t>.</w:t>
      </w:r>
    </w:p>
    <w:p w14:paraId="4927E5C7" w14:textId="77777777" w:rsidR="00402866" w:rsidRDefault="00402866">
      <w:pPr>
        <w:spacing w:line="360" w:lineRule="auto"/>
        <w:jc w:val="both"/>
        <w:rPr>
          <w:b/>
          <w:bCs/>
          <w:u w:val="single"/>
          <w:rtl/>
        </w:rPr>
      </w:pPr>
    </w:p>
    <w:p w14:paraId="1AA6D232" w14:textId="77777777" w:rsidR="00402866" w:rsidRDefault="00395E6B">
      <w:pPr>
        <w:spacing w:line="360" w:lineRule="auto"/>
        <w:jc w:val="both"/>
        <w:rPr>
          <w:rtl/>
        </w:rPr>
      </w:pPr>
      <w:r>
        <w:rPr>
          <w:rtl/>
        </w:rPr>
        <w:t xml:space="preserve">כמצוות הוראת </w:t>
      </w:r>
      <w:hyperlink r:id="rId35" w:history="1">
        <w:r w:rsidR="00DF793E" w:rsidRPr="00DF793E">
          <w:rPr>
            <w:rStyle w:val="Hyperlink"/>
            <w:rtl/>
          </w:rPr>
          <w:t>סעיף 40ד(א)</w:t>
        </w:r>
      </w:hyperlink>
      <w:r>
        <w:rPr>
          <w:rtl/>
        </w:rPr>
        <w:t xml:space="preserve"> ל</w:t>
      </w:r>
      <w:hyperlink r:id="rId36" w:history="1">
        <w:r w:rsidRPr="00395E6B">
          <w:rPr>
            <w:color w:val="0000FF"/>
            <w:u w:val="single"/>
            <w:rtl/>
          </w:rPr>
          <w:t>חוק העונשין</w:t>
        </w:r>
      </w:hyperlink>
      <w:r>
        <w:rPr>
          <w:rtl/>
        </w:rPr>
        <w:t>, ולאחר שנקבע מתחם העונש ההולם למעשה העבירה שביצע הנאשם, יש לבחון את סוגיית שיקומו של הנאשם.</w:t>
      </w:r>
    </w:p>
    <w:p w14:paraId="0CDA85E9" w14:textId="77777777" w:rsidR="00402866" w:rsidRDefault="00402866">
      <w:pPr>
        <w:spacing w:line="360" w:lineRule="auto"/>
        <w:jc w:val="both"/>
        <w:rPr>
          <w:rtl/>
        </w:rPr>
      </w:pPr>
    </w:p>
    <w:p w14:paraId="364FE289" w14:textId="77777777" w:rsidR="00402866" w:rsidRDefault="00395E6B">
      <w:pPr>
        <w:spacing w:line="360" w:lineRule="auto"/>
        <w:jc w:val="both"/>
        <w:rPr>
          <w:rtl/>
        </w:rPr>
      </w:pPr>
      <w:r>
        <w:rPr>
          <w:rtl/>
        </w:rPr>
        <w:t xml:space="preserve">כפי שעולה מהתסקירים שהוגשו בעניינו של הנאשם, בפרק הזמן שחלף מאז ביצוע העבירות הוא צעד כברת דרך ארוכה ומשמעותית. כל מעשה העבירה בהם הורשע הנאשם בהליך זה בוצעו על ידו בתקופה שבין חודש מאי 2011 לבין חודש פברואר 2012, בהיותו </w:t>
      </w:r>
      <w:r>
        <w:rPr>
          <w:rFonts w:hint="cs"/>
          <w:rtl/>
        </w:rPr>
        <w:t xml:space="preserve">בגיר קטין </w:t>
      </w:r>
      <w:r>
        <w:rPr>
          <w:rtl/>
        </w:rPr>
        <w:t>כבן 18 ו- 19. ברקע למעשיו עמדו דפוסי התנהגות אלימים אשר הנאשם אימץ כתוצאה מהגורמים המפורטים בתסקיר.</w:t>
      </w:r>
    </w:p>
    <w:p w14:paraId="31B25FA9" w14:textId="77777777" w:rsidR="00402866" w:rsidRDefault="00402866">
      <w:pPr>
        <w:spacing w:line="360" w:lineRule="auto"/>
        <w:jc w:val="both"/>
        <w:rPr>
          <w:rtl/>
        </w:rPr>
      </w:pPr>
    </w:p>
    <w:p w14:paraId="230CB196" w14:textId="77777777" w:rsidR="00402866" w:rsidRDefault="00395E6B">
      <w:pPr>
        <w:spacing w:line="360" w:lineRule="auto"/>
        <w:jc w:val="both"/>
        <w:rPr>
          <w:rtl/>
        </w:rPr>
      </w:pPr>
      <w:r>
        <w:rPr>
          <w:rtl/>
        </w:rPr>
        <w:t>כיום, בדיקה לגילוי שרידי סם שנערכה לנאשם נמצאה נקייה. הנאשם התחתן, התרחק ממקום מגוריו ומהחברה בה היה מעורב, השתתף בהצלחה בסדנת הכנה לטיפול והוא משתתף באופן ראוי בקבוצה טיפולית. לאור האמור, ולנוכח התרשמות שירות המבחן כי הנאשם מגלה רצון ויכולת לתפקוד תקין ועושה מאמצים בפועל לשינוי אורחות חייו, אני מוצא כי יש סיכוי של ממש לכך שהנאשם ישתקם. לכן נראה לי כי יהיה זה נכון לחרוג ממתחם העונש ההולם,</w:t>
      </w:r>
      <w:r>
        <w:rPr>
          <w:rFonts w:cs="FrankRuehl"/>
          <w:sz w:val="26"/>
          <w:szCs w:val="26"/>
          <w:rtl/>
          <w:lang w:eastAsia="he-IL"/>
        </w:rPr>
        <w:t xml:space="preserve"> </w:t>
      </w:r>
      <w:r>
        <w:rPr>
          <w:rtl/>
        </w:rPr>
        <w:t>ולקבוע את עונשו של הנאשם לפי שיקולי שיקומו.</w:t>
      </w:r>
    </w:p>
    <w:p w14:paraId="39057D24" w14:textId="77777777" w:rsidR="00402866" w:rsidRDefault="00402866">
      <w:pPr>
        <w:spacing w:line="360" w:lineRule="auto"/>
        <w:jc w:val="both"/>
        <w:rPr>
          <w:rtl/>
        </w:rPr>
      </w:pPr>
    </w:p>
    <w:p w14:paraId="229EAA04" w14:textId="77777777" w:rsidR="00402866" w:rsidRDefault="00395E6B">
      <w:pPr>
        <w:spacing w:line="360" w:lineRule="auto"/>
        <w:jc w:val="both"/>
        <w:rPr>
          <w:rFonts w:ascii="Calibri" w:hAnsi="Calibri"/>
          <w:rtl/>
        </w:rPr>
      </w:pP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בידי</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ולהימנע</w:t>
      </w:r>
      <w:r>
        <w:rPr>
          <w:rFonts w:ascii="Calibri" w:hAnsi="Calibri"/>
          <w:rtl/>
        </w:rPr>
        <w:t xml:space="preserve"> </w:t>
      </w:r>
      <w:r>
        <w:rPr>
          <w:rFonts w:ascii="Calibri" w:hAnsi="Calibri" w:hint="eastAsia"/>
          <w:rtl/>
        </w:rPr>
        <w:t>מלהטיל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בעמדה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לבטא</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הראוי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שיקולי</w:t>
      </w:r>
      <w:r>
        <w:rPr>
          <w:rFonts w:ascii="Calibri" w:hAnsi="Calibri"/>
          <w:rtl/>
        </w:rPr>
        <w:t xml:space="preserve"> </w:t>
      </w:r>
      <w:r>
        <w:rPr>
          <w:rFonts w:ascii="Calibri" w:hAnsi="Calibri" w:hint="eastAsia"/>
          <w:rtl/>
        </w:rPr>
        <w:t>הגמול</w:t>
      </w:r>
      <w:r>
        <w:rPr>
          <w:rFonts w:ascii="Calibri" w:hAnsi="Calibri"/>
          <w:rtl/>
        </w:rPr>
        <w:t xml:space="preserve">, </w:t>
      </w:r>
      <w:r>
        <w:rPr>
          <w:rFonts w:ascii="Calibri" w:hAnsi="Calibri" w:hint="eastAsia"/>
          <w:rtl/>
        </w:rPr>
        <w:t>ההלימה</w:t>
      </w:r>
      <w:r>
        <w:rPr>
          <w:rFonts w:ascii="Calibri" w:hAnsi="Calibri"/>
          <w:rtl/>
        </w:rPr>
        <w:t xml:space="preserve"> </w:t>
      </w:r>
      <w:r>
        <w:rPr>
          <w:rFonts w:ascii="Calibri" w:hAnsi="Calibri" w:hint="eastAsia"/>
          <w:rtl/>
        </w:rPr>
        <w:t>וההרתעה</w:t>
      </w:r>
      <w:r>
        <w:rPr>
          <w:rFonts w:ascii="Calibri" w:hAnsi="Calibri"/>
          <w:rtl/>
        </w:rPr>
        <w:t>.</w:t>
      </w:r>
    </w:p>
    <w:p w14:paraId="3BED306C" w14:textId="77777777" w:rsidR="00402866" w:rsidRDefault="00402866">
      <w:pPr>
        <w:spacing w:line="360" w:lineRule="auto"/>
        <w:jc w:val="both"/>
        <w:rPr>
          <w:rFonts w:ascii="Calibri" w:hAnsi="Calibri"/>
          <w:rtl/>
        </w:rPr>
      </w:pPr>
    </w:p>
    <w:p w14:paraId="15677854" w14:textId="77777777" w:rsidR="00402866" w:rsidRDefault="00395E6B">
      <w:pPr>
        <w:spacing w:line="360" w:lineRule="auto"/>
        <w:jc w:val="both"/>
        <w:rPr>
          <w:rFonts w:ascii="Calibri" w:hAnsi="Calibri"/>
          <w:rtl/>
        </w:rPr>
      </w:pPr>
      <w:r>
        <w:rPr>
          <w:rFonts w:ascii="Calibri" w:hAnsi="Calibri" w:hint="eastAsia"/>
          <w:rtl/>
        </w:rPr>
        <w:t>נראה</w:t>
      </w:r>
      <w:r>
        <w:rPr>
          <w:rFonts w:ascii="Calibri" w:hAnsi="Calibri"/>
          <w:rtl/>
        </w:rPr>
        <w:t xml:space="preserve"> </w:t>
      </w:r>
      <w:r>
        <w:rPr>
          <w:rFonts w:ascii="Calibri" w:hAnsi="Calibri" w:hint="eastAsia"/>
          <w:rtl/>
        </w:rPr>
        <w:t>לי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מנוס</w:t>
      </w:r>
      <w:r>
        <w:rPr>
          <w:rFonts w:ascii="Calibri" w:hAnsi="Calibri"/>
          <w:rtl/>
        </w:rPr>
        <w:t xml:space="preserve"> </w:t>
      </w:r>
      <w:r>
        <w:rPr>
          <w:rFonts w:ascii="Calibri" w:hAnsi="Calibri" w:hint="eastAsia"/>
          <w:rtl/>
        </w:rPr>
        <w:t>מלהטיל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קצרה</w:t>
      </w:r>
      <w:r>
        <w:rPr>
          <w:rFonts w:ascii="Calibri" w:hAnsi="Calibri"/>
          <w:rtl/>
        </w:rPr>
        <w:t>.</w:t>
      </w:r>
    </w:p>
    <w:p w14:paraId="3D7FE0DE" w14:textId="77777777" w:rsidR="00402866" w:rsidRDefault="00402866">
      <w:pPr>
        <w:spacing w:line="360" w:lineRule="auto"/>
        <w:jc w:val="both"/>
        <w:rPr>
          <w:rFonts w:ascii="Calibri" w:hAnsi="Calibri"/>
          <w:rtl/>
        </w:rPr>
      </w:pPr>
    </w:p>
    <w:p w14:paraId="6DE280E2" w14:textId="77777777" w:rsidR="00402866" w:rsidRDefault="00395E6B">
      <w:pPr>
        <w:spacing w:line="360" w:lineRule="auto"/>
        <w:jc w:val="both"/>
        <w:rPr>
          <w:rFonts w:ascii="Calibri" w:hAnsi="Calibri"/>
          <w:b/>
          <w:bCs/>
          <w:rtl/>
        </w:rPr>
      </w:pPr>
      <w:r>
        <w:rPr>
          <w:rFonts w:ascii="Calibri" w:hAnsi="Calibri" w:hint="eastAsia"/>
          <w:b/>
          <w:bCs/>
          <w:rtl/>
        </w:rPr>
        <w:t>אני</w:t>
      </w:r>
      <w:r>
        <w:rPr>
          <w:rFonts w:ascii="Calibri" w:hAnsi="Calibri"/>
          <w:b/>
          <w:bCs/>
          <w:rtl/>
        </w:rPr>
        <w:t xml:space="preserve"> </w:t>
      </w:r>
      <w:r>
        <w:rPr>
          <w:rFonts w:ascii="Calibri" w:hAnsi="Calibri" w:hint="eastAsia"/>
          <w:b/>
          <w:bCs/>
          <w:rtl/>
        </w:rPr>
        <w:t>דן</w:t>
      </w:r>
      <w:r>
        <w:rPr>
          <w:rFonts w:ascii="Calibri" w:hAnsi="Calibri"/>
          <w:b/>
          <w:bCs/>
          <w:rtl/>
        </w:rPr>
        <w:t xml:space="preserve"> </w:t>
      </w:r>
      <w:r>
        <w:rPr>
          <w:rFonts w:ascii="Calibri" w:hAnsi="Calibri" w:hint="eastAsia"/>
          <w:b/>
          <w:bCs/>
          <w:rtl/>
        </w:rPr>
        <w:t>אפוא</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לעונשים</w:t>
      </w:r>
      <w:r>
        <w:rPr>
          <w:rFonts w:ascii="Calibri" w:hAnsi="Calibri"/>
          <w:b/>
          <w:bCs/>
          <w:rtl/>
        </w:rPr>
        <w:t xml:space="preserve"> </w:t>
      </w:r>
      <w:r>
        <w:rPr>
          <w:rFonts w:ascii="Calibri" w:hAnsi="Calibri" w:hint="eastAsia"/>
          <w:b/>
          <w:bCs/>
          <w:rtl/>
        </w:rPr>
        <w:t>הבאים</w:t>
      </w:r>
      <w:r>
        <w:rPr>
          <w:rFonts w:ascii="Calibri" w:hAnsi="Calibri"/>
          <w:b/>
          <w:bCs/>
          <w:rtl/>
        </w:rPr>
        <w:t>:</w:t>
      </w:r>
    </w:p>
    <w:p w14:paraId="25774EF2" w14:textId="77777777" w:rsidR="00402866" w:rsidRDefault="00402866">
      <w:pPr>
        <w:spacing w:line="360" w:lineRule="auto"/>
        <w:jc w:val="both"/>
        <w:rPr>
          <w:rFonts w:ascii="Calibri" w:hAnsi="Calibri"/>
          <w:b/>
          <w:bCs/>
          <w:rtl/>
          <w:lang w:eastAsia="he-IL"/>
        </w:rPr>
      </w:pPr>
    </w:p>
    <w:p w14:paraId="6D1C62AB" w14:textId="77777777" w:rsidR="00402866" w:rsidRDefault="00395E6B">
      <w:pPr>
        <w:tabs>
          <w:tab w:val="left" w:pos="651"/>
        </w:tabs>
        <w:spacing w:line="360" w:lineRule="auto"/>
        <w:ind w:left="1219" w:hanging="652"/>
        <w:jc w:val="both"/>
        <w:rPr>
          <w:rFonts w:ascii="Calibri" w:hAnsi="Calibri"/>
          <w:rtl/>
          <w:lang w:eastAsia="he-IL"/>
        </w:rPr>
      </w:pPr>
      <w:r>
        <w:rPr>
          <w:rFonts w:ascii="Calibri" w:hAnsi="Calibri"/>
          <w:b/>
          <w:bCs/>
          <w:rtl/>
          <w:lang w:eastAsia="he-IL"/>
        </w:rPr>
        <w:t>1.</w:t>
      </w:r>
      <w:r>
        <w:rPr>
          <w:rFonts w:ascii="Calibri" w:hAnsi="Calibri"/>
          <w:b/>
          <w:bCs/>
          <w:rtl/>
          <w:lang w:eastAsia="he-IL"/>
        </w:rPr>
        <w:tab/>
      </w:r>
      <w:r>
        <w:rPr>
          <w:rFonts w:ascii="Calibri" w:hAnsi="Calibri" w:hint="eastAsia"/>
          <w:rtl/>
          <w:lang w:eastAsia="he-IL"/>
        </w:rPr>
        <w:t>מאסר</w:t>
      </w:r>
      <w:r>
        <w:rPr>
          <w:rFonts w:ascii="Calibri" w:hAnsi="Calibri"/>
          <w:rtl/>
          <w:lang w:eastAsia="he-IL"/>
        </w:rPr>
        <w:t xml:space="preserve"> </w:t>
      </w:r>
      <w:r>
        <w:rPr>
          <w:rFonts w:ascii="Calibri" w:hAnsi="Calibri" w:hint="eastAsia"/>
          <w:rtl/>
          <w:lang w:eastAsia="he-IL"/>
        </w:rPr>
        <w:t>למשך</w:t>
      </w:r>
      <w:r>
        <w:rPr>
          <w:rFonts w:ascii="Calibri" w:hAnsi="Calibri"/>
          <w:rtl/>
          <w:lang w:eastAsia="he-IL"/>
        </w:rPr>
        <w:t xml:space="preserve"> 45 </w:t>
      </w:r>
      <w:r>
        <w:rPr>
          <w:rFonts w:ascii="Calibri" w:hAnsi="Calibri" w:hint="eastAsia"/>
          <w:rtl/>
          <w:lang w:eastAsia="he-IL"/>
        </w:rPr>
        <w:t>יום</w:t>
      </w:r>
      <w:r>
        <w:rPr>
          <w:rFonts w:ascii="Calibri" w:hAnsi="Calibri"/>
          <w:rtl/>
          <w:lang w:eastAsia="he-IL"/>
        </w:rPr>
        <w:t xml:space="preserve">. </w:t>
      </w:r>
      <w:r>
        <w:rPr>
          <w:rFonts w:ascii="Calibri" w:hAnsi="Calibri" w:hint="eastAsia"/>
          <w:rtl/>
          <w:lang w:eastAsia="he-IL"/>
        </w:rPr>
        <w:t>המאסר</w:t>
      </w:r>
      <w:r>
        <w:rPr>
          <w:rFonts w:ascii="Calibri" w:hAnsi="Calibri"/>
          <w:rtl/>
          <w:lang w:eastAsia="he-IL"/>
        </w:rPr>
        <w:t xml:space="preserve"> </w:t>
      </w:r>
      <w:r>
        <w:rPr>
          <w:rFonts w:ascii="Calibri" w:hAnsi="Calibri" w:hint="eastAsia"/>
          <w:rtl/>
          <w:lang w:eastAsia="he-IL"/>
        </w:rPr>
        <w:t>ירוצה</w:t>
      </w:r>
      <w:r>
        <w:rPr>
          <w:rFonts w:ascii="Calibri" w:hAnsi="Calibri"/>
          <w:rtl/>
          <w:lang w:eastAsia="he-IL"/>
        </w:rPr>
        <w:t xml:space="preserve"> </w:t>
      </w:r>
      <w:r>
        <w:rPr>
          <w:rFonts w:ascii="Calibri" w:hAnsi="Calibri" w:hint="eastAsia"/>
          <w:rtl/>
          <w:lang w:eastAsia="he-IL"/>
        </w:rPr>
        <w:t>בדרך</w:t>
      </w:r>
      <w:r>
        <w:rPr>
          <w:rFonts w:ascii="Calibri" w:hAnsi="Calibri"/>
          <w:rtl/>
          <w:lang w:eastAsia="he-IL"/>
        </w:rPr>
        <w:t xml:space="preserve"> </w:t>
      </w:r>
      <w:r>
        <w:rPr>
          <w:rFonts w:ascii="Calibri" w:hAnsi="Calibri" w:hint="eastAsia"/>
          <w:rtl/>
          <w:lang w:eastAsia="he-IL"/>
        </w:rPr>
        <w:t>של</w:t>
      </w:r>
      <w:r>
        <w:rPr>
          <w:rFonts w:ascii="Calibri" w:hAnsi="Calibri"/>
          <w:rtl/>
          <w:lang w:eastAsia="he-IL"/>
        </w:rPr>
        <w:t xml:space="preserve"> </w:t>
      </w:r>
      <w:r>
        <w:rPr>
          <w:rFonts w:ascii="Calibri" w:hAnsi="Calibri" w:hint="eastAsia"/>
          <w:rtl/>
          <w:lang w:eastAsia="he-IL"/>
        </w:rPr>
        <w:t>עבודות</w:t>
      </w:r>
      <w:r>
        <w:rPr>
          <w:rFonts w:ascii="Calibri" w:hAnsi="Calibri"/>
          <w:rtl/>
          <w:lang w:eastAsia="he-IL"/>
        </w:rPr>
        <w:t xml:space="preserve"> </w:t>
      </w:r>
      <w:r>
        <w:rPr>
          <w:rFonts w:ascii="Calibri" w:hAnsi="Calibri" w:hint="eastAsia"/>
          <w:rtl/>
          <w:lang w:eastAsia="he-IL"/>
        </w:rPr>
        <w:t>שירות</w:t>
      </w:r>
      <w:r>
        <w:rPr>
          <w:rFonts w:ascii="Calibri" w:hAnsi="Calibri"/>
          <w:rtl/>
          <w:lang w:eastAsia="he-IL"/>
        </w:rPr>
        <w:t>.</w:t>
      </w:r>
    </w:p>
    <w:p w14:paraId="75022245" w14:textId="77777777" w:rsidR="00402866" w:rsidRDefault="00395E6B">
      <w:pPr>
        <w:pStyle w:val="a6"/>
        <w:ind w:left="1287"/>
        <w:jc w:val="both"/>
        <w:rPr>
          <w:rtl/>
        </w:rPr>
      </w:pPr>
      <w:r>
        <w:rPr>
          <w:rFonts w:hint="cs"/>
          <w:rtl/>
        </w:rPr>
        <w:t>הנאשם יתייצב לפני המפקח על עבודות שירות לצורך קליטה והצבה ביום 9/9/2014 בשעה 10:00, במפקדת מחוז הדרום, יחידת עבודות שירות, ליד כלא באר שבע.</w:t>
      </w:r>
    </w:p>
    <w:p w14:paraId="6DE99D7C" w14:textId="77777777" w:rsidR="00402866" w:rsidRDefault="00402866">
      <w:pPr>
        <w:spacing w:line="360" w:lineRule="auto"/>
        <w:ind w:left="658"/>
        <w:jc w:val="both"/>
        <w:rPr>
          <w:rtl/>
        </w:rPr>
      </w:pPr>
    </w:p>
    <w:p w14:paraId="364B97F5" w14:textId="77777777" w:rsidR="00402866" w:rsidRDefault="00395E6B">
      <w:pPr>
        <w:spacing w:line="360" w:lineRule="auto"/>
        <w:ind w:left="1225" w:firstLine="62"/>
        <w:jc w:val="both"/>
        <w:rPr>
          <w:rtl/>
        </w:rPr>
      </w:pPr>
      <w:r>
        <w:rPr>
          <w:rFonts w:hint="cs"/>
          <w:rtl/>
        </w:rPr>
        <w:t xml:space="preserve">על הנאשם לעדכן את משרד הממונה על עבודות שירות בכל שינוי בכתובת מגוריו. </w:t>
      </w:r>
    </w:p>
    <w:p w14:paraId="0D1159DD" w14:textId="77777777" w:rsidR="00402866" w:rsidRDefault="00395E6B">
      <w:pPr>
        <w:spacing w:line="360" w:lineRule="auto"/>
        <w:ind w:left="1219"/>
        <w:jc w:val="both"/>
      </w:pPr>
      <w:r>
        <w:rPr>
          <w:rFonts w:hint="cs"/>
          <w:rtl/>
        </w:rPr>
        <w:t xml:space="preserve">מובהר לנאשם כי עליו לעמוד בתנאי הפיקוח, כי תערכנה ביקורות פתע לבדיקת עמידתו בפיקוח וכי כל הפרה בעבודות השירות תביא להפסקה מנהלית של העבודות וריצוי העונש במאסר ממש. </w:t>
      </w:r>
    </w:p>
    <w:p w14:paraId="6DB12E2D" w14:textId="77777777" w:rsidR="00402866" w:rsidRDefault="00402866">
      <w:pPr>
        <w:spacing w:line="360" w:lineRule="auto"/>
        <w:jc w:val="both"/>
        <w:rPr>
          <w:rFonts w:ascii="Calibri" w:hAnsi="Calibri"/>
          <w:rtl/>
          <w:lang w:eastAsia="he-IL"/>
        </w:rPr>
      </w:pPr>
    </w:p>
    <w:p w14:paraId="41456BB5" w14:textId="77777777" w:rsidR="00402866" w:rsidRDefault="00395E6B">
      <w:pPr>
        <w:tabs>
          <w:tab w:val="left" w:pos="651"/>
        </w:tabs>
        <w:spacing w:line="360" w:lineRule="auto"/>
        <w:ind w:left="1219" w:hanging="652"/>
        <w:jc w:val="both"/>
        <w:rPr>
          <w:rFonts w:ascii="Calibri" w:hAnsi="Calibri"/>
          <w:rtl/>
        </w:rPr>
      </w:pPr>
      <w:r>
        <w:rPr>
          <w:rFonts w:ascii="Calibri" w:hAnsi="Calibri"/>
          <w:b/>
          <w:bCs/>
          <w:rtl/>
          <w:lang w:eastAsia="he-IL"/>
        </w:rPr>
        <w:t>2.</w:t>
      </w:r>
      <w:r>
        <w:rPr>
          <w:rFonts w:ascii="Calibri" w:hAnsi="Calibri"/>
          <w:b/>
          <w:bCs/>
          <w:rtl/>
          <w:lang w:eastAsia="he-IL"/>
        </w:rPr>
        <w:tab/>
      </w:r>
      <w:r>
        <w:rPr>
          <w:rFonts w:ascii="Calibri" w:hAnsi="Calibri" w:hint="eastAsia"/>
          <w:rtl/>
          <w:lang w:eastAsia="he-IL"/>
        </w:rPr>
        <w:t>מאסר</w:t>
      </w:r>
      <w:r>
        <w:rPr>
          <w:rFonts w:ascii="Calibri" w:hAnsi="Calibri"/>
          <w:rtl/>
          <w:lang w:eastAsia="he-IL"/>
        </w:rPr>
        <w:t xml:space="preserve"> </w:t>
      </w:r>
      <w:r>
        <w:rPr>
          <w:rFonts w:ascii="Calibri" w:hAnsi="Calibri" w:hint="eastAsia"/>
          <w:rtl/>
          <w:lang w:eastAsia="he-IL"/>
        </w:rPr>
        <w:t>למשך</w:t>
      </w:r>
      <w:r>
        <w:rPr>
          <w:rFonts w:ascii="Calibri" w:hAnsi="Calibri"/>
          <w:rtl/>
          <w:lang w:eastAsia="he-IL"/>
        </w:rPr>
        <w:t xml:space="preserve"> 4 </w:t>
      </w:r>
      <w:r>
        <w:rPr>
          <w:rFonts w:ascii="Calibri" w:hAnsi="Calibri" w:hint="eastAsia"/>
          <w:rtl/>
          <w:lang w:eastAsia="he-IL"/>
        </w:rPr>
        <w:t>חודשים</w:t>
      </w:r>
      <w:r>
        <w:rPr>
          <w:rFonts w:ascii="Calibri" w:hAnsi="Calibri"/>
          <w:rtl/>
          <w:lang w:eastAsia="he-IL"/>
        </w:rPr>
        <w:t xml:space="preserve"> </w:t>
      </w:r>
      <w:r>
        <w:rPr>
          <w:rFonts w:ascii="Calibri" w:hAnsi="Calibri" w:hint="eastAsia"/>
          <w:rtl/>
          <w:lang w:eastAsia="he-IL"/>
        </w:rPr>
        <w:t>וזאת</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תנאי</w:t>
      </w:r>
      <w:r>
        <w:rPr>
          <w:rFonts w:ascii="Calibri" w:hAnsi="Calibri"/>
          <w:rtl/>
          <w:lang w:eastAsia="he-IL"/>
        </w:rPr>
        <w:t xml:space="preserve"> </w:t>
      </w:r>
      <w:r>
        <w:rPr>
          <w:rFonts w:ascii="Calibri" w:hAnsi="Calibri" w:hint="eastAsia"/>
          <w:rtl/>
          <w:lang w:eastAsia="he-IL"/>
        </w:rPr>
        <w:t>למשך</w:t>
      </w:r>
      <w:r>
        <w:rPr>
          <w:rFonts w:ascii="Calibri" w:hAnsi="Calibri"/>
          <w:rtl/>
          <w:lang w:eastAsia="he-IL"/>
        </w:rPr>
        <w:t xml:space="preserve"> 3 </w:t>
      </w:r>
      <w:r>
        <w:rPr>
          <w:rFonts w:ascii="Calibri" w:hAnsi="Calibri" w:hint="eastAsia"/>
          <w:rtl/>
          <w:lang w:eastAsia="he-IL"/>
        </w:rPr>
        <w:t>שנים</w:t>
      </w:r>
      <w:r>
        <w:rPr>
          <w:rFonts w:ascii="Calibri" w:hAnsi="Calibri"/>
          <w:rtl/>
          <w:lang w:eastAsia="he-IL"/>
        </w:rPr>
        <w:t xml:space="preserve">, </w:t>
      </w:r>
      <w:r>
        <w:rPr>
          <w:rFonts w:ascii="Calibri" w:hAnsi="Calibri" w:hint="eastAsia"/>
          <w:rtl/>
        </w:rPr>
        <w:t>אם</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גוף</w:t>
      </w:r>
      <w:r>
        <w:rPr>
          <w:rFonts w:ascii="Calibri" w:hAnsi="Calibri"/>
          <w:rtl/>
        </w:rPr>
        <w:t>.</w:t>
      </w:r>
    </w:p>
    <w:p w14:paraId="1F41E63B" w14:textId="77777777" w:rsidR="00402866" w:rsidRDefault="00402866">
      <w:pPr>
        <w:tabs>
          <w:tab w:val="left" w:pos="651"/>
        </w:tabs>
        <w:spacing w:line="360" w:lineRule="auto"/>
        <w:ind w:left="1219" w:hanging="652"/>
        <w:jc w:val="both"/>
        <w:rPr>
          <w:rFonts w:ascii="Calibri" w:hAnsi="Calibri"/>
          <w:rtl/>
        </w:rPr>
      </w:pPr>
    </w:p>
    <w:p w14:paraId="3E2A395B" w14:textId="77777777" w:rsidR="00402866" w:rsidRDefault="00395E6B">
      <w:pPr>
        <w:tabs>
          <w:tab w:val="left" w:pos="651"/>
        </w:tabs>
        <w:spacing w:line="360" w:lineRule="auto"/>
        <w:ind w:left="1219" w:hanging="652"/>
        <w:jc w:val="both"/>
        <w:rPr>
          <w:rFonts w:ascii="Calibri" w:hAnsi="Calibri"/>
          <w:rtl/>
        </w:rPr>
      </w:pPr>
      <w:r>
        <w:rPr>
          <w:rFonts w:ascii="Calibri" w:hAnsi="Calibri"/>
          <w:b/>
          <w:bCs/>
          <w:rtl/>
          <w:lang w:eastAsia="he-IL"/>
        </w:rPr>
        <w:t>3.</w:t>
      </w:r>
      <w:r>
        <w:rPr>
          <w:rFonts w:ascii="Calibri" w:hAnsi="Calibri"/>
          <w:rtl/>
        </w:rPr>
        <w:tab/>
      </w:r>
      <w:r>
        <w:rPr>
          <w:rFonts w:ascii="Calibri" w:hAnsi="Calibri" w:hint="eastAsia"/>
          <w:rtl/>
          <w:lang w:eastAsia="he-IL"/>
        </w:rPr>
        <w:t>מאסר</w:t>
      </w:r>
      <w:r>
        <w:rPr>
          <w:rFonts w:ascii="Calibri" w:hAnsi="Calibri"/>
          <w:rtl/>
          <w:lang w:eastAsia="he-IL"/>
        </w:rPr>
        <w:t xml:space="preserve"> </w:t>
      </w:r>
      <w:r>
        <w:rPr>
          <w:rFonts w:ascii="Calibri" w:hAnsi="Calibri" w:hint="eastAsia"/>
          <w:rtl/>
          <w:lang w:eastAsia="he-IL"/>
        </w:rPr>
        <w:t>למשך</w:t>
      </w:r>
      <w:r>
        <w:rPr>
          <w:rFonts w:ascii="Calibri" w:hAnsi="Calibri"/>
          <w:rtl/>
          <w:lang w:eastAsia="he-IL"/>
        </w:rPr>
        <w:t xml:space="preserve"> </w:t>
      </w:r>
      <w:r>
        <w:rPr>
          <w:rFonts w:ascii="Calibri" w:hAnsi="Calibri" w:hint="eastAsia"/>
          <w:rtl/>
          <w:lang w:eastAsia="he-IL"/>
        </w:rPr>
        <w:t>חודש</w:t>
      </w:r>
      <w:r>
        <w:rPr>
          <w:rFonts w:ascii="Calibri" w:hAnsi="Calibri"/>
          <w:rtl/>
          <w:lang w:eastAsia="he-IL"/>
        </w:rPr>
        <w:t xml:space="preserve"> </w:t>
      </w:r>
      <w:r>
        <w:rPr>
          <w:rFonts w:ascii="Calibri" w:hAnsi="Calibri" w:hint="eastAsia"/>
          <w:rtl/>
          <w:lang w:eastAsia="he-IL"/>
        </w:rPr>
        <w:t>וזאת</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תנאי</w:t>
      </w:r>
      <w:r>
        <w:rPr>
          <w:rFonts w:ascii="Calibri" w:hAnsi="Calibri"/>
          <w:rtl/>
          <w:lang w:eastAsia="he-IL"/>
        </w:rPr>
        <w:t xml:space="preserve"> </w:t>
      </w:r>
      <w:r>
        <w:rPr>
          <w:rFonts w:ascii="Calibri" w:hAnsi="Calibri" w:hint="eastAsia"/>
          <w:rtl/>
          <w:lang w:eastAsia="he-IL"/>
        </w:rPr>
        <w:t>למשך</w:t>
      </w:r>
      <w:r>
        <w:rPr>
          <w:rFonts w:ascii="Calibri" w:hAnsi="Calibri"/>
          <w:rtl/>
          <w:lang w:eastAsia="he-IL"/>
        </w:rPr>
        <w:t xml:space="preserve"> </w:t>
      </w:r>
      <w:r>
        <w:rPr>
          <w:rFonts w:ascii="Calibri" w:hAnsi="Calibri" w:hint="eastAsia"/>
          <w:rtl/>
          <w:lang w:eastAsia="he-IL"/>
        </w:rPr>
        <w:t>שנתיים</w:t>
      </w:r>
      <w:r>
        <w:rPr>
          <w:rFonts w:ascii="Calibri" w:hAnsi="Calibri"/>
          <w:rtl/>
          <w:lang w:eastAsia="he-IL"/>
        </w:rPr>
        <w:t xml:space="preserve">, </w:t>
      </w:r>
      <w:r>
        <w:rPr>
          <w:rFonts w:ascii="Calibri" w:hAnsi="Calibri" w:hint="eastAsia"/>
          <w:rtl/>
        </w:rPr>
        <w:t>אם</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לפי</w:t>
      </w:r>
      <w:r>
        <w:rPr>
          <w:rFonts w:ascii="Calibri" w:hAnsi="Calibri"/>
          <w:rtl/>
        </w:rPr>
        <w:t xml:space="preserve"> </w:t>
      </w:r>
      <w:hyperlink r:id="rId37" w:history="1">
        <w:r w:rsidRPr="00395E6B">
          <w:rPr>
            <w:rFonts w:ascii="Calibri" w:hAnsi="Calibri" w:hint="eastAsia"/>
            <w:color w:val="0000FF"/>
            <w:u w:val="single"/>
            <w:rtl/>
          </w:rPr>
          <w:t>פקודת</w:t>
        </w:r>
        <w:r w:rsidRPr="00395E6B">
          <w:rPr>
            <w:rFonts w:ascii="Calibri" w:hAnsi="Calibri"/>
            <w:color w:val="0000FF"/>
            <w:u w:val="single"/>
            <w:rtl/>
          </w:rPr>
          <w:t xml:space="preserve"> </w:t>
        </w:r>
        <w:r w:rsidRPr="00395E6B">
          <w:rPr>
            <w:rFonts w:ascii="Calibri" w:hAnsi="Calibri" w:hint="eastAsia"/>
            <w:color w:val="0000FF"/>
            <w:u w:val="single"/>
            <w:rtl/>
          </w:rPr>
          <w:t>הסמים</w:t>
        </w:r>
        <w:r w:rsidRPr="00395E6B">
          <w:rPr>
            <w:rFonts w:ascii="Calibri" w:hAnsi="Calibri"/>
            <w:color w:val="0000FF"/>
            <w:u w:val="single"/>
            <w:rtl/>
          </w:rPr>
          <w:t xml:space="preserve"> </w:t>
        </w:r>
        <w:r w:rsidRPr="00395E6B">
          <w:rPr>
            <w:rFonts w:ascii="Calibri" w:hAnsi="Calibri" w:hint="eastAsia"/>
            <w:color w:val="0000FF"/>
            <w:u w:val="single"/>
            <w:rtl/>
          </w:rPr>
          <w:t>המסוכנים</w:t>
        </w:r>
      </w:hyperlink>
      <w:r>
        <w:rPr>
          <w:rFonts w:ascii="Calibri" w:hAnsi="Calibri"/>
          <w:rtl/>
        </w:rPr>
        <w:t>.</w:t>
      </w:r>
    </w:p>
    <w:p w14:paraId="74E71C51" w14:textId="77777777" w:rsidR="00402866" w:rsidRDefault="00402866">
      <w:pPr>
        <w:tabs>
          <w:tab w:val="left" w:pos="651"/>
        </w:tabs>
        <w:spacing w:line="360" w:lineRule="auto"/>
        <w:ind w:left="1219" w:hanging="652"/>
        <w:jc w:val="both"/>
        <w:rPr>
          <w:rFonts w:ascii="Calibri" w:hAnsi="Calibri"/>
          <w:rtl/>
        </w:rPr>
      </w:pPr>
    </w:p>
    <w:p w14:paraId="61363B78" w14:textId="77777777" w:rsidR="00402866" w:rsidRDefault="00395E6B">
      <w:pPr>
        <w:tabs>
          <w:tab w:val="left" w:pos="651"/>
        </w:tabs>
        <w:spacing w:line="360" w:lineRule="auto"/>
        <w:ind w:left="1219" w:hanging="652"/>
        <w:jc w:val="both"/>
        <w:rPr>
          <w:rFonts w:ascii="Calibri" w:hAnsi="Calibri"/>
          <w:rtl/>
        </w:rPr>
      </w:pPr>
      <w:r>
        <w:rPr>
          <w:rFonts w:ascii="Calibri" w:hAnsi="Calibri"/>
          <w:b/>
          <w:bCs/>
          <w:rtl/>
        </w:rPr>
        <w:t>4.</w:t>
      </w:r>
      <w:r>
        <w:rPr>
          <w:rFonts w:ascii="Calibri" w:hAnsi="Calibri"/>
          <w:rtl/>
        </w:rPr>
        <w:tab/>
      </w:r>
      <w:r>
        <w:rPr>
          <w:rFonts w:ascii="Calibri" w:hAnsi="Calibri" w:hint="eastAsia"/>
          <w:rtl/>
        </w:rPr>
        <w:t>פיצוי</w:t>
      </w:r>
      <w:r>
        <w:rPr>
          <w:rFonts w:ascii="Calibri" w:hAnsi="Calibri"/>
          <w:rtl/>
        </w:rPr>
        <w:t xml:space="preserve"> </w:t>
      </w:r>
      <w:r>
        <w:rPr>
          <w:rFonts w:ascii="Calibri" w:hAnsi="Calibri" w:hint="eastAsia"/>
          <w:rtl/>
        </w:rPr>
        <w:t>בסך</w:t>
      </w:r>
      <w:r>
        <w:rPr>
          <w:rFonts w:ascii="Calibri" w:hAnsi="Calibri"/>
          <w:rtl/>
        </w:rPr>
        <w:t xml:space="preserve"> 1,000 </w:t>
      </w:r>
      <w:r>
        <w:rPr>
          <w:rFonts w:ascii="Calibri" w:hAnsi="Calibri" w:hint="eastAsia"/>
          <w:rtl/>
        </w:rPr>
        <w:t>₪</w:t>
      </w:r>
      <w:r>
        <w:rPr>
          <w:rFonts w:ascii="Calibri" w:hAnsi="Calibri"/>
          <w:rtl/>
        </w:rPr>
        <w:t xml:space="preserve"> </w:t>
      </w:r>
      <w:r>
        <w:rPr>
          <w:rFonts w:ascii="Calibri" w:hAnsi="Calibri" w:hint="eastAsia"/>
          <w:rtl/>
        </w:rPr>
        <w:t>למתלונן</w:t>
      </w:r>
      <w:r>
        <w:rPr>
          <w:rFonts w:ascii="Calibri" w:hAnsi="Calibri"/>
          <w:rtl/>
        </w:rPr>
        <w:t>.</w:t>
      </w:r>
      <w:r>
        <w:rPr>
          <w:rFonts w:ascii="Calibri" w:hAnsi="Calibri" w:hint="cs"/>
          <w:rtl/>
        </w:rPr>
        <w:t xml:space="preserve"> הפיצוי ישולם ב-</w:t>
      </w:r>
      <w:r>
        <w:rPr>
          <w:rFonts w:ascii="Calibri" w:hAnsi="Calibri"/>
          <w:rtl/>
        </w:rPr>
        <w:t xml:space="preserve">4 </w:t>
      </w:r>
      <w:r>
        <w:rPr>
          <w:rFonts w:ascii="Calibri" w:hAnsi="Calibri" w:hint="eastAsia"/>
          <w:rtl/>
        </w:rPr>
        <w:t>תשלומים</w:t>
      </w:r>
      <w:r>
        <w:rPr>
          <w:rFonts w:ascii="Calibri" w:hAnsi="Calibri"/>
          <w:rtl/>
        </w:rPr>
        <w:t xml:space="preserve"> </w:t>
      </w:r>
      <w:r>
        <w:rPr>
          <w:rFonts w:ascii="Calibri" w:hAnsi="Calibri" w:hint="eastAsia"/>
          <w:rtl/>
        </w:rPr>
        <w:t>מיום</w:t>
      </w:r>
      <w:r>
        <w:rPr>
          <w:rFonts w:ascii="Calibri" w:hAnsi="Calibri"/>
          <w:rtl/>
        </w:rPr>
        <w:t xml:space="preserve"> 1/</w:t>
      </w:r>
      <w:r>
        <w:rPr>
          <w:rFonts w:ascii="Calibri" w:hAnsi="Calibri" w:hint="cs"/>
          <w:rtl/>
        </w:rPr>
        <w:t>8</w:t>
      </w:r>
      <w:r>
        <w:rPr>
          <w:rFonts w:ascii="Calibri" w:hAnsi="Calibri"/>
          <w:rtl/>
        </w:rPr>
        <w:t>/14.</w:t>
      </w:r>
      <w:r>
        <w:rPr>
          <w:rFonts w:ascii="Calibri" w:hAnsi="Calibri" w:hint="cs"/>
          <w:rtl/>
        </w:rPr>
        <w:t xml:space="preserve"> אם איזה מן התשלומים לא ישולם במלואו או במועדו תעמוד מלוא היתרה לתשלום מידי.</w:t>
      </w:r>
    </w:p>
    <w:p w14:paraId="78946818" w14:textId="77777777" w:rsidR="00402866" w:rsidRDefault="00402866">
      <w:pPr>
        <w:tabs>
          <w:tab w:val="left" w:pos="651"/>
        </w:tabs>
        <w:spacing w:line="360" w:lineRule="auto"/>
        <w:ind w:left="1219" w:hanging="652"/>
        <w:jc w:val="both"/>
        <w:rPr>
          <w:rFonts w:ascii="Calibri" w:hAnsi="Calibri"/>
          <w:b/>
          <w:bCs/>
          <w:sz w:val="10"/>
          <w:szCs w:val="10"/>
          <w:rtl/>
        </w:rPr>
      </w:pPr>
    </w:p>
    <w:p w14:paraId="706A6A6F" w14:textId="77777777" w:rsidR="00402866" w:rsidRDefault="00395E6B">
      <w:pPr>
        <w:tabs>
          <w:tab w:val="left" w:pos="651"/>
        </w:tabs>
        <w:spacing w:line="360" w:lineRule="auto"/>
        <w:ind w:left="1219" w:hanging="652"/>
        <w:jc w:val="both"/>
        <w:rPr>
          <w:rFonts w:ascii="Calibri" w:hAnsi="Calibri"/>
          <w:rtl/>
        </w:rPr>
      </w:pPr>
      <w:r>
        <w:rPr>
          <w:rFonts w:ascii="Calibri" w:hAnsi="Calibri" w:hint="cs"/>
          <w:b/>
          <w:bCs/>
          <w:rtl/>
        </w:rPr>
        <w:tab/>
      </w:r>
      <w:r>
        <w:rPr>
          <w:rFonts w:ascii="Calibri" w:hAnsi="Calibri" w:hint="cs"/>
          <w:b/>
          <w:bCs/>
          <w:rtl/>
        </w:rPr>
        <w:tab/>
      </w:r>
      <w:r>
        <w:rPr>
          <w:rFonts w:ascii="Calibri" w:hAnsi="Calibri" w:hint="eastAsia"/>
          <w:rtl/>
        </w:rPr>
        <w:t>המאשימה</w:t>
      </w:r>
      <w:r>
        <w:rPr>
          <w:rFonts w:ascii="Calibri" w:hAnsi="Calibri"/>
          <w:rtl/>
        </w:rPr>
        <w:t xml:space="preserve"> </w:t>
      </w:r>
      <w:r>
        <w:rPr>
          <w:rFonts w:ascii="Calibri" w:hAnsi="Calibri" w:hint="eastAsia"/>
          <w:rtl/>
        </w:rPr>
        <w:t>תמסור</w:t>
      </w:r>
      <w:r>
        <w:rPr>
          <w:rFonts w:ascii="Calibri" w:hAnsi="Calibri"/>
          <w:rtl/>
        </w:rPr>
        <w:t xml:space="preserve"> </w:t>
      </w:r>
      <w:r>
        <w:rPr>
          <w:rFonts w:ascii="Calibri" w:hAnsi="Calibri" w:hint="eastAsia"/>
          <w:rtl/>
        </w:rPr>
        <w:t>למזכירות</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פרטיו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המתלונן</w:t>
      </w:r>
      <w:r>
        <w:rPr>
          <w:rFonts w:ascii="Calibri" w:hAnsi="Calibri"/>
          <w:rtl/>
        </w:rPr>
        <w:t xml:space="preserve"> </w:t>
      </w:r>
      <w:r>
        <w:rPr>
          <w:rFonts w:ascii="Calibri" w:hAnsi="Calibri" w:hint="eastAsia"/>
          <w:rtl/>
        </w:rPr>
        <w:t>בתוך</w:t>
      </w:r>
      <w:r>
        <w:rPr>
          <w:rFonts w:ascii="Calibri" w:hAnsi="Calibri"/>
          <w:rtl/>
        </w:rPr>
        <w:t xml:space="preserve"> 10 </w:t>
      </w:r>
      <w:r>
        <w:rPr>
          <w:rFonts w:ascii="Calibri" w:hAnsi="Calibri" w:hint="eastAsia"/>
          <w:rtl/>
        </w:rPr>
        <w:t>ימים</w:t>
      </w:r>
      <w:r>
        <w:rPr>
          <w:rFonts w:ascii="Calibri" w:hAnsi="Calibri"/>
          <w:rtl/>
        </w:rPr>
        <w:t>.</w:t>
      </w:r>
    </w:p>
    <w:p w14:paraId="3D821F22" w14:textId="77777777" w:rsidR="00402866" w:rsidRDefault="00402866">
      <w:pPr>
        <w:tabs>
          <w:tab w:val="left" w:pos="651"/>
        </w:tabs>
        <w:spacing w:line="360" w:lineRule="auto"/>
        <w:ind w:left="1219" w:hanging="652"/>
        <w:jc w:val="both"/>
        <w:rPr>
          <w:rFonts w:ascii="Calibri" w:hAnsi="Calibri"/>
          <w:rtl/>
        </w:rPr>
      </w:pPr>
    </w:p>
    <w:p w14:paraId="43F12A1A" w14:textId="77777777" w:rsidR="00402866" w:rsidRDefault="00395E6B">
      <w:pPr>
        <w:spacing w:line="360" w:lineRule="auto"/>
        <w:ind w:left="1219" w:hanging="652"/>
        <w:jc w:val="both"/>
        <w:rPr>
          <w:rtl/>
        </w:rPr>
      </w:pPr>
      <w:r>
        <w:rPr>
          <w:rFonts w:ascii="Calibri" w:hAnsi="Calibri"/>
          <w:b/>
          <w:bCs/>
          <w:rtl/>
        </w:rPr>
        <w:t>5</w:t>
      </w:r>
      <w:r>
        <w:rPr>
          <w:rFonts w:ascii="Calibri" w:hAnsi="Calibri"/>
          <w:rtl/>
        </w:rPr>
        <w:t>.</w:t>
      </w:r>
      <w:r>
        <w:rPr>
          <w:rFonts w:ascii="Calibri" w:hAnsi="Calibri"/>
          <w:rtl/>
        </w:rPr>
        <w:tab/>
      </w:r>
      <w:r>
        <w:rPr>
          <w:rFonts w:hint="cs"/>
          <w:rtl/>
        </w:rPr>
        <w:t xml:space="preserve">ניתן בזאת צו מבחן לפיו הנאשם יעמוד בפיקוח שירות המבחן במשך שנה  מהיום. הנאשם ישולב בכל קבוצה טיפולית לפי שיקול דעת שירות המבחן ויבצע </w:t>
      </w:r>
      <w:bookmarkStart w:id="7" w:name="_GoBack"/>
      <w:bookmarkEnd w:id="7"/>
      <w:r>
        <w:rPr>
          <w:rFonts w:hint="cs"/>
          <w:rtl/>
        </w:rPr>
        <w:t>בדיקות לגילוי צריכת סמים ככל שיידרש על ידי שירות המבחן.</w:t>
      </w:r>
    </w:p>
    <w:p w14:paraId="15E8FD9E" w14:textId="77777777" w:rsidR="00402866" w:rsidRDefault="00402866">
      <w:pPr>
        <w:spacing w:line="360" w:lineRule="auto"/>
        <w:ind w:left="720" w:hanging="720"/>
        <w:jc w:val="both"/>
        <w:rPr>
          <w:rtl/>
        </w:rPr>
      </w:pPr>
    </w:p>
    <w:p w14:paraId="26564588" w14:textId="77777777" w:rsidR="00402866" w:rsidRDefault="00395E6B">
      <w:pPr>
        <w:pStyle w:val="6"/>
        <w:spacing w:line="360" w:lineRule="auto"/>
        <w:ind w:left="720"/>
        <w:jc w:val="both"/>
        <w:rPr>
          <w:rFonts w:cs="David"/>
          <w:b/>
          <w:bCs/>
          <w:i w:val="0"/>
          <w:iCs w:val="0"/>
          <w:color w:val="auto"/>
          <w:rtl/>
        </w:rPr>
      </w:pPr>
      <w:r>
        <w:rPr>
          <w:rFonts w:cs="David" w:hint="cs"/>
          <w:b/>
          <w:bCs/>
          <w:i w:val="0"/>
          <w:iCs w:val="0"/>
          <w:color w:val="auto"/>
          <w:rtl/>
        </w:rPr>
        <w:t xml:space="preserve">המזכירות תשלח העתק גזר הדין לשירות המבחן ולממונה על עבודות השירות בשירות בתי הסוהר. </w:t>
      </w:r>
    </w:p>
    <w:p w14:paraId="56B62F8C" w14:textId="77777777" w:rsidR="00402866" w:rsidRDefault="00402866">
      <w:pPr>
        <w:tabs>
          <w:tab w:val="left" w:pos="651"/>
        </w:tabs>
        <w:spacing w:line="360" w:lineRule="auto"/>
        <w:jc w:val="both"/>
        <w:rPr>
          <w:rFonts w:ascii="Calibri" w:hAnsi="Calibri"/>
          <w:b/>
          <w:bCs/>
          <w:rtl/>
        </w:rPr>
      </w:pPr>
    </w:p>
    <w:p w14:paraId="264AF018" w14:textId="77777777" w:rsidR="00402866" w:rsidRDefault="00395E6B">
      <w:pPr>
        <w:tabs>
          <w:tab w:val="left" w:pos="651"/>
        </w:tabs>
        <w:spacing w:line="360" w:lineRule="auto"/>
        <w:ind w:left="651"/>
        <w:jc w:val="both"/>
        <w:rPr>
          <w:rFonts w:ascii="Calibri" w:hAnsi="Calibri"/>
          <w:b/>
          <w:bCs/>
          <w:rtl/>
        </w:rPr>
      </w:pPr>
      <w:r>
        <w:rPr>
          <w:rFonts w:ascii="Calibri" w:hAnsi="Calibri" w:hint="eastAsia"/>
          <w:b/>
          <w:bCs/>
          <w:rtl/>
        </w:rPr>
        <w:t>המוצגים</w:t>
      </w:r>
      <w:r>
        <w:rPr>
          <w:rFonts w:ascii="Calibri" w:hAnsi="Calibri"/>
          <w:b/>
          <w:bCs/>
          <w:rtl/>
        </w:rPr>
        <w:t xml:space="preserve"> </w:t>
      </w:r>
      <w:r>
        <w:rPr>
          <w:rFonts w:ascii="Calibri" w:hAnsi="Calibri" w:hint="eastAsia"/>
          <w:b/>
          <w:bCs/>
          <w:rtl/>
        </w:rPr>
        <w:t>יחולטו</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יושמדו</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פי</w:t>
      </w:r>
      <w:r>
        <w:rPr>
          <w:rFonts w:ascii="Calibri" w:hAnsi="Calibri"/>
          <w:b/>
          <w:bCs/>
          <w:rtl/>
        </w:rPr>
        <w:t xml:space="preserve"> </w:t>
      </w:r>
      <w:r>
        <w:rPr>
          <w:rFonts w:ascii="Calibri" w:hAnsi="Calibri" w:hint="eastAsia"/>
          <w:b/>
          <w:bCs/>
          <w:rtl/>
        </w:rPr>
        <w:t>העניין</w:t>
      </w:r>
      <w:r>
        <w:rPr>
          <w:rFonts w:ascii="Calibri" w:hAnsi="Calibri"/>
          <w:b/>
          <w:bCs/>
          <w:rtl/>
        </w:rPr>
        <w:t>.</w:t>
      </w:r>
    </w:p>
    <w:p w14:paraId="23E98137" w14:textId="77777777" w:rsidR="00402866" w:rsidRDefault="00402866">
      <w:pPr>
        <w:spacing w:line="360" w:lineRule="auto"/>
        <w:jc w:val="both"/>
        <w:rPr>
          <w:rtl/>
        </w:rPr>
      </w:pPr>
    </w:p>
    <w:p w14:paraId="500EF32C" w14:textId="77777777" w:rsidR="00402866" w:rsidRDefault="00402866">
      <w:pPr>
        <w:spacing w:line="360" w:lineRule="auto"/>
        <w:ind w:left="720" w:hanging="720"/>
        <w:jc w:val="both"/>
        <w:rPr>
          <w:b/>
          <w:bCs/>
          <w:rtl/>
        </w:rPr>
      </w:pPr>
    </w:p>
    <w:p w14:paraId="6893B0CE" w14:textId="77777777" w:rsidR="00402866" w:rsidRDefault="00395E6B">
      <w:pPr>
        <w:spacing w:line="360" w:lineRule="auto"/>
        <w:ind w:left="720" w:hanging="720"/>
        <w:jc w:val="both"/>
        <w:rPr>
          <w:b/>
          <w:bCs/>
          <w:rtl/>
        </w:rPr>
      </w:pPr>
      <w:r>
        <w:rPr>
          <w:b/>
          <w:bCs/>
          <w:rtl/>
        </w:rPr>
        <w:t>זכות ערעור לבי</w:t>
      </w:r>
      <w:r>
        <w:rPr>
          <w:rFonts w:hint="cs"/>
          <w:b/>
          <w:bCs/>
          <w:rtl/>
        </w:rPr>
        <w:t xml:space="preserve">ת המשפט </w:t>
      </w:r>
      <w:r>
        <w:rPr>
          <w:b/>
          <w:bCs/>
          <w:rtl/>
        </w:rPr>
        <w:t>המחוזי בירושלים תוך 45 יום מהיום.</w:t>
      </w:r>
    </w:p>
    <w:p w14:paraId="04F2B62A" w14:textId="77777777" w:rsidR="00402866" w:rsidRDefault="00402866">
      <w:pPr>
        <w:rPr>
          <w:rtl/>
        </w:rPr>
      </w:pPr>
    </w:p>
    <w:p w14:paraId="6E432F3D" w14:textId="77777777" w:rsidR="00402866" w:rsidRDefault="00402866">
      <w:pPr>
        <w:rPr>
          <w:rtl/>
        </w:rPr>
      </w:pPr>
    </w:p>
    <w:p w14:paraId="22782A07" w14:textId="77777777" w:rsidR="00402866" w:rsidRPr="00395E6B" w:rsidRDefault="00395E6B">
      <w:pPr>
        <w:rPr>
          <w:color w:val="FFFFFF"/>
          <w:sz w:val="2"/>
          <w:szCs w:val="2"/>
          <w:rtl/>
        </w:rPr>
      </w:pPr>
      <w:r w:rsidRPr="00395E6B">
        <w:rPr>
          <w:color w:val="FFFFFF"/>
          <w:sz w:val="2"/>
          <w:szCs w:val="2"/>
          <w:rtl/>
        </w:rPr>
        <w:t>5129371</w:t>
      </w:r>
    </w:p>
    <w:p w14:paraId="76F1138D" w14:textId="77777777" w:rsidR="00402866" w:rsidRDefault="00395E6B">
      <w:pPr>
        <w:rPr>
          <w:rFonts w:cs="FrankRuehl"/>
          <w:sz w:val="28"/>
          <w:szCs w:val="28"/>
          <w:rtl/>
        </w:rPr>
      </w:pPr>
      <w:r w:rsidRPr="00395E6B">
        <w:rPr>
          <w:rFonts w:ascii="Arial" w:hAnsi="Arial"/>
          <w:color w:val="FFFFFF"/>
          <w:sz w:val="2"/>
          <w:szCs w:val="2"/>
          <w:rtl/>
        </w:rPr>
        <w:t>54678313</w:t>
      </w:r>
      <w:r>
        <w:rPr>
          <w:rFonts w:ascii="Arial" w:hAnsi="Arial"/>
          <w:rtl/>
        </w:rPr>
        <w:t xml:space="preserve">ניתן היום,  י"א סיוון תשע"ד, 09 יוני 2014.  </w:t>
      </w:r>
    </w:p>
    <w:p w14:paraId="1987ED3B" w14:textId="77777777" w:rsidR="00402866" w:rsidRDefault="00395E6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EA49E38" w14:textId="77777777" w:rsidR="00402866" w:rsidRDefault="00402866">
      <w:pPr>
        <w:jc w:val="center"/>
        <w:rPr>
          <w:rFonts w:ascii="Arial" w:hAnsi="Arial" w:cs="FrankRuehl"/>
          <w:sz w:val="28"/>
          <w:szCs w:val="28"/>
          <w:rtl/>
        </w:rPr>
      </w:pPr>
    </w:p>
    <w:p w14:paraId="5C567D25" w14:textId="77777777" w:rsidR="00402866" w:rsidRDefault="00402866">
      <w:pPr>
        <w:rPr>
          <w:rFonts w:cs="FrankRuehl"/>
          <w:sz w:val="28"/>
          <w:szCs w:val="28"/>
          <w:rtl/>
        </w:rPr>
      </w:pPr>
    </w:p>
    <w:p w14:paraId="7D0BD41F" w14:textId="77777777" w:rsidR="00402866" w:rsidRDefault="00402866">
      <w:pPr>
        <w:pStyle w:val="a3"/>
        <w:jc w:val="center"/>
        <w:rPr>
          <w:rtl/>
        </w:rPr>
      </w:pPr>
    </w:p>
    <w:p w14:paraId="49D5A7BE" w14:textId="77777777" w:rsidR="00395E6B" w:rsidRPr="00395E6B" w:rsidRDefault="00395E6B" w:rsidP="00395E6B">
      <w:pPr>
        <w:keepNext/>
        <w:rPr>
          <w:rFonts w:ascii="David" w:hAnsi="David"/>
          <w:color w:val="000000"/>
          <w:sz w:val="22"/>
          <w:szCs w:val="22"/>
          <w:rtl/>
        </w:rPr>
      </w:pPr>
    </w:p>
    <w:p w14:paraId="2490EEE1" w14:textId="77777777" w:rsidR="00395E6B" w:rsidRPr="00395E6B" w:rsidRDefault="00395E6B" w:rsidP="00395E6B">
      <w:pPr>
        <w:keepNext/>
        <w:rPr>
          <w:rFonts w:ascii="David" w:hAnsi="David"/>
          <w:color w:val="000000"/>
          <w:sz w:val="22"/>
          <w:szCs w:val="22"/>
          <w:rtl/>
        </w:rPr>
      </w:pPr>
      <w:r w:rsidRPr="00395E6B">
        <w:rPr>
          <w:rFonts w:ascii="David" w:hAnsi="David"/>
          <w:color w:val="000000"/>
          <w:sz w:val="22"/>
          <w:szCs w:val="22"/>
          <w:rtl/>
        </w:rPr>
        <w:t>מרדכי כדורי 54678313</w:t>
      </w:r>
    </w:p>
    <w:p w14:paraId="6728F2D2" w14:textId="77777777" w:rsidR="00395E6B" w:rsidRDefault="00395E6B" w:rsidP="00395E6B">
      <w:r w:rsidRPr="00395E6B">
        <w:rPr>
          <w:color w:val="000000"/>
          <w:rtl/>
        </w:rPr>
        <w:t>נוסח מסמך זה כפוף לשינויי ניסוח ועריכה</w:t>
      </w:r>
    </w:p>
    <w:p w14:paraId="28F84E43" w14:textId="77777777" w:rsidR="00395E6B" w:rsidRDefault="00395E6B" w:rsidP="00395E6B">
      <w:pPr>
        <w:rPr>
          <w:rtl/>
        </w:rPr>
      </w:pPr>
    </w:p>
    <w:p w14:paraId="58DF305D" w14:textId="77777777" w:rsidR="00395E6B" w:rsidRDefault="00395E6B" w:rsidP="00395E6B">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054F3954" w14:textId="77777777" w:rsidR="00402866" w:rsidRPr="00395E6B" w:rsidRDefault="00402866" w:rsidP="00395E6B">
      <w:pPr>
        <w:jc w:val="center"/>
        <w:rPr>
          <w:color w:val="0000FF"/>
          <w:u w:val="single"/>
        </w:rPr>
      </w:pPr>
    </w:p>
    <w:sectPr w:rsidR="00402866" w:rsidRPr="00395E6B" w:rsidSect="00395E6B">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EA841" w14:textId="77777777" w:rsidR="008B5570" w:rsidRPr="00A76BEE" w:rsidRDefault="008B5570">
      <w:pPr>
        <w:rPr>
          <w:rFonts w:cs="Arial"/>
          <w:szCs w:val="20"/>
        </w:rPr>
      </w:pPr>
      <w:r>
        <w:separator/>
      </w:r>
    </w:p>
  </w:endnote>
  <w:endnote w:type="continuationSeparator" w:id="0">
    <w:p w14:paraId="24A96ADC" w14:textId="77777777" w:rsidR="008B5570" w:rsidRPr="00A76BEE" w:rsidRDefault="008B557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ngsanaUPC">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79DC0" w14:textId="77777777" w:rsidR="00395E6B" w:rsidRDefault="00395E6B" w:rsidP="00395E6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EBB89DE" w14:textId="77777777" w:rsidR="00402866" w:rsidRPr="00395E6B" w:rsidRDefault="00395E6B" w:rsidP="00395E6B">
    <w:pPr>
      <w:pStyle w:val="a4"/>
      <w:pBdr>
        <w:top w:val="single" w:sz="4" w:space="1" w:color="auto"/>
        <w:between w:val="single" w:sz="4" w:space="0" w:color="auto"/>
      </w:pBdr>
      <w:spacing w:after="60"/>
      <w:jc w:val="center"/>
      <w:rPr>
        <w:rFonts w:ascii="FrankRuehl" w:hAnsi="FrankRuehl" w:cs="FrankRuehl"/>
        <w:color w:val="000000"/>
      </w:rPr>
    </w:pPr>
    <w:r w:rsidRPr="00395E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6CF43" w14:textId="77777777" w:rsidR="00395E6B" w:rsidRDefault="00395E6B" w:rsidP="00395E6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E50E2">
      <w:rPr>
        <w:rFonts w:ascii="FrankRuehl" w:hAnsi="FrankRuehl" w:cs="FrankRuehl"/>
        <w:noProof/>
        <w:rtl/>
      </w:rPr>
      <w:t>1</w:t>
    </w:r>
    <w:r>
      <w:rPr>
        <w:rFonts w:ascii="FrankRuehl" w:hAnsi="FrankRuehl" w:cs="FrankRuehl"/>
        <w:rtl/>
      </w:rPr>
      <w:fldChar w:fldCharType="end"/>
    </w:r>
  </w:p>
  <w:p w14:paraId="6BCA0B6A" w14:textId="77777777" w:rsidR="00402866" w:rsidRPr="00395E6B" w:rsidRDefault="00395E6B" w:rsidP="00395E6B">
    <w:pPr>
      <w:pStyle w:val="a4"/>
      <w:pBdr>
        <w:top w:val="single" w:sz="4" w:space="1" w:color="auto"/>
        <w:between w:val="single" w:sz="4" w:space="0" w:color="auto"/>
      </w:pBdr>
      <w:spacing w:after="60"/>
      <w:jc w:val="center"/>
      <w:rPr>
        <w:rFonts w:ascii="FrankRuehl" w:hAnsi="FrankRuehl" w:cs="FrankRuehl"/>
        <w:color w:val="000000"/>
      </w:rPr>
    </w:pPr>
    <w:r w:rsidRPr="00395E6B">
      <w:rPr>
        <w:rFonts w:ascii="FrankRuehl" w:hAnsi="FrankRuehl" w:cs="FrankRuehl"/>
        <w:color w:val="000000"/>
      </w:rPr>
      <w:pict w14:anchorId="105B4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A43EF" w14:textId="77777777" w:rsidR="008B5570" w:rsidRPr="00A76BEE" w:rsidRDefault="008B5570">
      <w:pPr>
        <w:rPr>
          <w:rFonts w:cs="Arial"/>
          <w:szCs w:val="20"/>
        </w:rPr>
      </w:pPr>
      <w:r>
        <w:separator/>
      </w:r>
    </w:p>
  </w:footnote>
  <w:footnote w:type="continuationSeparator" w:id="0">
    <w:p w14:paraId="3FAE5CD9" w14:textId="77777777" w:rsidR="008B5570" w:rsidRPr="00A76BEE" w:rsidRDefault="008B557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A494F" w14:textId="77777777" w:rsidR="00395E6B" w:rsidRPr="00395E6B" w:rsidRDefault="00395E6B" w:rsidP="00395E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48535-10-12</w:t>
    </w:r>
    <w:r>
      <w:rPr>
        <w:rFonts w:ascii="David" w:hAnsi="David"/>
        <w:color w:val="000000"/>
        <w:sz w:val="22"/>
        <w:szCs w:val="22"/>
        <w:rtl/>
      </w:rPr>
      <w:tab/>
      <w:t xml:space="preserve"> מדינת ישראל נ' ישראל וקנין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7911A" w14:textId="77777777" w:rsidR="00395E6B" w:rsidRPr="00395E6B" w:rsidRDefault="00395E6B" w:rsidP="00395E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48535-10-12</w:t>
    </w:r>
    <w:r>
      <w:rPr>
        <w:rFonts w:ascii="David" w:hAnsi="David"/>
        <w:color w:val="000000"/>
        <w:sz w:val="22"/>
        <w:szCs w:val="22"/>
        <w:rtl/>
      </w:rPr>
      <w:tab/>
      <w:t xml:space="preserve"> מדינת ישראל נ' ישראל וקנין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2866"/>
    <w:rsid w:val="00395E6B"/>
    <w:rsid w:val="00402866"/>
    <w:rsid w:val="008B5570"/>
    <w:rsid w:val="00BE50E2"/>
    <w:rsid w:val="00D979D8"/>
    <w:rsid w:val="00DF793E"/>
    <w:rsid w:val="00F613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C527A7C"/>
  <w15:chartTrackingRefBased/>
  <w15:docId w15:val="{CFF4D74F-6960-4899-B36E-19D635F8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2866"/>
    <w:pPr>
      <w:bidi/>
    </w:pPr>
    <w:rPr>
      <w:rFonts w:cs="David"/>
      <w:sz w:val="24"/>
      <w:szCs w:val="24"/>
    </w:rPr>
  </w:style>
  <w:style w:type="paragraph" w:styleId="6">
    <w:name w:val="heading 6"/>
    <w:basedOn w:val="a"/>
    <w:next w:val="a"/>
    <w:link w:val="60"/>
    <w:qFormat/>
    <w:rsid w:val="00402866"/>
    <w:pPr>
      <w:keepNext/>
      <w:keepLines/>
      <w:spacing w:before="200"/>
      <w:outlineLvl w:val="5"/>
    </w:pPr>
    <w:rPr>
      <w:rFonts w:ascii="Cambria" w:hAnsi="Cambria" w:cs="Times New Roman"/>
      <w:i/>
      <w:iCs/>
      <w:color w:val="243F6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02866"/>
    <w:pPr>
      <w:tabs>
        <w:tab w:val="center" w:pos="4153"/>
        <w:tab w:val="right" w:pos="8306"/>
      </w:tabs>
    </w:pPr>
  </w:style>
  <w:style w:type="paragraph" w:styleId="a4">
    <w:name w:val="footer"/>
    <w:basedOn w:val="a"/>
    <w:rsid w:val="00402866"/>
    <w:pPr>
      <w:tabs>
        <w:tab w:val="center" w:pos="4153"/>
        <w:tab w:val="right" w:pos="8306"/>
      </w:tabs>
    </w:pPr>
  </w:style>
  <w:style w:type="character" w:styleId="a5">
    <w:name w:val="page number"/>
    <w:basedOn w:val="a0"/>
    <w:rsid w:val="00402866"/>
  </w:style>
  <w:style w:type="paragraph" w:styleId="a6">
    <w:name w:val="Body Text"/>
    <w:basedOn w:val="a"/>
    <w:link w:val="a7"/>
    <w:rsid w:val="00402866"/>
    <w:pPr>
      <w:spacing w:line="360" w:lineRule="auto"/>
    </w:pPr>
    <w:rPr>
      <w:sz w:val="20"/>
      <w:lang w:eastAsia="he-IL"/>
    </w:rPr>
  </w:style>
  <w:style w:type="character" w:customStyle="1" w:styleId="a7">
    <w:name w:val="גוף טקסט תו"/>
    <w:basedOn w:val="a0"/>
    <w:link w:val="a6"/>
    <w:rsid w:val="00402866"/>
    <w:rPr>
      <w:rFonts w:cs="David"/>
      <w:szCs w:val="24"/>
      <w:lang w:val="en-US" w:eastAsia="he-IL" w:bidi="he-IL"/>
    </w:rPr>
  </w:style>
  <w:style w:type="character" w:customStyle="1" w:styleId="60">
    <w:name w:val="כותרת 6 תו"/>
    <w:basedOn w:val="a0"/>
    <w:link w:val="6"/>
    <w:rsid w:val="00402866"/>
    <w:rPr>
      <w:rFonts w:ascii="Cambria" w:hAnsi="Cambria"/>
      <w:i/>
      <w:iCs/>
      <w:color w:val="243F60"/>
      <w:sz w:val="24"/>
      <w:szCs w:val="24"/>
      <w:lang w:val="en-US" w:eastAsia="en-US" w:bidi="he-IL"/>
    </w:rPr>
  </w:style>
  <w:style w:type="character" w:styleId="Hyperlink">
    <w:name w:val="Hyperlink"/>
    <w:basedOn w:val="a0"/>
    <w:rsid w:val="00395E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0" TargetMode="External"/><Relationship Id="rId18" Type="http://schemas.openxmlformats.org/officeDocument/2006/relationships/hyperlink" Target="http://www.nevo.co.il/case/4006612" TargetMode="External"/><Relationship Id="rId26" Type="http://schemas.openxmlformats.org/officeDocument/2006/relationships/hyperlink" Target="http://www.nevo.co.il/law/70301/288" TargetMode="External"/><Relationship Id="rId39" Type="http://schemas.openxmlformats.org/officeDocument/2006/relationships/header" Target="header1.xml"/><Relationship Id="rId21" Type="http://schemas.openxmlformats.org/officeDocument/2006/relationships/hyperlink" Target="http://www.nevo.co.il/law/70301" TargetMode="External"/><Relationship Id="rId34" Type="http://schemas.openxmlformats.org/officeDocument/2006/relationships/hyperlink" Target="http://www.nevo.co.il/case/4746507" TargetMode="External"/><Relationship Id="rId42" Type="http://schemas.openxmlformats.org/officeDocument/2006/relationships/footer" Target="foot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7.a" TargetMode="External"/><Relationship Id="rId20" Type="http://schemas.openxmlformats.org/officeDocument/2006/relationships/hyperlink" Target="http://www.nevo.co.il/law/70301/380" TargetMode="External"/><Relationship Id="rId29" Type="http://schemas.openxmlformats.org/officeDocument/2006/relationships/hyperlink" Target="http://www.nevo.co.il/case/5906142"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d.a" TargetMode="External"/><Relationship Id="rId24" Type="http://schemas.openxmlformats.org/officeDocument/2006/relationships/hyperlink" Target="http://www.nevo.co.il/law/4216/7.a" TargetMode="External"/><Relationship Id="rId32" Type="http://schemas.openxmlformats.org/officeDocument/2006/relationships/hyperlink" Target="http://www.nevo.co.il/case/4636412"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4070111" TargetMode="External"/><Relationship Id="rId28" Type="http://schemas.openxmlformats.org/officeDocument/2006/relationships/hyperlink" Target="http://www.nevo.co.il/case/4006612"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4006612" TargetMode="External"/><Relationship Id="rId31" Type="http://schemas.openxmlformats.org/officeDocument/2006/relationships/hyperlink" Target="http://www.nevo.co.il/case/2424123"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10"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407011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6670512" TargetMode="External"/><Relationship Id="rId35" Type="http://schemas.openxmlformats.org/officeDocument/2006/relationships/hyperlink" Target="http://www.nevo.co.il/law/70301/40d.a" TargetMode="External"/><Relationship Id="rId43" Type="http://schemas.openxmlformats.org/officeDocument/2006/relationships/fontTable" Target="fontTable.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288"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4216/7.c" TargetMode="External"/><Relationship Id="rId33" Type="http://schemas.openxmlformats.org/officeDocument/2006/relationships/hyperlink" Target="http://www.nevo.co.il/case/3896970"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1979</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11855</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8257637</vt:i4>
      </vt:variant>
      <vt:variant>
        <vt:i4>93</vt:i4>
      </vt:variant>
      <vt:variant>
        <vt:i4>0</vt:i4>
      </vt:variant>
      <vt:variant>
        <vt:i4>5</vt:i4>
      </vt:variant>
      <vt:variant>
        <vt:lpwstr>http://www.nevo.co.il/law/4216</vt:lpwstr>
      </vt:variant>
      <vt:variant>
        <vt:lpwstr/>
      </vt:variant>
      <vt:variant>
        <vt:i4>7995492</vt:i4>
      </vt:variant>
      <vt:variant>
        <vt:i4>90</vt:i4>
      </vt:variant>
      <vt:variant>
        <vt:i4>0</vt:i4>
      </vt:variant>
      <vt:variant>
        <vt:i4>5</vt:i4>
      </vt:variant>
      <vt:variant>
        <vt:lpwstr>http://www.nevo.co.il/law/70301</vt:lpwstr>
      </vt:variant>
      <vt:variant>
        <vt:lpwstr/>
      </vt:variant>
      <vt:variant>
        <vt:i4>4915205</vt:i4>
      </vt:variant>
      <vt:variant>
        <vt:i4>87</vt:i4>
      </vt:variant>
      <vt:variant>
        <vt:i4>0</vt:i4>
      </vt:variant>
      <vt:variant>
        <vt:i4>5</vt:i4>
      </vt:variant>
      <vt:variant>
        <vt:lpwstr>http://www.nevo.co.il/law/70301/40d.a</vt:lpwstr>
      </vt:variant>
      <vt:variant>
        <vt:lpwstr/>
      </vt:variant>
      <vt:variant>
        <vt:i4>3276917</vt:i4>
      </vt:variant>
      <vt:variant>
        <vt:i4>84</vt:i4>
      </vt:variant>
      <vt:variant>
        <vt:i4>0</vt:i4>
      </vt:variant>
      <vt:variant>
        <vt:i4>5</vt:i4>
      </vt:variant>
      <vt:variant>
        <vt:lpwstr>http://www.nevo.co.il/case/4746507</vt:lpwstr>
      </vt:variant>
      <vt:variant>
        <vt:lpwstr/>
      </vt:variant>
      <vt:variant>
        <vt:i4>3342461</vt:i4>
      </vt:variant>
      <vt:variant>
        <vt:i4>81</vt:i4>
      </vt:variant>
      <vt:variant>
        <vt:i4>0</vt:i4>
      </vt:variant>
      <vt:variant>
        <vt:i4>5</vt:i4>
      </vt:variant>
      <vt:variant>
        <vt:lpwstr>http://www.nevo.co.il/case/3896970</vt:lpwstr>
      </vt:variant>
      <vt:variant>
        <vt:lpwstr/>
      </vt:variant>
      <vt:variant>
        <vt:i4>3211381</vt:i4>
      </vt:variant>
      <vt:variant>
        <vt:i4>78</vt:i4>
      </vt:variant>
      <vt:variant>
        <vt:i4>0</vt:i4>
      </vt:variant>
      <vt:variant>
        <vt:i4>5</vt:i4>
      </vt:variant>
      <vt:variant>
        <vt:lpwstr>http://www.nevo.co.il/case/4636412</vt:lpwstr>
      </vt:variant>
      <vt:variant>
        <vt:lpwstr/>
      </vt:variant>
      <vt:variant>
        <vt:i4>3276918</vt:i4>
      </vt:variant>
      <vt:variant>
        <vt:i4>75</vt:i4>
      </vt:variant>
      <vt:variant>
        <vt:i4>0</vt:i4>
      </vt:variant>
      <vt:variant>
        <vt:i4>5</vt:i4>
      </vt:variant>
      <vt:variant>
        <vt:lpwstr>http://www.nevo.co.il/case/2424123</vt:lpwstr>
      </vt:variant>
      <vt:variant>
        <vt:lpwstr/>
      </vt:variant>
      <vt:variant>
        <vt:i4>3539059</vt:i4>
      </vt:variant>
      <vt:variant>
        <vt:i4>72</vt:i4>
      </vt:variant>
      <vt:variant>
        <vt:i4>0</vt:i4>
      </vt:variant>
      <vt:variant>
        <vt:i4>5</vt:i4>
      </vt:variant>
      <vt:variant>
        <vt:lpwstr>http://www.nevo.co.il/case/6670512</vt:lpwstr>
      </vt:variant>
      <vt:variant>
        <vt:lpwstr/>
      </vt:variant>
      <vt:variant>
        <vt:i4>3539071</vt:i4>
      </vt:variant>
      <vt:variant>
        <vt:i4>69</vt:i4>
      </vt:variant>
      <vt:variant>
        <vt:i4>0</vt:i4>
      </vt:variant>
      <vt:variant>
        <vt:i4>5</vt:i4>
      </vt:variant>
      <vt:variant>
        <vt:lpwstr>http://www.nevo.co.il/case/5906142</vt:lpwstr>
      </vt:variant>
      <vt:variant>
        <vt:lpwstr/>
      </vt:variant>
      <vt:variant>
        <vt:i4>3145843</vt:i4>
      </vt:variant>
      <vt:variant>
        <vt:i4>66</vt:i4>
      </vt:variant>
      <vt:variant>
        <vt:i4>0</vt:i4>
      </vt:variant>
      <vt:variant>
        <vt:i4>5</vt:i4>
      </vt:variant>
      <vt:variant>
        <vt:lpwstr>http://www.nevo.co.il/case/4006612</vt:lpwstr>
      </vt:variant>
      <vt:variant>
        <vt:lpwstr/>
      </vt:variant>
      <vt:variant>
        <vt:i4>7995492</vt:i4>
      </vt:variant>
      <vt:variant>
        <vt:i4>63</vt:i4>
      </vt:variant>
      <vt:variant>
        <vt:i4>0</vt:i4>
      </vt:variant>
      <vt:variant>
        <vt:i4>5</vt:i4>
      </vt:variant>
      <vt:variant>
        <vt:lpwstr>http://www.nevo.co.il/law/70301</vt:lpwstr>
      </vt:variant>
      <vt:variant>
        <vt:lpwstr/>
      </vt:variant>
      <vt:variant>
        <vt:i4>7143527</vt:i4>
      </vt:variant>
      <vt:variant>
        <vt:i4>60</vt:i4>
      </vt:variant>
      <vt:variant>
        <vt:i4>0</vt:i4>
      </vt:variant>
      <vt:variant>
        <vt:i4>5</vt:i4>
      </vt:variant>
      <vt:variant>
        <vt:lpwstr>http://www.nevo.co.il/law/70301/288</vt:lpwstr>
      </vt:variant>
      <vt:variant>
        <vt:lpwstr/>
      </vt:variant>
      <vt:variant>
        <vt:i4>2752612</vt:i4>
      </vt:variant>
      <vt:variant>
        <vt:i4>57</vt:i4>
      </vt:variant>
      <vt:variant>
        <vt:i4>0</vt:i4>
      </vt:variant>
      <vt:variant>
        <vt:i4>5</vt:i4>
      </vt:variant>
      <vt:variant>
        <vt:lpwstr>http://www.nevo.co.il/law/4216/7.c</vt:lpwstr>
      </vt:variant>
      <vt:variant>
        <vt:lpwstr/>
      </vt:variant>
      <vt:variant>
        <vt:i4>2621540</vt:i4>
      </vt:variant>
      <vt:variant>
        <vt:i4>54</vt:i4>
      </vt:variant>
      <vt:variant>
        <vt:i4>0</vt:i4>
      </vt:variant>
      <vt:variant>
        <vt:i4>5</vt:i4>
      </vt:variant>
      <vt:variant>
        <vt:lpwstr>http://www.nevo.co.il/law/4216/7.a</vt:lpwstr>
      </vt:variant>
      <vt:variant>
        <vt:lpwstr/>
      </vt:variant>
      <vt:variant>
        <vt:i4>3342453</vt:i4>
      </vt:variant>
      <vt:variant>
        <vt:i4>51</vt:i4>
      </vt:variant>
      <vt:variant>
        <vt:i4>0</vt:i4>
      </vt:variant>
      <vt:variant>
        <vt:i4>5</vt:i4>
      </vt:variant>
      <vt:variant>
        <vt:lpwstr>http://www.nevo.co.il/case/4070111</vt:lpwstr>
      </vt:variant>
      <vt:variant>
        <vt:lpwstr/>
      </vt:variant>
      <vt:variant>
        <vt:i4>3342453</vt:i4>
      </vt:variant>
      <vt:variant>
        <vt:i4>48</vt:i4>
      </vt:variant>
      <vt:variant>
        <vt:i4>0</vt:i4>
      </vt:variant>
      <vt:variant>
        <vt:i4>5</vt:i4>
      </vt:variant>
      <vt:variant>
        <vt:lpwstr>http://www.nevo.co.il/case/4070111</vt:lpwstr>
      </vt:variant>
      <vt:variant>
        <vt:lpwstr/>
      </vt:variant>
      <vt:variant>
        <vt:i4>7995492</vt:i4>
      </vt:variant>
      <vt:variant>
        <vt:i4>45</vt:i4>
      </vt:variant>
      <vt:variant>
        <vt:i4>0</vt:i4>
      </vt:variant>
      <vt:variant>
        <vt:i4>5</vt:i4>
      </vt:variant>
      <vt:variant>
        <vt:lpwstr>http://www.nevo.co.il/law/70301</vt:lpwstr>
      </vt:variant>
      <vt:variant>
        <vt:lpwstr/>
      </vt:variant>
      <vt:variant>
        <vt:i4>7143526</vt:i4>
      </vt:variant>
      <vt:variant>
        <vt:i4>42</vt:i4>
      </vt:variant>
      <vt:variant>
        <vt:i4>0</vt:i4>
      </vt:variant>
      <vt:variant>
        <vt:i4>5</vt:i4>
      </vt:variant>
      <vt:variant>
        <vt:lpwstr>http://www.nevo.co.il/law/70301/380</vt:lpwstr>
      </vt:variant>
      <vt:variant>
        <vt:lpwstr/>
      </vt:variant>
      <vt:variant>
        <vt:i4>3145843</vt:i4>
      </vt:variant>
      <vt:variant>
        <vt:i4>39</vt:i4>
      </vt:variant>
      <vt:variant>
        <vt:i4>0</vt:i4>
      </vt:variant>
      <vt:variant>
        <vt:i4>5</vt:i4>
      </vt:variant>
      <vt:variant>
        <vt:lpwstr>http://www.nevo.co.il/case/4006612</vt:lpwstr>
      </vt:variant>
      <vt:variant>
        <vt:lpwstr/>
      </vt:variant>
      <vt:variant>
        <vt:i4>3145843</vt:i4>
      </vt:variant>
      <vt:variant>
        <vt:i4>36</vt:i4>
      </vt:variant>
      <vt:variant>
        <vt:i4>0</vt:i4>
      </vt:variant>
      <vt:variant>
        <vt:i4>5</vt:i4>
      </vt:variant>
      <vt:variant>
        <vt:lpwstr>http://www.nevo.co.il/case/4006612</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5177418</vt:i4>
      </vt:variant>
      <vt:variant>
        <vt:i4>24</vt:i4>
      </vt:variant>
      <vt:variant>
        <vt:i4>0</vt:i4>
      </vt:variant>
      <vt:variant>
        <vt:i4>5</vt:i4>
      </vt:variant>
      <vt:variant>
        <vt:lpwstr>http://www.nevo.co.il/law/4216/10</vt:lpwstr>
      </vt:variant>
      <vt:variant>
        <vt:lpwstr/>
      </vt:variant>
      <vt:variant>
        <vt:i4>7143526</vt:i4>
      </vt:variant>
      <vt:variant>
        <vt:i4>21</vt:i4>
      </vt:variant>
      <vt:variant>
        <vt:i4>0</vt:i4>
      </vt:variant>
      <vt:variant>
        <vt:i4>5</vt:i4>
      </vt:variant>
      <vt:variant>
        <vt:lpwstr>http://www.nevo.co.il/law/70301/380</vt:lpwstr>
      </vt:variant>
      <vt:variant>
        <vt:lpwstr/>
      </vt:variant>
      <vt:variant>
        <vt:i4>7143527</vt:i4>
      </vt:variant>
      <vt:variant>
        <vt:i4>18</vt:i4>
      </vt:variant>
      <vt:variant>
        <vt:i4>0</vt:i4>
      </vt:variant>
      <vt:variant>
        <vt:i4>5</vt:i4>
      </vt:variant>
      <vt:variant>
        <vt:lpwstr>http://www.nevo.co.il/law/70301/288</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2025-04-22T21:50:00Z</dcterms:created>
  <dcterms:modified xsi:type="dcterms:W3CDTF">2025-04-22T21:50:00Z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48535;48387</vt:lpwstr>
  </property>
  <property fmtid="{D5CDD505-2E9C-101B-9397-08002B2CF9AE}" pid="6" name="NEWPARTB">
    <vt:lpwstr>10;10</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ישראל וקנין</vt:lpwstr>
  </property>
  <property fmtid="{D5CDD505-2E9C-101B-9397-08002B2CF9AE}" pid="10" name="JUDGE">
    <vt:lpwstr>מרדכי כדורי</vt:lpwstr>
  </property>
  <property fmtid="{D5CDD505-2E9C-101B-9397-08002B2CF9AE}" pid="11" name="CITY">
    <vt:lpwstr>י-ם</vt:lpwstr>
  </property>
  <property fmtid="{D5CDD505-2E9C-101B-9397-08002B2CF9AE}" pid="12" name="DATE">
    <vt:lpwstr>20140609</vt:lpwstr>
  </property>
  <property fmtid="{D5CDD505-2E9C-101B-9397-08002B2CF9AE}" pid="13" name="TYPE_N_DATE">
    <vt:lpwstr>38020140609</vt:lpwstr>
  </property>
  <property fmtid="{D5CDD505-2E9C-101B-9397-08002B2CF9AE}" pid="14" name="CASESLISTTMP1">
    <vt:lpwstr>4006612:3;4070111:2;5906142;6670512;2424123;4636412;3896970;4746507</vt:lpwstr>
  </property>
  <property fmtid="{D5CDD505-2E9C-101B-9397-08002B2CF9AE}" pid="15" name="WORDNUMPAGES">
    <vt:lpwstr>7</vt:lpwstr>
  </property>
  <property fmtid="{D5CDD505-2E9C-101B-9397-08002B2CF9AE}" pid="16" name="TYPE_ABS_DATE">
    <vt:lpwstr>380020140609</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4216/010;007.a:2;007.c:2</vt:lpwstr>
  </property>
  <property fmtid="{D5CDD505-2E9C-101B-9397-08002B2CF9AE}" pid="37" name="LAWLISTTMP2">
    <vt:lpwstr>70301/380;288;040d.a</vt:lpwstr>
  </property>
</Properties>
</file>