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43EEC" w:rsidRPr="004A0FAE" w14:paraId="0BB8D562" w14:textId="77777777">
        <w:trPr>
          <w:trHeight w:hRule="exact" w:val="418"/>
          <w:jc w:val="center"/>
        </w:trPr>
        <w:tc>
          <w:tcPr>
            <w:tcW w:w="8721" w:type="dxa"/>
            <w:gridSpan w:val="2"/>
          </w:tcPr>
          <w:p w14:paraId="2FD7FAAF" w14:textId="77777777" w:rsidR="00443EEC" w:rsidRPr="004A0FAE" w:rsidRDefault="004A0FAE">
            <w:pPr>
              <w:pStyle w:val="a3"/>
              <w:jc w:val="center"/>
              <w:rPr>
                <w:rFonts w:ascii="Tahoma" w:hAnsi="Tahoma" w:cs="Tahoma"/>
                <w:color w:val="000080"/>
                <w:rtl/>
              </w:rPr>
            </w:pPr>
            <w:bookmarkStart w:id="0" w:name="LastJudge"/>
            <w:r w:rsidRPr="004A0FAE">
              <w:rPr>
                <w:rFonts w:ascii="Tahoma" w:hAnsi="Tahoma" w:cs="Tahoma"/>
                <w:b/>
                <w:bCs/>
                <w:color w:val="000080"/>
                <w:rtl/>
              </w:rPr>
              <w:t>בית משפט השלום ברחובות</w:t>
            </w:r>
          </w:p>
        </w:tc>
      </w:tr>
      <w:tr w:rsidR="00443EEC" w:rsidRPr="004A0FAE" w14:paraId="5E613745" w14:textId="77777777">
        <w:trPr>
          <w:trHeight w:val="337"/>
          <w:jc w:val="center"/>
        </w:trPr>
        <w:tc>
          <w:tcPr>
            <w:tcW w:w="5054" w:type="dxa"/>
          </w:tcPr>
          <w:p w14:paraId="4CDEC0DB" w14:textId="77777777" w:rsidR="00443EEC" w:rsidRPr="004A0FAE" w:rsidRDefault="004A0FAE">
            <w:pPr>
              <w:rPr>
                <w:rFonts w:cs="FrankRuehl"/>
                <w:sz w:val="28"/>
                <w:szCs w:val="28"/>
                <w:rtl/>
              </w:rPr>
            </w:pPr>
            <w:r w:rsidRPr="004A0FAE">
              <w:rPr>
                <w:rFonts w:cs="FrankRuehl"/>
                <w:sz w:val="28"/>
                <w:szCs w:val="28"/>
                <w:rtl/>
              </w:rPr>
              <w:t>ת"פ</w:t>
            </w:r>
            <w:r w:rsidRPr="004A0FAE">
              <w:rPr>
                <w:rFonts w:cs="FrankRuehl" w:hint="cs"/>
                <w:sz w:val="28"/>
                <w:szCs w:val="28"/>
                <w:rtl/>
              </w:rPr>
              <w:t xml:space="preserve"> </w:t>
            </w:r>
            <w:r w:rsidRPr="004A0FAE">
              <w:rPr>
                <w:rFonts w:cs="FrankRuehl"/>
                <w:sz w:val="28"/>
                <w:szCs w:val="28"/>
                <w:rtl/>
              </w:rPr>
              <w:t>24015-11-12</w:t>
            </w:r>
            <w:r w:rsidRPr="004A0FAE">
              <w:rPr>
                <w:rFonts w:cs="FrankRuehl" w:hint="cs"/>
                <w:sz w:val="28"/>
                <w:szCs w:val="28"/>
                <w:rtl/>
              </w:rPr>
              <w:t xml:space="preserve"> </w:t>
            </w:r>
            <w:r w:rsidRPr="004A0FAE">
              <w:rPr>
                <w:rFonts w:cs="FrankRuehl"/>
                <w:sz w:val="28"/>
                <w:szCs w:val="28"/>
                <w:rtl/>
              </w:rPr>
              <w:t>מדינת ישראל נ' קרן</w:t>
            </w:r>
          </w:p>
          <w:p w14:paraId="18996A80" w14:textId="77777777" w:rsidR="00443EEC" w:rsidRPr="004A0FAE" w:rsidRDefault="00443EEC">
            <w:pPr>
              <w:pStyle w:val="a3"/>
              <w:rPr>
                <w:rFonts w:cs="FrankRuehl"/>
                <w:sz w:val="28"/>
                <w:szCs w:val="28"/>
                <w:rtl/>
              </w:rPr>
            </w:pPr>
          </w:p>
        </w:tc>
        <w:tc>
          <w:tcPr>
            <w:tcW w:w="3667" w:type="dxa"/>
          </w:tcPr>
          <w:p w14:paraId="50977B47" w14:textId="77777777" w:rsidR="00443EEC" w:rsidRPr="004A0FAE" w:rsidRDefault="00443EEC">
            <w:pPr>
              <w:pStyle w:val="a3"/>
              <w:jc w:val="right"/>
              <w:rPr>
                <w:rFonts w:cs="FrankRuehl"/>
                <w:sz w:val="28"/>
                <w:szCs w:val="28"/>
                <w:rtl/>
              </w:rPr>
            </w:pPr>
          </w:p>
        </w:tc>
      </w:tr>
    </w:tbl>
    <w:p w14:paraId="52924229" w14:textId="77777777" w:rsidR="00443EEC" w:rsidRPr="004A0FAE" w:rsidRDefault="004A0FAE">
      <w:pPr>
        <w:pStyle w:val="a3"/>
        <w:rPr>
          <w:rtl/>
        </w:rPr>
      </w:pPr>
      <w:r w:rsidRPr="004A0FAE">
        <w:rPr>
          <w:rFonts w:hint="cs"/>
          <w:rtl/>
        </w:rPr>
        <w:t xml:space="preserve"> </w:t>
      </w:r>
    </w:p>
    <w:p w14:paraId="5000EE8B" w14:textId="77777777" w:rsidR="00443EEC" w:rsidRPr="004A0FAE" w:rsidRDefault="00443EEC">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43EEC" w:rsidRPr="004A0FAE" w14:paraId="7A60BFC6" w14:textId="77777777">
        <w:trPr>
          <w:trHeight w:val="295"/>
          <w:jc w:val="center"/>
        </w:trPr>
        <w:tc>
          <w:tcPr>
            <w:tcW w:w="923" w:type="dxa"/>
            <w:tcBorders>
              <w:top w:val="nil"/>
              <w:left w:val="nil"/>
              <w:bottom w:val="nil"/>
              <w:right w:val="nil"/>
            </w:tcBorders>
          </w:tcPr>
          <w:p w14:paraId="4ECC278E" w14:textId="77777777" w:rsidR="00443EEC" w:rsidRPr="004A0FAE" w:rsidRDefault="004A0FAE">
            <w:pPr>
              <w:jc w:val="both"/>
              <w:rPr>
                <w:rFonts w:ascii="Arial" w:hAnsi="Arial" w:cs="FrankRuehl"/>
                <w:b/>
                <w:bCs/>
                <w:sz w:val="28"/>
                <w:szCs w:val="28"/>
              </w:rPr>
            </w:pPr>
            <w:r w:rsidRPr="004A0FAE">
              <w:rPr>
                <w:rFonts w:ascii="Arial" w:hAnsi="Arial" w:cs="FrankRuehl" w:hint="cs"/>
                <w:b/>
                <w:bCs/>
                <w:sz w:val="28"/>
                <w:szCs w:val="28"/>
                <w:rtl/>
              </w:rPr>
              <w:t>ב</w:t>
            </w:r>
            <w:r w:rsidRPr="004A0FAE">
              <w:rPr>
                <w:rFonts w:ascii="Arial" w:hAnsi="Arial" w:cs="FrankRuehl"/>
                <w:b/>
                <w:bCs/>
                <w:sz w:val="28"/>
                <w:szCs w:val="28"/>
                <w:rtl/>
              </w:rPr>
              <w:t xml:space="preserve">פני </w:t>
            </w:r>
          </w:p>
        </w:tc>
        <w:tc>
          <w:tcPr>
            <w:tcW w:w="7897" w:type="dxa"/>
            <w:gridSpan w:val="2"/>
            <w:tcBorders>
              <w:top w:val="nil"/>
              <w:left w:val="nil"/>
              <w:bottom w:val="nil"/>
              <w:right w:val="nil"/>
            </w:tcBorders>
          </w:tcPr>
          <w:p w14:paraId="0916635B" w14:textId="77777777" w:rsidR="00443EEC" w:rsidRPr="004A0FAE" w:rsidRDefault="004A0FAE">
            <w:pPr>
              <w:rPr>
                <w:rFonts w:ascii="Arial" w:hAnsi="Arial"/>
                <w:b/>
                <w:bCs/>
                <w:rtl/>
              </w:rPr>
            </w:pPr>
            <w:r w:rsidRPr="004A0FAE">
              <w:rPr>
                <w:rFonts w:ascii="Arial" w:hAnsi="Arial" w:hint="cs"/>
                <w:b/>
                <w:bCs/>
                <w:rtl/>
              </w:rPr>
              <w:t>כב' ה</w:t>
            </w:r>
            <w:r w:rsidRPr="004A0FAE">
              <w:rPr>
                <w:rFonts w:hint="cs"/>
                <w:b/>
                <w:bCs/>
                <w:rtl/>
              </w:rPr>
              <w:t>סגנית נשיאה</w:t>
            </w:r>
            <w:r w:rsidRPr="004A0FAE">
              <w:rPr>
                <w:rFonts w:ascii="Arial" w:hAnsi="Arial" w:hint="cs"/>
                <w:b/>
                <w:bCs/>
                <w:rtl/>
              </w:rPr>
              <w:t xml:space="preserve">  </w:t>
            </w:r>
            <w:r w:rsidRPr="004A0FAE">
              <w:rPr>
                <w:rFonts w:hint="cs"/>
                <w:b/>
                <w:bCs/>
                <w:rtl/>
              </w:rPr>
              <w:t>עינת רון</w:t>
            </w:r>
          </w:p>
          <w:p w14:paraId="3AEE5BB2" w14:textId="77777777" w:rsidR="00443EEC" w:rsidRPr="004A0FAE" w:rsidRDefault="00443EEC">
            <w:pPr>
              <w:rPr>
                <w:b/>
                <w:bCs/>
                <w:rtl/>
              </w:rPr>
            </w:pPr>
          </w:p>
          <w:p w14:paraId="654099FF" w14:textId="77777777" w:rsidR="00443EEC" w:rsidRPr="004A0FAE" w:rsidRDefault="00443EEC">
            <w:pPr>
              <w:jc w:val="both"/>
              <w:rPr>
                <w:rFonts w:ascii="Arial" w:hAnsi="Arial" w:cs="FrankRuehl"/>
                <w:b/>
                <w:bCs/>
                <w:sz w:val="28"/>
                <w:szCs w:val="28"/>
              </w:rPr>
            </w:pPr>
          </w:p>
        </w:tc>
      </w:tr>
      <w:tr w:rsidR="00443EEC" w:rsidRPr="004A0FAE" w14:paraId="4CE01194" w14:textId="77777777">
        <w:trPr>
          <w:trHeight w:val="355"/>
          <w:jc w:val="center"/>
        </w:trPr>
        <w:tc>
          <w:tcPr>
            <w:tcW w:w="923" w:type="dxa"/>
            <w:tcBorders>
              <w:top w:val="nil"/>
              <w:left w:val="nil"/>
              <w:bottom w:val="nil"/>
              <w:right w:val="nil"/>
            </w:tcBorders>
          </w:tcPr>
          <w:p w14:paraId="6CA9FD99" w14:textId="77777777" w:rsidR="00443EEC" w:rsidRPr="004A0FAE" w:rsidRDefault="004A0FAE">
            <w:pPr>
              <w:jc w:val="both"/>
              <w:rPr>
                <w:rFonts w:ascii="Arial" w:hAnsi="Arial" w:cs="FrankRuehl"/>
                <w:b/>
                <w:bCs/>
                <w:sz w:val="28"/>
                <w:szCs w:val="28"/>
              </w:rPr>
            </w:pPr>
            <w:bookmarkStart w:id="1" w:name="FirstAppellant"/>
            <w:r w:rsidRPr="004A0FAE">
              <w:rPr>
                <w:rFonts w:ascii="Arial" w:hAnsi="Arial" w:cs="FrankRuehl" w:hint="cs"/>
                <w:b/>
                <w:bCs/>
                <w:sz w:val="28"/>
                <w:szCs w:val="28"/>
                <w:rtl/>
              </w:rPr>
              <w:t>בעניין:</w:t>
            </w:r>
          </w:p>
        </w:tc>
        <w:tc>
          <w:tcPr>
            <w:tcW w:w="4126" w:type="dxa"/>
            <w:tcBorders>
              <w:top w:val="nil"/>
              <w:left w:val="nil"/>
              <w:bottom w:val="nil"/>
              <w:right w:val="nil"/>
            </w:tcBorders>
          </w:tcPr>
          <w:p w14:paraId="5072BB5C" w14:textId="77777777" w:rsidR="00443EEC" w:rsidRPr="004A0FAE" w:rsidRDefault="004A0FAE">
            <w:pPr>
              <w:rPr>
                <w:b/>
                <w:bCs/>
              </w:rPr>
            </w:pPr>
            <w:r w:rsidRPr="004A0FAE">
              <w:rPr>
                <w:rFonts w:hint="cs"/>
                <w:b/>
                <w:bCs/>
                <w:rtl/>
              </w:rPr>
              <w:t>מדינת ישראל</w:t>
            </w:r>
          </w:p>
        </w:tc>
        <w:tc>
          <w:tcPr>
            <w:tcW w:w="3771" w:type="dxa"/>
            <w:tcBorders>
              <w:top w:val="nil"/>
              <w:left w:val="nil"/>
              <w:bottom w:val="nil"/>
              <w:right w:val="nil"/>
            </w:tcBorders>
          </w:tcPr>
          <w:p w14:paraId="5C8A9E19" w14:textId="77777777" w:rsidR="00443EEC" w:rsidRPr="004A0FAE" w:rsidRDefault="00443EEC">
            <w:pPr>
              <w:jc w:val="both"/>
              <w:rPr>
                <w:rFonts w:ascii="Arial" w:hAnsi="Arial" w:cs="FrankRuehl"/>
                <w:b/>
                <w:bCs/>
                <w:sz w:val="28"/>
                <w:szCs w:val="28"/>
              </w:rPr>
            </w:pPr>
          </w:p>
        </w:tc>
      </w:tr>
      <w:bookmarkEnd w:id="1"/>
      <w:tr w:rsidR="00443EEC" w:rsidRPr="004A0FAE" w14:paraId="68B5DC3F" w14:textId="77777777">
        <w:trPr>
          <w:trHeight w:val="355"/>
          <w:jc w:val="center"/>
        </w:trPr>
        <w:tc>
          <w:tcPr>
            <w:tcW w:w="923" w:type="dxa"/>
            <w:tcBorders>
              <w:top w:val="nil"/>
              <w:left w:val="nil"/>
              <w:bottom w:val="nil"/>
              <w:right w:val="nil"/>
            </w:tcBorders>
          </w:tcPr>
          <w:p w14:paraId="4B0F3534" w14:textId="77777777" w:rsidR="00443EEC" w:rsidRPr="004A0FAE" w:rsidRDefault="00443EEC">
            <w:pPr>
              <w:jc w:val="both"/>
              <w:rPr>
                <w:rFonts w:ascii="Arial" w:hAnsi="Arial" w:cs="FrankRuehl"/>
                <w:b/>
                <w:bCs/>
                <w:sz w:val="28"/>
                <w:szCs w:val="28"/>
                <w:rtl/>
              </w:rPr>
            </w:pPr>
          </w:p>
        </w:tc>
        <w:tc>
          <w:tcPr>
            <w:tcW w:w="4126" w:type="dxa"/>
            <w:tcBorders>
              <w:top w:val="nil"/>
              <w:left w:val="nil"/>
              <w:bottom w:val="nil"/>
              <w:right w:val="nil"/>
            </w:tcBorders>
          </w:tcPr>
          <w:p w14:paraId="2178EEF3" w14:textId="77777777" w:rsidR="00443EEC" w:rsidRPr="004A0FAE" w:rsidRDefault="00443EEC">
            <w:pPr>
              <w:jc w:val="both"/>
              <w:rPr>
                <w:b/>
                <w:bCs/>
                <w:rtl/>
              </w:rPr>
            </w:pPr>
          </w:p>
        </w:tc>
        <w:tc>
          <w:tcPr>
            <w:tcW w:w="3771" w:type="dxa"/>
            <w:tcBorders>
              <w:top w:val="nil"/>
              <w:left w:val="nil"/>
              <w:bottom w:val="nil"/>
              <w:right w:val="nil"/>
            </w:tcBorders>
          </w:tcPr>
          <w:p w14:paraId="377398B3" w14:textId="77777777" w:rsidR="00443EEC" w:rsidRPr="004A0FAE" w:rsidRDefault="004A0FAE">
            <w:pPr>
              <w:jc w:val="right"/>
              <w:rPr>
                <w:rFonts w:ascii="Arial" w:hAnsi="Arial" w:cs="FrankRuehl"/>
                <w:b/>
                <w:bCs/>
                <w:sz w:val="28"/>
                <w:szCs w:val="28"/>
                <w:rtl/>
              </w:rPr>
            </w:pPr>
            <w:r w:rsidRPr="004A0FAE">
              <w:rPr>
                <w:rFonts w:ascii="Arial" w:hAnsi="Arial" w:cs="FrankRuehl" w:hint="cs"/>
                <w:b/>
                <w:bCs/>
                <w:sz w:val="28"/>
                <w:szCs w:val="28"/>
                <w:rtl/>
              </w:rPr>
              <w:t>ה</w:t>
            </w:r>
            <w:r w:rsidRPr="004A0FAE">
              <w:rPr>
                <w:rFonts w:hint="cs"/>
                <w:b/>
                <w:bCs/>
                <w:rtl/>
              </w:rPr>
              <w:t>מאשימה</w:t>
            </w:r>
          </w:p>
        </w:tc>
      </w:tr>
      <w:tr w:rsidR="00443EEC" w:rsidRPr="004A0FAE" w14:paraId="48C7D04A" w14:textId="77777777">
        <w:trPr>
          <w:trHeight w:val="355"/>
          <w:jc w:val="center"/>
        </w:trPr>
        <w:tc>
          <w:tcPr>
            <w:tcW w:w="923" w:type="dxa"/>
            <w:tcBorders>
              <w:top w:val="nil"/>
              <w:left w:val="nil"/>
              <w:bottom w:val="nil"/>
              <w:right w:val="nil"/>
            </w:tcBorders>
          </w:tcPr>
          <w:p w14:paraId="23CF5932" w14:textId="77777777" w:rsidR="00443EEC" w:rsidRPr="004A0FAE" w:rsidRDefault="00443EEC">
            <w:pPr>
              <w:jc w:val="both"/>
              <w:rPr>
                <w:rFonts w:ascii="Arial" w:hAnsi="Arial" w:cs="FrankRuehl"/>
                <w:b/>
                <w:bCs/>
                <w:sz w:val="28"/>
                <w:szCs w:val="28"/>
                <w:rtl/>
              </w:rPr>
            </w:pPr>
          </w:p>
        </w:tc>
        <w:tc>
          <w:tcPr>
            <w:tcW w:w="7897" w:type="dxa"/>
            <w:gridSpan w:val="2"/>
            <w:tcBorders>
              <w:top w:val="nil"/>
              <w:left w:val="nil"/>
              <w:bottom w:val="nil"/>
              <w:right w:val="nil"/>
            </w:tcBorders>
          </w:tcPr>
          <w:p w14:paraId="649D93C0" w14:textId="77777777" w:rsidR="00443EEC" w:rsidRPr="004A0FAE" w:rsidRDefault="00443EEC">
            <w:pPr>
              <w:jc w:val="center"/>
              <w:rPr>
                <w:rFonts w:ascii="Arial" w:hAnsi="Arial" w:cs="FrankRuehl"/>
                <w:b/>
                <w:bCs/>
                <w:sz w:val="28"/>
                <w:szCs w:val="28"/>
                <w:rtl/>
              </w:rPr>
            </w:pPr>
          </w:p>
          <w:p w14:paraId="0C3A1C9F" w14:textId="77777777" w:rsidR="00443EEC" w:rsidRPr="004A0FAE" w:rsidRDefault="004A0FAE">
            <w:pPr>
              <w:jc w:val="center"/>
              <w:rPr>
                <w:rFonts w:ascii="Arial" w:hAnsi="Arial" w:cs="FrankRuehl"/>
                <w:b/>
                <w:bCs/>
                <w:sz w:val="28"/>
                <w:szCs w:val="28"/>
                <w:rtl/>
              </w:rPr>
            </w:pPr>
            <w:r w:rsidRPr="004A0FAE">
              <w:rPr>
                <w:rFonts w:ascii="Arial" w:hAnsi="Arial" w:cs="FrankRuehl"/>
                <w:b/>
                <w:bCs/>
                <w:sz w:val="28"/>
                <w:szCs w:val="28"/>
                <w:rtl/>
              </w:rPr>
              <w:t>נגד</w:t>
            </w:r>
          </w:p>
          <w:p w14:paraId="2C68BA82" w14:textId="77777777" w:rsidR="00443EEC" w:rsidRPr="004A0FAE" w:rsidRDefault="00443EEC">
            <w:pPr>
              <w:jc w:val="both"/>
              <w:rPr>
                <w:rFonts w:ascii="Arial" w:hAnsi="Arial" w:cs="FrankRuehl"/>
                <w:b/>
                <w:bCs/>
                <w:sz w:val="28"/>
                <w:szCs w:val="28"/>
              </w:rPr>
            </w:pPr>
          </w:p>
        </w:tc>
      </w:tr>
      <w:tr w:rsidR="00443EEC" w:rsidRPr="004A0FAE" w14:paraId="1D200A68" w14:textId="77777777">
        <w:trPr>
          <w:trHeight w:val="355"/>
          <w:jc w:val="center"/>
        </w:trPr>
        <w:tc>
          <w:tcPr>
            <w:tcW w:w="923" w:type="dxa"/>
            <w:tcBorders>
              <w:top w:val="nil"/>
              <w:left w:val="nil"/>
              <w:bottom w:val="nil"/>
              <w:right w:val="nil"/>
            </w:tcBorders>
          </w:tcPr>
          <w:p w14:paraId="348E702A" w14:textId="77777777" w:rsidR="00443EEC" w:rsidRPr="004A0FAE" w:rsidRDefault="00443EEC">
            <w:pPr>
              <w:rPr>
                <w:rFonts w:ascii="Arial" w:hAnsi="Arial" w:cs="FrankRuehl"/>
                <w:b/>
                <w:bCs/>
                <w:sz w:val="28"/>
                <w:szCs w:val="28"/>
                <w:rtl/>
              </w:rPr>
            </w:pPr>
          </w:p>
        </w:tc>
        <w:tc>
          <w:tcPr>
            <w:tcW w:w="4126" w:type="dxa"/>
            <w:tcBorders>
              <w:top w:val="nil"/>
              <w:left w:val="nil"/>
              <w:bottom w:val="nil"/>
              <w:right w:val="nil"/>
            </w:tcBorders>
          </w:tcPr>
          <w:p w14:paraId="5771C775" w14:textId="77777777" w:rsidR="00443EEC" w:rsidRPr="004A0FAE" w:rsidRDefault="004A0FAE">
            <w:pPr>
              <w:rPr>
                <w:b/>
                <w:bCs/>
                <w:rtl/>
              </w:rPr>
            </w:pPr>
            <w:r w:rsidRPr="004A0FAE">
              <w:rPr>
                <w:rFonts w:hint="cs"/>
                <w:b/>
                <w:bCs/>
                <w:rtl/>
              </w:rPr>
              <w:t>אורי קרן</w:t>
            </w:r>
          </w:p>
        </w:tc>
        <w:tc>
          <w:tcPr>
            <w:tcW w:w="3771" w:type="dxa"/>
            <w:tcBorders>
              <w:top w:val="nil"/>
              <w:left w:val="nil"/>
              <w:bottom w:val="nil"/>
              <w:right w:val="nil"/>
            </w:tcBorders>
          </w:tcPr>
          <w:p w14:paraId="42FDC94B" w14:textId="77777777" w:rsidR="00443EEC" w:rsidRPr="004A0FAE" w:rsidRDefault="00443EEC">
            <w:pPr>
              <w:jc w:val="right"/>
              <w:rPr>
                <w:rFonts w:ascii="Arial" w:hAnsi="Arial" w:cs="FrankRuehl"/>
                <w:b/>
                <w:bCs/>
                <w:sz w:val="28"/>
                <w:szCs w:val="28"/>
              </w:rPr>
            </w:pPr>
          </w:p>
        </w:tc>
      </w:tr>
      <w:tr w:rsidR="00443EEC" w:rsidRPr="004A0FAE" w14:paraId="45AAD958" w14:textId="77777777">
        <w:trPr>
          <w:trHeight w:val="355"/>
          <w:jc w:val="center"/>
        </w:trPr>
        <w:tc>
          <w:tcPr>
            <w:tcW w:w="923" w:type="dxa"/>
            <w:tcBorders>
              <w:top w:val="nil"/>
              <w:left w:val="nil"/>
              <w:bottom w:val="nil"/>
              <w:right w:val="nil"/>
            </w:tcBorders>
          </w:tcPr>
          <w:p w14:paraId="713BE82F" w14:textId="77777777" w:rsidR="00443EEC" w:rsidRPr="004A0FAE" w:rsidRDefault="00443EEC">
            <w:pPr>
              <w:jc w:val="both"/>
              <w:rPr>
                <w:rFonts w:ascii="Arial" w:hAnsi="Arial" w:cs="FrankRuehl"/>
                <w:b/>
                <w:bCs/>
                <w:sz w:val="28"/>
                <w:szCs w:val="28"/>
                <w:rtl/>
              </w:rPr>
            </w:pPr>
            <w:bookmarkStart w:id="2" w:name="FirstLawyer"/>
          </w:p>
        </w:tc>
        <w:tc>
          <w:tcPr>
            <w:tcW w:w="4126" w:type="dxa"/>
            <w:tcBorders>
              <w:top w:val="nil"/>
              <w:left w:val="nil"/>
              <w:bottom w:val="nil"/>
              <w:right w:val="nil"/>
            </w:tcBorders>
          </w:tcPr>
          <w:p w14:paraId="224739F4" w14:textId="77777777" w:rsidR="00443EEC" w:rsidRPr="004A0FAE" w:rsidRDefault="004A0FAE">
            <w:pPr>
              <w:jc w:val="both"/>
              <w:rPr>
                <w:b/>
                <w:bCs/>
                <w:rtl/>
              </w:rPr>
            </w:pPr>
            <w:r w:rsidRPr="004A0FAE">
              <w:rPr>
                <w:rFonts w:hint="cs"/>
                <w:b/>
                <w:bCs/>
                <w:rtl/>
              </w:rPr>
              <w:t>נוכחים: ב"כ המאשימה עו"ד אריאל פס</w:t>
            </w:r>
          </w:p>
          <w:p w14:paraId="21870841" w14:textId="77777777" w:rsidR="00443EEC" w:rsidRPr="004A0FAE" w:rsidRDefault="004A0FAE">
            <w:pPr>
              <w:jc w:val="both"/>
              <w:rPr>
                <w:b/>
                <w:bCs/>
                <w:rtl/>
              </w:rPr>
            </w:pPr>
            <w:r w:rsidRPr="004A0FAE">
              <w:rPr>
                <w:rFonts w:hint="cs"/>
                <w:b/>
                <w:bCs/>
                <w:rtl/>
              </w:rPr>
              <w:t xml:space="preserve">             ב"כ הנאשם עו"ד מורן חכמון   ממשרדו של עו"ד סבוראי </w:t>
            </w:r>
          </w:p>
        </w:tc>
        <w:tc>
          <w:tcPr>
            <w:tcW w:w="3771" w:type="dxa"/>
            <w:tcBorders>
              <w:top w:val="nil"/>
              <w:left w:val="nil"/>
              <w:bottom w:val="nil"/>
              <w:right w:val="nil"/>
            </w:tcBorders>
          </w:tcPr>
          <w:p w14:paraId="54546B72" w14:textId="77777777" w:rsidR="00443EEC" w:rsidRPr="004A0FAE" w:rsidRDefault="004A0FAE">
            <w:pPr>
              <w:jc w:val="right"/>
              <w:rPr>
                <w:rFonts w:ascii="Arial" w:hAnsi="Arial" w:cs="FrankRuehl"/>
                <w:b/>
                <w:bCs/>
                <w:sz w:val="28"/>
                <w:szCs w:val="28"/>
              </w:rPr>
            </w:pPr>
            <w:r w:rsidRPr="004A0FAE">
              <w:rPr>
                <w:rFonts w:ascii="Arial" w:hAnsi="Arial" w:cs="FrankRuehl" w:hint="cs"/>
                <w:b/>
                <w:bCs/>
                <w:sz w:val="28"/>
                <w:szCs w:val="28"/>
                <w:rtl/>
              </w:rPr>
              <w:t>ה</w:t>
            </w:r>
            <w:r w:rsidRPr="004A0FAE">
              <w:rPr>
                <w:rFonts w:hint="cs"/>
                <w:b/>
                <w:bCs/>
                <w:rtl/>
              </w:rPr>
              <w:t>נאשם</w:t>
            </w:r>
          </w:p>
        </w:tc>
      </w:tr>
    </w:tbl>
    <w:p w14:paraId="4660D225" w14:textId="77777777" w:rsidR="00D56A05" w:rsidRDefault="00D56A05">
      <w:pPr>
        <w:rPr>
          <w:rtl/>
        </w:rPr>
      </w:pPr>
      <w:bookmarkStart w:id="3" w:name="LawTable"/>
      <w:bookmarkEnd w:id="2"/>
      <w:bookmarkEnd w:id="3"/>
    </w:p>
    <w:p w14:paraId="0B6AB2BB" w14:textId="77777777" w:rsidR="00D56A05" w:rsidRPr="00D56A05" w:rsidRDefault="00D56A05" w:rsidP="00D56A05">
      <w:pPr>
        <w:spacing w:after="120" w:line="240" w:lineRule="exact"/>
        <w:ind w:left="283" w:hanging="283"/>
        <w:jc w:val="both"/>
        <w:rPr>
          <w:rFonts w:ascii="FrankRuehl" w:hAnsi="FrankRuehl" w:cs="FrankRuehl"/>
          <w:rtl/>
        </w:rPr>
      </w:pPr>
    </w:p>
    <w:p w14:paraId="175768E2" w14:textId="77777777" w:rsidR="00D56A05" w:rsidRPr="00D56A05" w:rsidRDefault="00D56A05" w:rsidP="00D56A05">
      <w:pPr>
        <w:spacing w:after="120" w:line="240" w:lineRule="exact"/>
        <w:ind w:left="283" w:hanging="283"/>
        <w:jc w:val="both"/>
        <w:rPr>
          <w:rFonts w:ascii="FrankRuehl" w:hAnsi="FrankRuehl" w:cs="FrankRuehl"/>
          <w:rtl/>
        </w:rPr>
      </w:pPr>
      <w:r w:rsidRPr="00D56A05">
        <w:rPr>
          <w:rFonts w:ascii="FrankRuehl" w:hAnsi="FrankRuehl" w:cs="FrankRuehl"/>
          <w:rtl/>
        </w:rPr>
        <w:t xml:space="preserve">חקיקה שאוזכרה: </w:t>
      </w:r>
    </w:p>
    <w:p w14:paraId="0F5F5B61" w14:textId="77777777" w:rsidR="00D56A05" w:rsidRPr="00D56A05" w:rsidRDefault="00D56A05" w:rsidP="00D56A05">
      <w:pPr>
        <w:spacing w:after="120" w:line="240" w:lineRule="exact"/>
        <w:ind w:left="283" w:hanging="283"/>
        <w:jc w:val="both"/>
        <w:rPr>
          <w:rFonts w:ascii="FrankRuehl" w:hAnsi="FrankRuehl" w:cs="FrankRuehl"/>
          <w:rtl/>
        </w:rPr>
      </w:pPr>
      <w:hyperlink r:id="rId6" w:history="1">
        <w:r w:rsidRPr="00D56A05">
          <w:rPr>
            <w:rFonts w:ascii="FrankRuehl" w:hAnsi="FrankRuehl" w:cs="FrankRuehl"/>
            <w:color w:val="0000FF"/>
            <w:u w:val="single"/>
            <w:rtl/>
          </w:rPr>
          <w:t>פקודת הסמים המסוכנים [נוסח חדש], תשל"ג-1973</w:t>
        </w:r>
      </w:hyperlink>
      <w:r w:rsidRPr="00D56A05">
        <w:rPr>
          <w:rFonts w:ascii="FrankRuehl" w:hAnsi="FrankRuehl" w:cs="FrankRuehl"/>
          <w:rtl/>
        </w:rPr>
        <w:t xml:space="preserve">: סע'  </w:t>
      </w:r>
      <w:hyperlink r:id="rId7" w:history="1">
        <w:r w:rsidRPr="00D56A05">
          <w:rPr>
            <w:rFonts w:ascii="FrankRuehl" w:hAnsi="FrankRuehl" w:cs="FrankRuehl"/>
            <w:color w:val="0000FF"/>
            <w:u w:val="single"/>
            <w:rtl/>
          </w:rPr>
          <w:t>6</w:t>
        </w:r>
      </w:hyperlink>
      <w:r w:rsidRPr="00D56A05">
        <w:rPr>
          <w:rFonts w:ascii="FrankRuehl" w:hAnsi="FrankRuehl" w:cs="FrankRuehl"/>
          <w:rtl/>
        </w:rPr>
        <w:t xml:space="preserve">, </w:t>
      </w:r>
      <w:hyperlink r:id="rId8" w:history="1">
        <w:r w:rsidRPr="00D56A05">
          <w:rPr>
            <w:rFonts w:ascii="FrankRuehl" w:hAnsi="FrankRuehl" w:cs="FrankRuehl"/>
            <w:color w:val="0000FF"/>
            <w:u w:val="single"/>
            <w:rtl/>
          </w:rPr>
          <w:t>7(א)</w:t>
        </w:r>
      </w:hyperlink>
      <w:r w:rsidRPr="00D56A05">
        <w:rPr>
          <w:rFonts w:ascii="FrankRuehl" w:hAnsi="FrankRuehl" w:cs="FrankRuehl"/>
          <w:rtl/>
        </w:rPr>
        <w:t xml:space="preserve">, </w:t>
      </w:r>
      <w:hyperlink r:id="rId9" w:history="1">
        <w:r w:rsidRPr="00D56A05">
          <w:rPr>
            <w:rFonts w:ascii="FrankRuehl" w:hAnsi="FrankRuehl" w:cs="FrankRuehl"/>
            <w:color w:val="0000FF"/>
            <w:u w:val="single"/>
            <w:rtl/>
          </w:rPr>
          <w:t>7(ג)</w:t>
        </w:r>
      </w:hyperlink>
    </w:p>
    <w:p w14:paraId="58415155" w14:textId="77777777" w:rsidR="00D56A05" w:rsidRPr="00D56A05" w:rsidRDefault="00D56A05" w:rsidP="00D56A05">
      <w:pPr>
        <w:spacing w:after="120" w:line="240" w:lineRule="exact"/>
        <w:ind w:left="283" w:hanging="283"/>
        <w:jc w:val="both"/>
        <w:rPr>
          <w:rFonts w:ascii="FrankRuehl" w:hAnsi="FrankRuehl" w:cs="FrankRuehl"/>
          <w:rtl/>
        </w:rPr>
      </w:pPr>
      <w:hyperlink r:id="rId10" w:history="1">
        <w:r w:rsidRPr="00D56A05">
          <w:rPr>
            <w:rFonts w:ascii="FrankRuehl" w:hAnsi="FrankRuehl" w:cs="FrankRuehl"/>
            <w:color w:val="0000FF"/>
            <w:u w:val="single"/>
            <w:rtl/>
          </w:rPr>
          <w:t>חוק העונשין, תשל"ז-1977</w:t>
        </w:r>
      </w:hyperlink>
      <w:r w:rsidRPr="00D56A05">
        <w:rPr>
          <w:rFonts w:ascii="FrankRuehl" w:hAnsi="FrankRuehl" w:cs="FrankRuehl"/>
          <w:rtl/>
        </w:rPr>
        <w:t xml:space="preserve">: סע'  </w:t>
      </w:r>
      <w:hyperlink r:id="rId11" w:history="1">
        <w:r w:rsidRPr="00D56A05">
          <w:rPr>
            <w:rFonts w:ascii="FrankRuehl" w:hAnsi="FrankRuehl" w:cs="FrankRuehl"/>
            <w:color w:val="0000FF"/>
            <w:u w:val="single"/>
            <w:rtl/>
          </w:rPr>
          <w:t>40ג(א)</w:t>
        </w:r>
      </w:hyperlink>
    </w:p>
    <w:p w14:paraId="5CDA1374" w14:textId="77777777" w:rsidR="00D56A05" w:rsidRPr="00D56A05" w:rsidRDefault="00D56A05" w:rsidP="00D56A0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3EEC" w14:paraId="5E98D8C6" w14:textId="77777777">
        <w:trPr>
          <w:trHeight w:val="355"/>
          <w:jc w:val="center"/>
        </w:trPr>
        <w:tc>
          <w:tcPr>
            <w:tcW w:w="8820" w:type="dxa"/>
            <w:tcBorders>
              <w:top w:val="nil"/>
              <w:left w:val="nil"/>
              <w:bottom w:val="nil"/>
              <w:right w:val="nil"/>
            </w:tcBorders>
          </w:tcPr>
          <w:p w14:paraId="3529205C" w14:textId="77777777" w:rsidR="004A0FAE" w:rsidRPr="004A0FAE" w:rsidRDefault="004A0FAE" w:rsidP="004A0FAE">
            <w:pPr>
              <w:jc w:val="center"/>
              <w:rPr>
                <w:rFonts w:ascii="Arial" w:hAnsi="Arial" w:cs="FrankRuehl"/>
                <w:b/>
                <w:bCs/>
                <w:sz w:val="32"/>
                <w:szCs w:val="32"/>
                <w:u w:val="single"/>
                <w:rtl/>
              </w:rPr>
            </w:pPr>
            <w:bookmarkStart w:id="4" w:name="LawTable_End"/>
            <w:bookmarkStart w:id="5" w:name="PsakDin" w:colFirst="0" w:colLast="0"/>
            <w:bookmarkEnd w:id="0"/>
            <w:bookmarkEnd w:id="4"/>
            <w:r w:rsidRPr="004A0FAE">
              <w:rPr>
                <w:rFonts w:ascii="Arial" w:hAnsi="Arial" w:cs="FrankRuehl"/>
                <w:b/>
                <w:bCs/>
                <w:sz w:val="32"/>
                <w:szCs w:val="32"/>
                <w:u w:val="single"/>
                <w:rtl/>
              </w:rPr>
              <w:t>גזר דין</w:t>
            </w:r>
          </w:p>
          <w:p w14:paraId="05CB2D63" w14:textId="77777777" w:rsidR="00443EEC" w:rsidRPr="004A0FAE" w:rsidRDefault="00443EEC" w:rsidP="004A0FAE">
            <w:pPr>
              <w:jc w:val="center"/>
              <w:rPr>
                <w:rFonts w:ascii="Arial" w:hAnsi="Arial" w:cs="FrankRuehl"/>
                <w:b/>
                <w:bCs/>
                <w:sz w:val="32"/>
                <w:szCs w:val="32"/>
                <w:u w:val="single"/>
                <w:rtl/>
              </w:rPr>
            </w:pPr>
          </w:p>
        </w:tc>
      </w:tr>
      <w:bookmarkEnd w:id="5"/>
    </w:tbl>
    <w:p w14:paraId="28C10B68" w14:textId="77777777" w:rsidR="00443EEC" w:rsidRDefault="00443EEC">
      <w:pPr>
        <w:rPr>
          <w:rFonts w:ascii="Arial" w:hAnsi="Arial"/>
          <w:b/>
          <w:bCs/>
          <w:rtl/>
        </w:rPr>
      </w:pPr>
    </w:p>
    <w:p w14:paraId="10DF68B4" w14:textId="77777777" w:rsidR="00443EEC" w:rsidRDefault="00443EEC">
      <w:pPr>
        <w:rPr>
          <w:rFonts w:ascii="Arial" w:hAnsi="Arial"/>
          <w:b/>
          <w:bCs/>
          <w:rtl/>
        </w:rPr>
      </w:pPr>
    </w:p>
    <w:p w14:paraId="65C085A6" w14:textId="77777777" w:rsidR="00443EEC" w:rsidRDefault="004A0FAE">
      <w:pPr>
        <w:spacing w:line="360" w:lineRule="auto"/>
        <w:jc w:val="both"/>
        <w:rPr>
          <w:b/>
          <w:bCs/>
          <w:u w:val="single"/>
          <w:rtl/>
        </w:rPr>
      </w:pPr>
      <w:r>
        <w:rPr>
          <w:rFonts w:hint="cs"/>
          <w:b/>
          <w:bCs/>
          <w:u w:val="single"/>
          <w:rtl/>
        </w:rPr>
        <w:t>פתח דבר</w:t>
      </w:r>
    </w:p>
    <w:p w14:paraId="25D41D5A" w14:textId="77777777" w:rsidR="00443EEC" w:rsidRDefault="004A0FAE">
      <w:pPr>
        <w:spacing w:line="360" w:lineRule="auto"/>
        <w:jc w:val="both"/>
        <w:rPr>
          <w:b/>
          <w:bCs/>
          <w:rtl/>
        </w:rPr>
      </w:pPr>
      <w:bookmarkStart w:id="6" w:name="ABSTRACT_START"/>
      <w:bookmarkEnd w:id="6"/>
      <w:r>
        <w:rPr>
          <w:rFonts w:hint="cs"/>
          <w:b/>
          <w:bCs/>
          <w:rtl/>
        </w:rPr>
        <w:t xml:space="preserve">הנאשם הורשע, על פי הודאתו, במסגרת הסדר טיעון, בעבירות של גידול סמים מסוכנים, לפי </w:t>
      </w:r>
      <w:hyperlink r:id="rId12" w:history="1">
        <w:r w:rsidR="00D56A05" w:rsidRPr="00D56A05">
          <w:rPr>
            <w:b/>
            <w:bCs/>
            <w:color w:val="0000FF"/>
            <w:u w:val="single"/>
            <w:rtl/>
          </w:rPr>
          <w:t>סעיף 6</w:t>
        </w:r>
      </w:hyperlink>
      <w:r>
        <w:rPr>
          <w:rFonts w:hint="cs"/>
          <w:b/>
          <w:bCs/>
          <w:rtl/>
        </w:rPr>
        <w:t xml:space="preserve"> ל</w:t>
      </w:r>
      <w:hyperlink r:id="rId13" w:history="1">
        <w:r w:rsidRPr="004A0FAE">
          <w:rPr>
            <w:b/>
            <w:bCs/>
            <w:color w:val="0000FF"/>
            <w:u w:val="single"/>
            <w:rtl/>
          </w:rPr>
          <w:t>פקודת הסמים המסוכנים</w:t>
        </w:r>
      </w:hyperlink>
      <w:r>
        <w:rPr>
          <w:rFonts w:hint="cs"/>
          <w:b/>
          <w:bCs/>
          <w:rtl/>
        </w:rPr>
        <w:t xml:space="preserve"> [נוסח חדש], תשל"ג-1973 והחזקת סמים לצריכה עצמית, לפי </w:t>
      </w:r>
      <w:hyperlink r:id="rId14" w:history="1">
        <w:r w:rsidR="00D56A05" w:rsidRPr="00D56A05">
          <w:rPr>
            <w:b/>
            <w:bCs/>
            <w:color w:val="0000FF"/>
            <w:u w:val="single"/>
            <w:rtl/>
          </w:rPr>
          <w:t>סעיף 7(א)</w:t>
        </w:r>
      </w:hyperlink>
      <w:r>
        <w:rPr>
          <w:rFonts w:hint="cs"/>
          <w:b/>
          <w:bCs/>
          <w:rtl/>
        </w:rPr>
        <w:t xml:space="preserve"> + </w:t>
      </w:r>
      <w:hyperlink r:id="rId15" w:history="1">
        <w:r w:rsidR="00D56A05" w:rsidRPr="00D56A05">
          <w:rPr>
            <w:b/>
            <w:bCs/>
            <w:color w:val="0000FF"/>
            <w:u w:val="single"/>
            <w:rtl/>
          </w:rPr>
          <w:t>7(ג)</w:t>
        </w:r>
      </w:hyperlink>
      <w:r>
        <w:rPr>
          <w:rFonts w:hint="cs"/>
          <w:b/>
          <w:bCs/>
          <w:rtl/>
        </w:rPr>
        <w:t xml:space="preserve"> סיפא לפקודת הסמים המסוכנים [נוסח חדש], תשל"ג-1973.</w:t>
      </w:r>
    </w:p>
    <w:p w14:paraId="5576DCB0" w14:textId="77777777" w:rsidR="00443EEC" w:rsidRDefault="004A0FAE">
      <w:pPr>
        <w:spacing w:line="360" w:lineRule="auto"/>
        <w:jc w:val="both"/>
        <w:rPr>
          <w:b/>
          <w:bCs/>
          <w:rtl/>
        </w:rPr>
      </w:pPr>
      <w:r>
        <w:rPr>
          <w:rFonts w:hint="cs"/>
          <w:b/>
          <w:bCs/>
          <w:rtl/>
        </w:rPr>
        <w:t xml:space="preserve">על פי עובדות כתב האישום המתוקן, ביום 20.06.2011, גידל הנאשם בביתו כ- 27 שתילי סם מסוכן מסוג קנבוס וכן, החזיק בסם מסוכן מסוג קנבוס, ללא היתר מן המנהל, בהתאם לפירוט הבא: 10.3 גרם נטו בארון בגדיו; 29.1 גרם נטו במגירה בארון; 517.7 גרם נטו שתילי קנבוס; 8.6 גרם נטו בארון. </w:t>
      </w:r>
    </w:p>
    <w:p w14:paraId="4BFD215B" w14:textId="77777777" w:rsidR="00443EEC" w:rsidRDefault="00443EEC">
      <w:pPr>
        <w:spacing w:line="360" w:lineRule="auto"/>
        <w:jc w:val="both"/>
        <w:rPr>
          <w:b/>
          <w:bCs/>
          <w:rtl/>
        </w:rPr>
      </w:pPr>
      <w:bookmarkStart w:id="7" w:name="ABSTRACT_END"/>
      <w:bookmarkEnd w:id="7"/>
    </w:p>
    <w:p w14:paraId="48F57C98" w14:textId="77777777" w:rsidR="00443EEC" w:rsidRDefault="004A0FAE">
      <w:pPr>
        <w:spacing w:line="360" w:lineRule="auto"/>
        <w:jc w:val="both"/>
        <w:rPr>
          <w:b/>
          <w:bCs/>
          <w:u w:val="single"/>
          <w:rtl/>
        </w:rPr>
      </w:pPr>
      <w:r>
        <w:rPr>
          <w:rFonts w:hint="cs"/>
          <w:b/>
          <w:bCs/>
          <w:u w:val="single"/>
          <w:rtl/>
        </w:rPr>
        <w:t>הסדר הטיעון</w:t>
      </w:r>
    </w:p>
    <w:p w14:paraId="0CB9B993" w14:textId="77777777" w:rsidR="00443EEC" w:rsidRDefault="004A0FAE">
      <w:pPr>
        <w:spacing w:line="360" w:lineRule="auto"/>
        <w:jc w:val="both"/>
        <w:rPr>
          <w:b/>
          <w:bCs/>
          <w:rtl/>
        </w:rPr>
      </w:pPr>
      <w:r>
        <w:rPr>
          <w:rFonts w:hint="cs"/>
          <w:b/>
          <w:bCs/>
          <w:rtl/>
        </w:rPr>
        <w:t>על פי הסדר הטיעון אליו הגיעו באי כח הצדדים, הודה הנאשם בעבירות אשר יוחסו לו בכתב האישום המתוקן. הנאשם נשלח לשירות המבחן לצורך קבלת תסקיר וכן, לממונה על עבודות השירות לצורך קבלת חוות דעתו.</w:t>
      </w:r>
    </w:p>
    <w:p w14:paraId="4C10F486" w14:textId="77777777" w:rsidR="00443EEC" w:rsidRDefault="004A0FAE">
      <w:pPr>
        <w:spacing w:line="360" w:lineRule="auto"/>
        <w:jc w:val="both"/>
        <w:rPr>
          <w:b/>
          <w:bCs/>
          <w:rtl/>
        </w:rPr>
      </w:pPr>
      <w:r>
        <w:rPr>
          <w:rFonts w:hint="cs"/>
          <w:b/>
          <w:bCs/>
          <w:rtl/>
        </w:rPr>
        <w:lastRenderedPageBreak/>
        <w:t xml:space="preserve">בהתאם להסדר הטיעון, ומאחר שהתסקיר שהתקבל בעניינו של הנאשם היה חיובי בהתאם לפרמטרים שהוחלט עליהם, עתרה התביעה  לעונש של שלושה חודשי מאסר בפועל אשר ירוצו בדרך של עבודות שירות, מאסר מותנה, קנס, פסילת רישיון נהיגה בפועל ופסילת רישיון נהיגה מותנית ואילו, ההגנה עתרה לביטול ההרשעה ולהטלת צו של"צ. </w:t>
      </w:r>
    </w:p>
    <w:p w14:paraId="41819464" w14:textId="77777777" w:rsidR="00443EEC" w:rsidRDefault="00443EEC">
      <w:pPr>
        <w:spacing w:line="360" w:lineRule="auto"/>
        <w:jc w:val="both"/>
        <w:rPr>
          <w:b/>
          <w:bCs/>
          <w:rtl/>
        </w:rPr>
      </w:pPr>
    </w:p>
    <w:p w14:paraId="2326A6C2" w14:textId="77777777" w:rsidR="00443EEC" w:rsidRDefault="004A0FAE">
      <w:pPr>
        <w:spacing w:line="360" w:lineRule="auto"/>
        <w:jc w:val="both"/>
        <w:rPr>
          <w:b/>
          <w:bCs/>
          <w:u w:val="single"/>
          <w:rtl/>
        </w:rPr>
      </w:pPr>
      <w:r>
        <w:rPr>
          <w:rFonts w:hint="cs"/>
          <w:b/>
          <w:bCs/>
          <w:u w:val="single"/>
          <w:rtl/>
        </w:rPr>
        <w:t>טיעוני המאשימה</w:t>
      </w:r>
    </w:p>
    <w:p w14:paraId="1CD81F92" w14:textId="77777777" w:rsidR="00443EEC" w:rsidRDefault="004A0FAE">
      <w:pPr>
        <w:spacing w:line="360" w:lineRule="auto"/>
        <w:jc w:val="both"/>
        <w:rPr>
          <w:b/>
          <w:bCs/>
          <w:rtl/>
        </w:rPr>
      </w:pPr>
      <w:r>
        <w:rPr>
          <w:rFonts w:hint="cs"/>
          <w:b/>
          <w:bCs/>
          <w:rtl/>
        </w:rPr>
        <w:t xml:space="preserve">ב"כ המאשימה הדגישה בטיעוניה לעונש חומרת מעשיו של הנאשם. לגישת המאשימה, התסקיר שהתקבל מאת שירות המבחן בנוגע לנאשם הינו אכן תסקיר חיובי בפרמטרים שנקבעו מבעוד מועד בין הצדדים, אך לנוכח כמות שתילי הסם המסוכן שגידל הנאשם ולנוכח השימוש ארוך השנים של הנאשם בסמים, כפי הצהרתו בפני שירות המבחן, לא ניתן להסכים להמלצת שירות המבחן להטלת צו של"צ ללא הרשעה בדין. ב"כ המאשימה הדגישה הצורך בלחימה בנגע הסמים ובענישת כל חוליה בשרשרת הפצת הסם. להטלת ענישה מוחשית חשיבות מכרעת הן בפן החינוכי-הרתעתי והן משום הצורך להגן על ערכי בטחון ושלום הציבור. </w:t>
      </w:r>
    </w:p>
    <w:p w14:paraId="2A3FD545" w14:textId="77777777" w:rsidR="00443EEC" w:rsidRDefault="004A0FAE">
      <w:pPr>
        <w:spacing w:line="360" w:lineRule="auto"/>
        <w:jc w:val="both"/>
        <w:rPr>
          <w:b/>
          <w:bCs/>
          <w:rtl/>
        </w:rPr>
      </w:pPr>
      <w:r>
        <w:rPr>
          <w:rFonts w:hint="cs"/>
          <w:b/>
          <w:bCs/>
          <w:rtl/>
        </w:rPr>
        <w:t>ב"כ המאשימה הדגישה כי עתירתה מאזנת בין השיקולים הציבוריים לבין נסיבותיו האישיות של הנאשם, ובכללן העובדה כי הוא נעדר עבר פלילי, כי הודאתו חסכה זמן שיפוטי יקר וכי התסקיר בעניינו חיובי. על כן, עתרה, כאמור, להטיל על הנאשם עונש של שלושה חודשי מאסר בפועל אשר ירוצו בדרך של עבודות שירות, מאסר מותנה, קנס, פסילת רישיון נהיגה בפועל ופסילת רישיון נהיגה מותנית. המאשימה תמכה עתירתה בפסיקה שיצאה מלפני בתי המשפט.</w:t>
      </w:r>
    </w:p>
    <w:p w14:paraId="6DE57881" w14:textId="77777777" w:rsidR="00443EEC" w:rsidRDefault="00443EEC">
      <w:pPr>
        <w:spacing w:line="360" w:lineRule="auto"/>
        <w:jc w:val="both"/>
        <w:rPr>
          <w:b/>
          <w:bCs/>
          <w:rtl/>
        </w:rPr>
      </w:pPr>
    </w:p>
    <w:p w14:paraId="174CCECC" w14:textId="77777777" w:rsidR="00443EEC" w:rsidRDefault="004A0FAE">
      <w:pPr>
        <w:spacing w:line="360" w:lineRule="auto"/>
        <w:jc w:val="both"/>
        <w:rPr>
          <w:b/>
          <w:bCs/>
          <w:u w:val="single"/>
          <w:rtl/>
        </w:rPr>
      </w:pPr>
      <w:r>
        <w:rPr>
          <w:rFonts w:hint="cs"/>
          <w:b/>
          <w:bCs/>
          <w:u w:val="single"/>
          <w:rtl/>
        </w:rPr>
        <w:t>טיעוני ההגנה</w:t>
      </w:r>
    </w:p>
    <w:p w14:paraId="78A62B2B" w14:textId="77777777" w:rsidR="00443EEC" w:rsidRDefault="004A0FAE">
      <w:pPr>
        <w:spacing w:line="360" w:lineRule="auto"/>
        <w:jc w:val="both"/>
        <w:rPr>
          <w:b/>
          <w:bCs/>
          <w:rtl/>
        </w:rPr>
      </w:pPr>
      <w:r>
        <w:rPr>
          <w:rFonts w:hint="cs"/>
          <w:b/>
          <w:bCs/>
          <w:rtl/>
        </w:rPr>
        <w:t xml:space="preserve">ב"כ הנאשם הדגיש בטיעוניו לעונש את נסיבותיו האישיות של הנאשם הסובל מהפרעת קשב קשה. הנאשם חיפש דרך להפחית את הסימפטומים הקשים מהם סבל, כתוצאה מהפרעת הקשב ולכן, עשה שימוש בסמים. אולם, מעבר לשימוש עצמי, לא נעשה בסמים כל שימוש אחר.  הנאשם החליט, על מנת שלא לבוא במגע עם עבריינים, כי יגדל לעצמו את הסם ואכן, כך עשה. </w:t>
      </w:r>
    </w:p>
    <w:p w14:paraId="19D30044" w14:textId="77777777" w:rsidR="00443EEC" w:rsidRDefault="004A0FAE">
      <w:pPr>
        <w:spacing w:line="360" w:lineRule="auto"/>
        <w:jc w:val="both"/>
        <w:rPr>
          <w:b/>
          <w:bCs/>
          <w:rtl/>
        </w:rPr>
      </w:pPr>
      <w:r>
        <w:rPr>
          <w:rFonts w:hint="cs"/>
          <w:b/>
          <w:bCs/>
          <w:rtl/>
        </w:rPr>
        <w:t>הנאשם אדם נורמטיבי אשר סיים לימודיו ושירת שירות צבאי מלא. אין המעשים מאפיינים את אורחות חייו כלל ועיקר. שירות המבחן התרשם גם הוא מאדם חיובי ונורמטיבי. מיד לאחר האירוע, השתלב הנאשם בטיפול וחדל מלעשות שימוש בסמים. הנאשם נטל אחריות על מעשיו ומצר על התנהלותו.</w:t>
      </w:r>
    </w:p>
    <w:p w14:paraId="4EBDFD0E" w14:textId="77777777" w:rsidR="00443EEC" w:rsidRDefault="004A0FAE">
      <w:pPr>
        <w:spacing w:line="360" w:lineRule="auto"/>
        <w:jc w:val="both"/>
        <w:rPr>
          <w:b/>
          <w:bCs/>
          <w:rtl/>
        </w:rPr>
      </w:pPr>
      <w:r>
        <w:rPr>
          <w:rFonts w:hint="cs"/>
          <w:b/>
          <w:bCs/>
          <w:rtl/>
        </w:rPr>
        <w:t>הרשעתו של הנאשם עלולה להוביל לפיטוריו ממקום עבודתו ובכך יתקיים התנאי אשר נקבע בהלכת כתב לפגיעה מוחשית וברורה באם יורשע הנאשם.</w:t>
      </w:r>
    </w:p>
    <w:p w14:paraId="69A1DF72" w14:textId="77777777" w:rsidR="00443EEC" w:rsidRDefault="004A0FAE">
      <w:pPr>
        <w:spacing w:line="360" w:lineRule="auto"/>
        <w:jc w:val="both"/>
        <w:rPr>
          <w:b/>
          <w:bCs/>
          <w:rtl/>
        </w:rPr>
      </w:pPr>
      <w:r>
        <w:rPr>
          <w:rFonts w:hint="cs"/>
          <w:b/>
          <w:bCs/>
          <w:rtl/>
        </w:rPr>
        <w:t>עוד הפנה ב"כ הנאשם לחלוף הזמן מעת ביצוע העבירה ולעובדה כי כשהגיעו השוטרים לבצע החיפוש בביתו והנאשם נשאל אם יש דבר מה שאינו חוקי בבית, מיד השיב בחיוב והצביע על הסמים. ב"כ המאשימה עתר לבטל את הרשעתו של הנאשם ולהטיל עליו צו של"צ. עתירה זו נתמכה בפסיקה אשר יצאה תחת ידי בתי המשפט.</w:t>
      </w:r>
    </w:p>
    <w:p w14:paraId="0205FEB2" w14:textId="77777777" w:rsidR="00443EEC" w:rsidRDefault="00443EEC">
      <w:pPr>
        <w:spacing w:line="360" w:lineRule="auto"/>
        <w:jc w:val="both"/>
        <w:rPr>
          <w:b/>
          <w:bCs/>
          <w:rtl/>
        </w:rPr>
      </w:pPr>
    </w:p>
    <w:p w14:paraId="3B08A3D1" w14:textId="77777777" w:rsidR="00443EEC" w:rsidRDefault="004A0FAE">
      <w:pPr>
        <w:spacing w:line="360" w:lineRule="auto"/>
        <w:jc w:val="both"/>
        <w:rPr>
          <w:b/>
          <w:bCs/>
          <w:u w:val="single"/>
          <w:rtl/>
        </w:rPr>
      </w:pPr>
      <w:r>
        <w:rPr>
          <w:rFonts w:hint="cs"/>
          <w:b/>
          <w:bCs/>
          <w:u w:val="single"/>
          <w:rtl/>
        </w:rPr>
        <w:lastRenderedPageBreak/>
        <w:t>תסקיר שירות המבחן</w:t>
      </w:r>
    </w:p>
    <w:p w14:paraId="558168C3" w14:textId="77777777" w:rsidR="00443EEC" w:rsidRDefault="004A0FAE">
      <w:pPr>
        <w:spacing w:line="360" w:lineRule="auto"/>
        <w:jc w:val="both"/>
        <w:rPr>
          <w:b/>
          <w:bCs/>
          <w:rtl/>
        </w:rPr>
      </w:pPr>
      <w:r>
        <w:rPr>
          <w:rFonts w:hint="cs"/>
          <w:b/>
          <w:bCs/>
          <w:rtl/>
        </w:rPr>
        <w:t>תסקיר שירות המבחן  גולל  את קורות חייו של הנאשם. הנאשם בן 35 שנים, רווק, מתגורר בבית הוריו במושב קדרון, שירת שירות צבאי מלא ועובד בתחום האינפוגרפיקה בעיתון.</w:t>
      </w:r>
    </w:p>
    <w:p w14:paraId="609CD788" w14:textId="77777777" w:rsidR="00443EEC" w:rsidRDefault="004A0FAE">
      <w:pPr>
        <w:spacing w:line="360" w:lineRule="auto"/>
        <w:jc w:val="both"/>
        <w:rPr>
          <w:b/>
          <w:bCs/>
          <w:rtl/>
        </w:rPr>
      </w:pPr>
      <w:r>
        <w:rPr>
          <w:rFonts w:hint="cs"/>
          <w:b/>
          <w:bCs/>
          <w:rtl/>
        </w:rPr>
        <w:t xml:space="preserve">בהתאם לממצאי אבחון פסיכיאטרי נוירולוגי, אובחן כסובל מהפרעת קשב וריכוז. </w:t>
      </w:r>
    </w:p>
    <w:p w14:paraId="7C055C50" w14:textId="77777777" w:rsidR="00443EEC" w:rsidRDefault="004A0FAE">
      <w:pPr>
        <w:spacing w:line="360" w:lineRule="auto"/>
        <w:jc w:val="both"/>
        <w:rPr>
          <w:b/>
          <w:bCs/>
          <w:rtl/>
        </w:rPr>
      </w:pPr>
      <w:r>
        <w:rPr>
          <w:rFonts w:hint="cs"/>
          <w:b/>
          <w:bCs/>
          <w:rtl/>
        </w:rPr>
        <w:t>בגיל 29, בתקופת לימודיו, החל הנאשם להשתמש בסמים באופן ארעי ומזדמן. השימוש בסמים סייע לנאשם להתמודד עם מטלותיו הלימודיות ולשפר את יכולת הריכוז והמיקוד שלו. הנאשם גידל את הסמים לשימושו העצמי וזאת על מנת לא להיות מעורב בחברה שולית ועבריינית. הביע צער על ביצוע העבירות וכיום, בדיקות השתן שמסר מעידות כי הוא לא משתמש בסמים.</w:t>
      </w:r>
    </w:p>
    <w:p w14:paraId="74B35615" w14:textId="77777777" w:rsidR="00443EEC" w:rsidRDefault="004A0FAE">
      <w:pPr>
        <w:spacing w:line="360" w:lineRule="auto"/>
        <w:jc w:val="both"/>
        <w:rPr>
          <w:b/>
          <w:bCs/>
          <w:rtl/>
        </w:rPr>
      </w:pPr>
      <w:r>
        <w:rPr>
          <w:rFonts w:hint="cs"/>
          <w:b/>
          <w:bCs/>
          <w:rtl/>
        </w:rPr>
        <w:t>הנאשם השתלב בטיפול פסיכולוגי אשר ממנו עולה כי הפרעת הקשב ממנה סובל הנאשם ניכרת ומשליכה על כל תחומי חייו. הנאשם ניסה להתמודד עם הפרעת הקשב על ידי שימוש בסמים וכיום, משקיע מאמצים לקידום חייו בדרכים מותאמות.</w:t>
      </w:r>
    </w:p>
    <w:p w14:paraId="1EFA488F" w14:textId="77777777" w:rsidR="00443EEC" w:rsidRDefault="004A0FAE">
      <w:pPr>
        <w:spacing w:line="360" w:lineRule="auto"/>
        <w:jc w:val="both"/>
        <w:rPr>
          <w:b/>
          <w:bCs/>
          <w:rtl/>
        </w:rPr>
      </w:pPr>
      <w:r>
        <w:rPr>
          <w:rFonts w:hint="cs"/>
          <w:b/>
          <w:bCs/>
          <w:rtl/>
        </w:rPr>
        <w:t>שירות המבחן התרשם מאדם בעל יכולות חשיבה גבוהות אשר אינו מצליח להביאן לידי ביטוי ולכן, חש תסכול וחולשה. גידול הסמים, לדעת שירות המבחן, היווה ניסיון מצד הנאשם להעלאת דימויו העצמי ובטחונו העצמי.</w:t>
      </w:r>
    </w:p>
    <w:p w14:paraId="02BE6334" w14:textId="77777777" w:rsidR="00443EEC" w:rsidRDefault="004A0FAE">
      <w:pPr>
        <w:spacing w:line="360" w:lineRule="auto"/>
        <w:jc w:val="both"/>
        <w:rPr>
          <w:b/>
          <w:bCs/>
          <w:rtl/>
        </w:rPr>
      </w:pPr>
      <w:r>
        <w:rPr>
          <w:rFonts w:hint="cs"/>
          <w:b/>
          <w:bCs/>
          <w:rtl/>
        </w:rPr>
        <w:t>עם זאת, ציין שירות המבחן כי זו לו הסתבכותו הראשונה עם החוק. מאז ביצוע העבירות, לא נפתחו לנאשם תיקים נוספים וניכר כי הוא משתלב בצורה מיטיבה בטיפול, באופן המצמצם להערכת שירות המבחן את הסיכון להישנות עבירות.</w:t>
      </w:r>
    </w:p>
    <w:p w14:paraId="5CF07FC8" w14:textId="77777777" w:rsidR="00443EEC" w:rsidRDefault="004A0FAE">
      <w:pPr>
        <w:spacing w:line="360" w:lineRule="auto"/>
        <w:jc w:val="both"/>
        <w:rPr>
          <w:b/>
          <w:bCs/>
          <w:rtl/>
        </w:rPr>
      </w:pPr>
      <w:r>
        <w:rPr>
          <w:rFonts w:hint="cs"/>
          <w:b/>
          <w:bCs/>
          <w:rtl/>
        </w:rPr>
        <w:t>שירות המבחן המליץ על סיומו של ההליך ללא הרשעה, משזו עלולה להוביל לפיטוריו של הנאשם ולפגוע בהישגיו הטיפוליים. הטלת צו של"צ בהיקף נרחב של 350 שעות יהווה גורם מרתיע ומציב גבול לנאשם.</w:t>
      </w:r>
    </w:p>
    <w:p w14:paraId="1162F6D9" w14:textId="77777777" w:rsidR="00443EEC" w:rsidRDefault="00443EEC">
      <w:pPr>
        <w:spacing w:line="360" w:lineRule="auto"/>
        <w:jc w:val="both"/>
        <w:rPr>
          <w:b/>
          <w:bCs/>
          <w:rtl/>
        </w:rPr>
      </w:pPr>
    </w:p>
    <w:p w14:paraId="1CA4AF7C" w14:textId="77777777" w:rsidR="00443EEC" w:rsidRDefault="004A0FAE">
      <w:pPr>
        <w:spacing w:line="360" w:lineRule="auto"/>
        <w:jc w:val="both"/>
        <w:rPr>
          <w:b/>
          <w:bCs/>
          <w:u w:val="single"/>
          <w:rtl/>
        </w:rPr>
      </w:pPr>
      <w:r>
        <w:rPr>
          <w:rFonts w:hint="cs"/>
          <w:b/>
          <w:bCs/>
          <w:u w:val="single"/>
          <w:rtl/>
        </w:rPr>
        <w:t>דיון</w:t>
      </w:r>
    </w:p>
    <w:p w14:paraId="74ECFAEA" w14:textId="77777777" w:rsidR="00443EEC" w:rsidRDefault="004A0FAE">
      <w:pPr>
        <w:spacing w:line="360" w:lineRule="auto"/>
        <w:jc w:val="both"/>
        <w:rPr>
          <w:b/>
          <w:bCs/>
          <w:rtl/>
        </w:rPr>
      </w:pPr>
      <w:r>
        <w:rPr>
          <w:rFonts w:hint="cs"/>
          <w:b/>
          <w:bCs/>
          <w:rtl/>
        </w:rPr>
        <w:t xml:space="preserve">בבוא בית המשפט לגזור את דינו של הנאשם, בשלב הראשון, עליו לקבוע את מתחם העונש ההולם. בהתאם </w:t>
      </w:r>
      <w:hyperlink r:id="rId16" w:history="1">
        <w:r w:rsidR="00D56A05" w:rsidRPr="00D56A05">
          <w:rPr>
            <w:b/>
            <w:bCs/>
            <w:color w:val="0000FF"/>
            <w:u w:val="single"/>
            <w:rtl/>
          </w:rPr>
          <w:t>לסעיף 40ג(א)</w:t>
        </w:r>
      </w:hyperlink>
      <w:r>
        <w:rPr>
          <w:rFonts w:hint="cs"/>
          <w:b/>
          <w:bCs/>
          <w:rtl/>
        </w:rPr>
        <w:t xml:space="preserve"> ל</w:t>
      </w:r>
      <w:hyperlink r:id="rId17" w:history="1">
        <w:r w:rsidRPr="004A0FAE">
          <w:rPr>
            <w:b/>
            <w:bCs/>
            <w:color w:val="0000FF"/>
            <w:u w:val="single"/>
            <w:rtl/>
          </w:rPr>
          <w:t>חוק העונשין</w:t>
        </w:r>
      </w:hyperlink>
      <w:r>
        <w:rPr>
          <w:rFonts w:hint="cs"/>
          <w:b/>
          <w:bCs/>
          <w:rtl/>
        </w:rPr>
        <w:t>, מתחם העונש ההולם יקבע בהתאם לעקרון ההלימה, תוך התחשבות בערך החברתי שנפגע, במידת הפגיעה בו, בנסיבות הקשורות בביצוע העבירה ובמדיניות הענישה הנהוגה. בשלב השני, על בית המשפט לשקול שיקולים ונסיבות אשר אינן חלק מביצוע העבירה בה הורשע הנאשם.</w:t>
      </w:r>
    </w:p>
    <w:p w14:paraId="4262DF2A" w14:textId="77777777" w:rsidR="00443EEC" w:rsidRDefault="004A0FAE">
      <w:pPr>
        <w:spacing w:line="360" w:lineRule="auto"/>
        <w:jc w:val="both"/>
        <w:rPr>
          <w:b/>
          <w:bCs/>
          <w:noProof/>
          <w:rtl/>
        </w:rPr>
      </w:pPr>
      <w:r>
        <w:rPr>
          <w:rFonts w:hint="cs"/>
          <w:b/>
          <w:bCs/>
          <w:rtl/>
        </w:rPr>
        <w:t xml:space="preserve">העבירות בהן הורשע הנאשם הינן חמורות. פגיעתן בערכים המוגנים אינה מבוטלת כלל ועיקר. </w:t>
      </w:r>
      <w:r>
        <w:rPr>
          <w:rFonts w:hint="cs"/>
          <w:b/>
          <w:bCs/>
          <w:noProof/>
          <w:rtl/>
        </w:rPr>
        <w:t xml:space="preserve">רבות נכתב אודות נגע הפצת סמים מסוכנים ועל הצורך לבערו באמצעות ענישה מחמירה ומרתיעה (ראה למשל, </w:t>
      </w:r>
      <w:hyperlink r:id="rId18" w:history="1">
        <w:r w:rsidRPr="004A0FAE">
          <w:rPr>
            <w:b/>
            <w:bCs/>
            <w:noProof/>
            <w:color w:val="0000FF"/>
            <w:u w:val="single"/>
            <w:rtl/>
          </w:rPr>
          <w:t>ת"פ 18306-12-09</w:t>
        </w:r>
      </w:hyperlink>
      <w:r>
        <w:rPr>
          <w:rFonts w:hint="cs"/>
          <w:b/>
          <w:bCs/>
          <w:noProof/>
          <w:rtl/>
        </w:rPr>
        <w:t xml:space="preserve"> מדינת ישראל נ' סאמר פח'ר אלדין ואח' (נבו, 3.4.2011); </w:t>
      </w:r>
      <w:hyperlink r:id="rId19" w:history="1">
        <w:r w:rsidRPr="004A0FAE">
          <w:rPr>
            <w:b/>
            <w:bCs/>
            <w:noProof/>
            <w:color w:val="0000FF"/>
            <w:u w:val="single"/>
            <w:rtl/>
          </w:rPr>
          <w:t>ע"פ 2000/06</w:t>
        </w:r>
      </w:hyperlink>
      <w:r>
        <w:rPr>
          <w:rFonts w:hint="cs"/>
          <w:b/>
          <w:bCs/>
          <w:noProof/>
          <w:rtl/>
        </w:rPr>
        <w:t xml:space="preserve"> מדינת ישראל נ' ויצמן (נבו, 20.7.2006)).</w:t>
      </w:r>
    </w:p>
    <w:p w14:paraId="66182758" w14:textId="77777777" w:rsidR="00443EEC" w:rsidRDefault="004A0FAE">
      <w:pPr>
        <w:spacing w:line="360" w:lineRule="auto"/>
        <w:jc w:val="both"/>
        <w:rPr>
          <w:b/>
          <w:bCs/>
          <w:rtl/>
        </w:rPr>
      </w:pPr>
      <w:r>
        <w:rPr>
          <w:rFonts w:hint="cs"/>
          <w:b/>
          <w:bCs/>
          <w:rtl/>
        </w:rPr>
        <w:t>משכך, ובהתאם לענישה הנוהגת בעבירות מעין אלה, מצאתי כי מתחם העונש ההולם שהוצג על ידי המאשימה ראוי.</w:t>
      </w:r>
    </w:p>
    <w:p w14:paraId="47AA5A0C" w14:textId="77777777" w:rsidR="00443EEC" w:rsidRDefault="00443EEC">
      <w:pPr>
        <w:spacing w:line="360" w:lineRule="auto"/>
        <w:jc w:val="both"/>
        <w:rPr>
          <w:b/>
          <w:bCs/>
          <w:noProof/>
          <w:rtl/>
        </w:rPr>
      </w:pPr>
    </w:p>
    <w:p w14:paraId="6D4D5A98" w14:textId="77777777" w:rsidR="00443EEC" w:rsidRDefault="004A0FAE">
      <w:pPr>
        <w:spacing w:line="360" w:lineRule="auto"/>
        <w:jc w:val="both"/>
        <w:rPr>
          <w:b/>
          <w:bCs/>
          <w:noProof/>
          <w:rtl/>
        </w:rPr>
      </w:pPr>
      <w:r>
        <w:rPr>
          <w:rFonts w:hint="cs"/>
          <w:b/>
          <w:bCs/>
          <w:noProof/>
          <w:rtl/>
        </w:rPr>
        <w:t>המלצת שירות המבחן לעתירת ב"כ הנאשם לביטול הרשעתו של הנאשם אינה עולה בקנה אחד עם האינטרס הציבורי וכן, עם מדיניות הענישה הנהוגה.</w:t>
      </w:r>
    </w:p>
    <w:p w14:paraId="4B996A0F" w14:textId="77777777" w:rsidR="00443EEC" w:rsidRDefault="004A0FAE">
      <w:pPr>
        <w:spacing w:before="100" w:beforeAutospacing="1" w:after="100" w:afterAutospacing="1" w:line="360" w:lineRule="auto"/>
        <w:jc w:val="both"/>
        <w:rPr>
          <w:b/>
          <w:bCs/>
          <w:rtl/>
        </w:rPr>
      </w:pPr>
      <w:r>
        <w:rPr>
          <w:rFonts w:hint="cs"/>
          <w:b/>
          <w:bCs/>
          <w:rtl/>
        </w:rPr>
        <w:t>ב</w:t>
      </w:r>
      <w:hyperlink r:id="rId20" w:history="1">
        <w:r w:rsidRPr="004A0FAE">
          <w:rPr>
            <w:b/>
            <w:bCs/>
            <w:color w:val="0000FF"/>
            <w:u w:val="single"/>
            <w:rtl/>
          </w:rPr>
          <w:t>ע"פ  2083/96 תמר כתב נ' מדינת ישראל, פ"ד נב</w:t>
        </w:r>
      </w:hyperlink>
      <w:r>
        <w:rPr>
          <w:rFonts w:hint="cs"/>
          <w:b/>
          <w:bCs/>
          <w:rtl/>
        </w:rPr>
        <w:t xml:space="preserve">(3) 337, נקבע כך: </w:t>
      </w:r>
    </w:p>
    <w:p w14:paraId="5786B091" w14:textId="77777777" w:rsidR="00443EEC" w:rsidRDefault="004A0FAE">
      <w:pPr>
        <w:spacing w:line="360" w:lineRule="auto"/>
        <w:ind w:left="973" w:right="1276"/>
        <w:jc w:val="both"/>
        <w:rPr>
          <w:b/>
          <w:bCs/>
          <w:noProof/>
          <w:rtl/>
        </w:rPr>
      </w:pPr>
      <w:r>
        <w:rPr>
          <w:rFonts w:hint="cs"/>
          <w:b/>
          <w:bCs/>
          <w:noProof/>
          <w:rtl/>
        </w:rPr>
        <w:t xml:space="preserve">"...הימנעות מהרשעה אפשרית אפוא בהצטבר שני גורמים: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 </w:t>
      </w:r>
    </w:p>
    <w:p w14:paraId="653092D3" w14:textId="77777777" w:rsidR="00443EEC" w:rsidRDefault="00443EEC">
      <w:pPr>
        <w:spacing w:line="360" w:lineRule="auto"/>
        <w:jc w:val="both"/>
        <w:rPr>
          <w:b/>
          <w:bCs/>
          <w:noProof/>
          <w:rtl/>
        </w:rPr>
      </w:pPr>
    </w:p>
    <w:p w14:paraId="137D94ED" w14:textId="77777777" w:rsidR="00443EEC" w:rsidRDefault="00443EEC">
      <w:pPr>
        <w:spacing w:line="360" w:lineRule="auto"/>
        <w:jc w:val="both"/>
        <w:rPr>
          <w:b/>
          <w:bCs/>
          <w:noProof/>
          <w:rtl/>
        </w:rPr>
      </w:pPr>
    </w:p>
    <w:p w14:paraId="53C70DA1" w14:textId="77777777" w:rsidR="00443EEC" w:rsidRDefault="004A0FAE">
      <w:pPr>
        <w:spacing w:line="360" w:lineRule="auto"/>
        <w:jc w:val="both"/>
        <w:rPr>
          <w:b/>
          <w:bCs/>
          <w:noProof/>
          <w:rtl/>
        </w:rPr>
      </w:pPr>
      <w:r>
        <w:rPr>
          <w:rFonts w:hint="cs"/>
          <w:b/>
          <w:bCs/>
          <w:noProof/>
          <w:rtl/>
        </w:rPr>
        <w:t>לא בכדי מצא המחוקק לקבוע בצד עבירת גידול סמים מסוכנים עונש מירבי של 20 שנות מאסר. הנאשם גידל 27 שתילים מסוג קנבוס אשר משקלם הכולל עמד על כ- 517.7 גרם נטו. מדובר בכמות שאינה מבוטלת כלל. לא רק זאת, אלא שהנאשם אף החזיק בביתו כ- 48 גרם נטו של סמים. יש בכך כדי להדגיש את חומרתן הרבה של העבירות בהן הורשע הנאשם ואת פוטנציאל הנזק הגלום בהן לחברה.</w:t>
      </w:r>
    </w:p>
    <w:p w14:paraId="1662C8E9" w14:textId="77777777" w:rsidR="00443EEC" w:rsidRDefault="00443EEC">
      <w:pPr>
        <w:spacing w:line="360" w:lineRule="auto"/>
        <w:jc w:val="both"/>
        <w:rPr>
          <w:b/>
          <w:bCs/>
          <w:noProof/>
          <w:rtl/>
        </w:rPr>
      </w:pPr>
    </w:p>
    <w:p w14:paraId="66C249F1" w14:textId="77777777" w:rsidR="00443EEC" w:rsidRDefault="004A0FAE">
      <w:pPr>
        <w:spacing w:line="360" w:lineRule="auto"/>
        <w:jc w:val="both"/>
        <w:rPr>
          <w:b/>
          <w:bCs/>
          <w:noProof/>
          <w:rtl/>
        </w:rPr>
      </w:pPr>
      <w:r>
        <w:rPr>
          <w:rFonts w:hint="cs"/>
          <w:b/>
          <w:bCs/>
          <w:noProof/>
          <w:rtl/>
        </w:rPr>
        <w:t>ביטול הרשעתו של הנאשם, במקרה דנן, יפגע באופן מהותי בשיקולי ההרתעה. הנאשם אמנם נעדר כל עבר פלילי, סובל מהפרעת קשב קשה, הודה בהזדמנות הראשונה במעשים, חסך זמן שיפוטי יקר והעדת עדים. אולם, חומרתן של העבירות בהן הורשע מחייבת העדפת האינטרס הציבורי על פני האינטרס האישי של הנאשם.</w:t>
      </w:r>
    </w:p>
    <w:p w14:paraId="469B7E56" w14:textId="77777777" w:rsidR="00443EEC" w:rsidRDefault="00443EEC">
      <w:pPr>
        <w:spacing w:line="360" w:lineRule="auto"/>
        <w:jc w:val="both"/>
        <w:rPr>
          <w:b/>
          <w:bCs/>
          <w:noProof/>
          <w:rtl/>
        </w:rPr>
      </w:pPr>
    </w:p>
    <w:p w14:paraId="564A96A3" w14:textId="77777777" w:rsidR="00443EEC" w:rsidRDefault="004A0FAE">
      <w:pPr>
        <w:spacing w:line="360" w:lineRule="auto"/>
        <w:jc w:val="both"/>
        <w:rPr>
          <w:b/>
          <w:bCs/>
          <w:noProof/>
          <w:rtl/>
        </w:rPr>
      </w:pPr>
      <w:r>
        <w:rPr>
          <w:rFonts w:hint="cs"/>
          <w:b/>
          <w:bCs/>
          <w:noProof/>
          <w:rtl/>
        </w:rPr>
        <w:t xml:space="preserve">עוד אציין לענין זה כי אף התקשיתי עד מאוד לקבל את הסברו של הנאשם ושל בא כוחו באשר לשימוש בסמים  כשימוש לצריכה עצמית בשל הפרעת הקשב והריכוז וכטיפול בסימפטומים של הפרעה זו. עינינו הרואות כי הנאשם סיים את חוק לימודיו כראוי , כי הוא שרת שירות צבאי מלא וכי הוא עובד בעבודה ראויה ובאופן נורמטיבי ויש להניח כי הוא עשה כל אלה וממשיך לעשות שלא תחת השפעה קבועה של סמים. </w:t>
      </w:r>
    </w:p>
    <w:p w14:paraId="0681CC8D" w14:textId="77777777" w:rsidR="00443EEC" w:rsidRDefault="00443EEC">
      <w:pPr>
        <w:spacing w:line="360" w:lineRule="auto"/>
        <w:jc w:val="both"/>
        <w:rPr>
          <w:b/>
          <w:bCs/>
          <w:noProof/>
          <w:rtl/>
        </w:rPr>
      </w:pPr>
    </w:p>
    <w:p w14:paraId="3C90EED3" w14:textId="77777777" w:rsidR="00443EEC" w:rsidRDefault="004A0FAE">
      <w:pPr>
        <w:spacing w:line="360" w:lineRule="auto"/>
        <w:jc w:val="both"/>
        <w:rPr>
          <w:b/>
          <w:bCs/>
          <w:noProof/>
          <w:rtl/>
        </w:rPr>
      </w:pPr>
      <w:r>
        <w:rPr>
          <w:rFonts w:hint="cs"/>
          <w:b/>
          <w:bCs/>
          <w:noProof/>
          <w:rtl/>
        </w:rPr>
        <w:t xml:space="preserve">משכך, לא מתקיימים התנאים שנקבעו בהלכת "כתב" ושאלת הפגיעה המוחשית והקונקרטית בנאשם, וליתר דיוק, בעיסוקו – אינה רלוונטית כאן. </w:t>
      </w:r>
    </w:p>
    <w:p w14:paraId="1F26F7EF" w14:textId="77777777" w:rsidR="00443EEC" w:rsidRDefault="004A0FAE">
      <w:pPr>
        <w:spacing w:line="360" w:lineRule="auto"/>
        <w:jc w:val="both"/>
        <w:rPr>
          <w:b/>
          <w:bCs/>
          <w:noProof/>
          <w:rtl/>
        </w:rPr>
      </w:pPr>
      <w:r>
        <w:rPr>
          <w:rFonts w:hint="cs"/>
          <w:b/>
          <w:bCs/>
          <w:noProof/>
          <w:rtl/>
        </w:rPr>
        <w:t xml:space="preserve"> ועם זאת, למעלה מן הצורך אציין כי בכל מקרה, לא הצביע ב"כ הנאשם בפני בית המשפט על פגיעה ממשית וקונקרטית כזו אלא יתכן והסתפק בהצגת מסמך אשר ככל הנראה מפרט הפגיעה העלולה להיווצר לנאשם עם הרשעתו בדין, רק בפני שירות המבחן.</w:t>
      </w:r>
    </w:p>
    <w:p w14:paraId="35025927" w14:textId="77777777" w:rsidR="00443EEC" w:rsidRDefault="00443EEC">
      <w:pPr>
        <w:spacing w:line="360" w:lineRule="auto"/>
        <w:jc w:val="both"/>
        <w:rPr>
          <w:b/>
          <w:bCs/>
          <w:noProof/>
          <w:rtl/>
        </w:rPr>
      </w:pPr>
    </w:p>
    <w:p w14:paraId="3622F207" w14:textId="77777777" w:rsidR="00443EEC" w:rsidRDefault="004A0FAE">
      <w:pPr>
        <w:spacing w:line="360" w:lineRule="auto"/>
        <w:jc w:val="both"/>
        <w:rPr>
          <w:b/>
          <w:bCs/>
          <w:noProof/>
          <w:rtl/>
        </w:rPr>
      </w:pPr>
      <w:r>
        <w:rPr>
          <w:rFonts w:hint="cs"/>
          <w:b/>
          <w:bCs/>
          <w:noProof/>
          <w:rtl/>
        </w:rPr>
        <w:t>אודה כי עתירתה של המאשימה אף מקלה בעיני אל נוכח חומרת העבירות בהן הורשע הנאשם ואלולא נסיבותיו האישיות של הנאשם, והצורך לכבד את עתירתה של התביעה ולא להחמיר מעבר לה,  לא הייתי מוצאת לכבד הסדר טיעון זה ועונשו של הנאשם היה חמור בהרבה.</w:t>
      </w:r>
    </w:p>
    <w:p w14:paraId="75ABCD9B" w14:textId="77777777" w:rsidR="00443EEC" w:rsidRDefault="00443EEC">
      <w:pPr>
        <w:spacing w:line="360" w:lineRule="auto"/>
        <w:jc w:val="both"/>
        <w:rPr>
          <w:b/>
          <w:bCs/>
          <w:noProof/>
          <w:rtl/>
        </w:rPr>
      </w:pPr>
    </w:p>
    <w:p w14:paraId="5AFBB60F" w14:textId="77777777" w:rsidR="00443EEC" w:rsidRDefault="004A0FAE">
      <w:pPr>
        <w:spacing w:line="360" w:lineRule="auto"/>
        <w:jc w:val="both"/>
        <w:rPr>
          <w:b/>
          <w:bCs/>
          <w:rtl/>
        </w:rPr>
      </w:pPr>
      <w:r>
        <w:rPr>
          <w:rFonts w:hint="cs"/>
          <w:b/>
          <w:bCs/>
          <w:rtl/>
        </w:rPr>
        <w:t>בהתחשב בחומרת העבירות בהן הורשע ובמכלול הנסיבות, הריני לגזור על הנאשם את העונשים הבאים:</w:t>
      </w:r>
    </w:p>
    <w:p w14:paraId="058435F2" w14:textId="77777777" w:rsidR="00443EEC" w:rsidRDefault="00443EEC">
      <w:pPr>
        <w:spacing w:line="360" w:lineRule="auto"/>
        <w:jc w:val="both"/>
        <w:rPr>
          <w:b/>
          <w:bCs/>
          <w:rtl/>
        </w:rPr>
      </w:pPr>
    </w:p>
    <w:p w14:paraId="3C1625E2" w14:textId="77777777" w:rsidR="00443EEC" w:rsidRDefault="004A0FAE">
      <w:pPr>
        <w:spacing w:line="360" w:lineRule="auto"/>
        <w:jc w:val="both"/>
        <w:rPr>
          <w:b/>
          <w:bCs/>
          <w:rtl/>
        </w:rPr>
      </w:pPr>
      <w:r>
        <w:rPr>
          <w:rFonts w:hint="cs"/>
          <w:b/>
          <w:bCs/>
          <w:rtl/>
        </w:rPr>
        <w:t>הנאשם ירצה שלושה חודשי מאסר בפועל בדרך של עבודות שירות</w:t>
      </w:r>
      <w:r>
        <w:rPr>
          <w:rFonts w:eastAsia="David" w:hint="cs"/>
          <w:b/>
          <w:bCs/>
          <w:rtl/>
        </w:rPr>
        <w:t>, באופן שקבע הממונה על עבודות השירות בחוות דעתו מיום 11.06.14.</w:t>
      </w:r>
    </w:p>
    <w:p w14:paraId="38B825F2" w14:textId="77777777" w:rsidR="00443EEC" w:rsidRDefault="00443EEC">
      <w:pPr>
        <w:spacing w:after="120" w:line="360" w:lineRule="auto"/>
        <w:jc w:val="both"/>
        <w:rPr>
          <w:rFonts w:eastAsia="David"/>
          <w:b/>
          <w:bCs/>
          <w:rtl/>
        </w:rPr>
      </w:pPr>
    </w:p>
    <w:p w14:paraId="0B947C66" w14:textId="77777777" w:rsidR="00443EEC" w:rsidRDefault="004A0FAE">
      <w:pPr>
        <w:spacing w:after="120" w:line="360" w:lineRule="auto"/>
        <w:jc w:val="both"/>
        <w:rPr>
          <w:rFonts w:eastAsia="David"/>
          <w:b/>
          <w:bCs/>
          <w:rtl/>
        </w:rPr>
      </w:pPr>
      <w:r>
        <w:rPr>
          <w:rFonts w:eastAsia="David" w:hint="cs"/>
          <w:b/>
          <w:bCs/>
          <w:rtl/>
        </w:rPr>
        <w:t xml:space="preserve">על הנאשם יוטלו שישה חודשי מאסר על תנאי למשך שלוש שנים לבל יעבור עבירה כלשהי על </w:t>
      </w:r>
      <w:hyperlink r:id="rId21" w:history="1">
        <w:r w:rsidRPr="004A0FAE">
          <w:rPr>
            <w:b/>
            <w:bCs/>
            <w:color w:val="0000FF"/>
            <w:u w:val="single"/>
            <w:rtl/>
          </w:rPr>
          <w:t>פקודת הסמים המסוכנים</w:t>
        </w:r>
      </w:hyperlink>
      <w:r>
        <w:rPr>
          <w:rFonts w:hint="cs"/>
          <w:b/>
          <w:bCs/>
          <w:rtl/>
        </w:rPr>
        <w:t xml:space="preserve"> [נוסח חדש], תשל"ג-1973</w:t>
      </w:r>
      <w:r>
        <w:rPr>
          <w:rFonts w:eastAsia="David" w:hint="cs"/>
          <w:b/>
          <w:bCs/>
          <w:rtl/>
        </w:rPr>
        <w:t>.</w:t>
      </w:r>
    </w:p>
    <w:p w14:paraId="5A751378" w14:textId="77777777" w:rsidR="00443EEC" w:rsidRDefault="00443EEC">
      <w:pPr>
        <w:spacing w:line="360" w:lineRule="auto"/>
        <w:jc w:val="both"/>
        <w:rPr>
          <w:b/>
          <w:bCs/>
          <w:rtl/>
        </w:rPr>
      </w:pPr>
    </w:p>
    <w:p w14:paraId="5878C832" w14:textId="77777777" w:rsidR="00443EEC" w:rsidRDefault="004A0FAE">
      <w:pPr>
        <w:spacing w:line="360" w:lineRule="auto"/>
        <w:jc w:val="both"/>
        <w:rPr>
          <w:b/>
          <w:bCs/>
          <w:rtl/>
        </w:rPr>
      </w:pPr>
      <w:r>
        <w:rPr>
          <w:rFonts w:hint="cs"/>
          <w:b/>
          <w:bCs/>
          <w:rtl/>
        </w:rPr>
        <w:t xml:space="preserve">הנאשם יפסל מלקבל ומלהחזיק רישיון נהיגה למשך שלושה חודשים שמניינה מיום 15/8/14 ולמען הסר ספק מנין הפסילה בפועל מיום הפקדת הרישיון וכן, יוטלו עליו שישה חודשי פסילה על תנאי מלקבל ומלהחזיק רישיון נהיגה למשך שלוש שנים,  לבל יעבור עבירה כלשהי על </w:t>
      </w:r>
      <w:hyperlink r:id="rId22" w:history="1">
        <w:r w:rsidRPr="004A0FAE">
          <w:rPr>
            <w:b/>
            <w:bCs/>
            <w:color w:val="0000FF"/>
            <w:u w:val="single"/>
            <w:rtl/>
          </w:rPr>
          <w:t>פקודת הסמים המסוכנים</w:t>
        </w:r>
      </w:hyperlink>
      <w:r>
        <w:rPr>
          <w:rFonts w:hint="cs"/>
          <w:b/>
          <w:bCs/>
          <w:rtl/>
        </w:rPr>
        <w:t>.</w:t>
      </w:r>
    </w:p>
    <w:p w14:paraId="2CA50BB2" w14:textId="77777777" w:rsidR="00443EEC" w:rsidRDefault="00443EEC">
      <w:pPr>
        <w:spacing w:after="120" w:line="360" w:lineRule="auto"/>
        <w:jc w:val="both"/>
        <w:rPr>
          <w:rFonts w:eastAsia="David"/>
          <w:b/>
          <w:bCs/>
          <w:rtl/>
        </w:rPr>
      </w:pPr>
    </w:p>
    <w:p w14:paraId="52BE63DC" w14:textId="77777777" w:rsidR="00443EEC" w:rsidRDefault="004A0FAE">
      <w:pPr>
        <w:spacing w:after="120" w:line="360" w:lineRule="auto"/>
        <w:jc w:val="both"/>
        <w:rPr>
          <w:rFonts w:eastAsia="David"/>
          <w:b/>
          <w:bCs/>
          <w:rtl/>
        </w:rPr>
      </w:pPr>
      <w:r>
        <w:rPr>
          <w:rFonts w:eastAsia="David" w:hint="cs"/>
          <w:b/>
          <w:bCs/>
          <w:rtl/>
        </w:rPr>
        <w:t>על הנאשם יוטל קנס בסך 1500  ₪ או 10  ימי מאסר תמורתו. הקנס ישולם ב- 5 תשלומים שווים ורצופים, החל מיום 1/9/14 ובכל 1 לחודש שלאחר מכן. לא ישולם תשלום במועדו, יעמוד כל הסכום לפרעון מיידי.</w:t>
      </w:r>
    </w:p>
    <w:p w14:paraId="6D09D19A" w14:textId="77777777" w:rsidR="00443EEC" w:rsidRDefault="00443EEC">
      <w:pPr>
        <w:spacing w:after="120" w:line="360" w:lineRule="auto"/>
        <w:jc w:val="both"/>
        <w:rPr>
          <w:rFonts w:eastAsia="David"/>
          <w:b/>
          <w:bCs/>
          <w:rtl/>
        </w:rPr>
      </w:pPr>
    </w:p>
    <w:p w14:paraId="2CBAE341" w14:textId="77777777" w:rsidR="00443EEC" w:rsidRDefault="004A0FAE">
      <w:pPr>
        <w:spacing w:line="360" w:lineRule="auto"/>
        <w:jc w:val="both"/>
        <w:rPr>
          <w:rFonts w:ascii="Calibri" w:eastAsia="Calibri" w:hAnsi="Calibri"/>
          <w:b/>
          <w:bCs/>
          <w:rtl/>
        </w:rPr>
      </w:pPr>
      <w:r>
        <w:rPr>
          <w:rFonts w:hint="cs"/>
          <w:b/>
          <w:bCs/>
          <w:rtl/>
        </w:rPr>
        <w:t>הנאשם יתייצב לריצוי עונשו ביום 03.08.14 בשעה 08:00 ביחידה לעבודות שירות במפקדת מחוז דרום באר שבע.</w:t>
      </w:r>
    </w:p>
    <w:p w14:paraId="18ACF415" w14:textId="77777777" w:rsidR="00443EEC" w:rsidRDefault="004A0FAE">
      <w:pPr>
        <w:spacing w:line="360" w:lineRule="auto"/>
        <w:jc w:val="both"/>
        <w:rPr>
          <w:b/>
          <w:bCs/>
          <w:rtl/>
        </w:rPr>
      </w:pPr>
      <w:r>
        <w:rPr>
          <w:rFonts w:hint="cs"/>
          <w:b/>
          <w:bCs/>
          <w:rtl/>
        </w:rPr>
        <w:t>מובהר לנאשם כי עליו לעמוד בכל תנאי מתנאי עבודות השירות ובכל ביקורות הפתע שיערכו בהן. כל הפרה של תנאי מתנאי עבודות השירות, תביא להפסקתן המנהלית ולריצוי העונש בדרך של כליאה ממשית.</w:t>
      </w:r>
    </w:p>
    <w:p w14:paraId="3E1C7756" w14:textId="77777777" w:rsidR="00443EEC" w:rsidRDefault="00443EEC">
      <w:pPr>
        <w:spacing w:line="360" w:lineRule="auto"/>
        <w:jc w:val="both"/>
        <w:rPr>
          <w:b/>
          <w:bCs/>
          <w:rtl/>
        </w:rPr>
      </w:pPr>
    </w:p>
    <w:p w14:paraId="651AF070" w14:textId="77777777" w:rsidR="00443EEC" w:rsidRDefault="004A0FAE">
      <w:pPr>
        <w:spacing w:line="360" w:lineRule="auto"/>
        <w:jc w:val="both"/>
        <w:rPr>
          <w:b/>
          <w:bCs/>
          <w:rtl/>
        </w:rPr>
      </w:pPr>
      <w:r>
        <w:rPr>
          <w:rFonts w:hint="cs"/>
          <w:b/>
          <w:bCs/>
          <w:rtl/>
        </w:rPr>
        <w:t>סמים שנתפסו במהלך החקירה – יושמדו.</w:t>
      </w:r>
    </w:p>
    <w:p w14:paraId="5586DC7E" w14:textId="77777777" w:rsidR="00443EEC" w:rsidRDefault="00443EEC">
      <w:pPr>
        <w:spacing w:line="360" w:lineRule="auto"/>
        <w:jc w:val="both"/>
        <w:rPr>
          <w:b/>
          <w:bCs/>
          <w:rtl/>
        </w:rPr>
      </w:pPr>
    </w:p>
    <w:p w14:paraId="31C5A584" w14:textId="77777777" w:rsidR="00443EEC" w:rsidRDefault="004A0FAE">
      <w:pPr>
        <w:spacing w:line="360" w:lineRule="auto"/>
        <w:jc w:val="both"/>
        <w:rPr>
          <w:b/>
          <w:bCs/>
          <w:rtl/>
        </w:rPr>
      </w:pPr>
      <w:r>
        <w:rPr>
          <w:rFonts w:hint="cs"/>
          <w:b/>
          <w:bCs/>
          <w:rtl/>
        </w:rPr>
        <w:t>זכות ערעור כחוק.</w:t>
      </w:r>
    </w:p>
    <w:p w14:paraId="066B8755" w14:textId="77777777" w:rsidR="00443EEC" w:rsidRPr="004A0FAE" w:rsidRDefault="004A0FAE">
      <w:pPr>
        <w:rPr>
          <w:b/>
          <w:bCs/>
          <w:color w:val="FFFFFF"/>
          <w:sz w:val="2"/>
          <w:szCs w:val="2"/>
          <w:rtl/>
        </w:rPr>
      </w:pPr>
      <w:r w:rsidRPr="004A0FAE">
        <w:rPr>
          <w:b/>
          <w:bCs/>
          <w:color w:val="FFFFFF"/>
          <w:sz w:val="2"/>
          <w:szCs w:val="2"/>
          <w:rtl/>
        </w:rPr>
        <w:t>5129371</w:t>
      </w:r>
    </w:p>
    <w:p w14:paraId="66337B34" w14:textId="77777777" w:rsidR="00443EEC" w:rsidRDefault="004A0FAE">
      <w:pPr>
        <w:rPr>
          <w:rFonts w:cs="FrankRuehl"/>
          <w:b/>
          <w:bCs/>
          <w:sz w:val="28"/>
          <w:szCs w:val="28"/>
          <w:rtl/>
        </w:rPr>
      </w:pPr>
      <w:r w:rsidRPr="004A0FAE">
        <w:rPr>
          <w:rFonts w:ascii="Arial" w:hAnsi="Arial"/>
          <w:b/>
          <w:bCs/>
          <w:color w:val="FFFFFF"/>
          <w:sz w:val="2"/>
          <w:szCs w:val="2"/>
          <w:rtl/>
        </w:rPr>
        <w:t>54678313</w:t>
      </w:r>
      <w:r>
        <w:rPr>
          <w:rFonts w:ascii="Arial" w:hAnsi="Arial"/>
          <w:b/>
          <w:bCs/>
          <w:rtl/>
        </w:rPr>
        <w:t xml:space="preserve">ניתן היום,  ט"ז תמוז תשע"ד, 14 יולי 2014, במעמד הצדדים. </w:t>
      </w:r>
    </w:p>
    <w:p w14:paraId="600A63FD" w14:textId="77777777" w:rsidR="00443EEC" w:rsidRDefault="004A0FAE">
      <w:pPr>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09AAC28C" w14:textId="77777777" w:rsidR="00443EEC" w:rsidRDefault="00443EEC">
      <w:pPr>
        <w:jc w:val="center"/>
        <w:rPr>
          <w:rFonts w:ascii="Arial" w:hAnsi="Arial" w:cs="FrankRuehl"/>
          <w:b/>
          <w:bCs/>
          <w:sz w:val="28"/>
          <w:szCs w:val="28"/>
          <w:rtl/>
        </w:rPr>
      </w:pPr>
    </w:p>
    <w:p w14:paraId="76F61BF8" w14:textId="77777777" w:rsidR="00443EEC" w:rsidRDefault="00443EEC">
      <w:pPr>
        <w:rPr>
          <w:rFonts w:cs="FrankRuehl"/>
          <w:b/>
          <w:bCs/>
          <w:sz w:val="28"/>
          <w:szCs w:val="28"/>
          <w:rtl/>
        </w:rPr>
      </w:pPr>
    </w:p>
    <w:p w14:paraId="5A9BF240" w14:textId="77777777" w:rsidR="00443EEC" w:rsidRPr="00D56A05" w:rsidRDefault="00D56A05">
      <w:pPr>
        <w:pStyle w:val="a3"/>
        <w:jc w:val="center"/>
        <w:rPr>
          <w:b/>
          <w:bCs/>
          <w:color w:val="FFFFFF"/>
          <w:sz w:val="2"/>
          <w:szCs w:val="2"/>
          <w:rtl/>
        </w:rPr>
      </w:pPr>
      <w:bookmarkStart w:id="8" w:name="_GoBack"/>
      <w:bookmarkEnd w:id="8"/>
      <w:r w:rsidRPr="00D56A05">
        <w:rPr>
          <w:b/>
          <w:bCs/>
          <w:color w:val="FFFFFF"/>
          <w:sz w:val="2"/>
          <w:szCs w:val="2"/>
          <w:rtl/>
        </w:rPr>
        <w:t>5129371</w:t>
      </w:r>
    </w:p>
    <w:p w14:paraId="2BA97684" w14:textId="77777777" w:rsidR="004A0FAE" w:rsidRPr="00D56A05" w:rsidRDefault="00D56A05" w:rsidP="004A0FAE">
      <w:pPr>
        <w:keepNext/>
        <w:rPr>
          <w:rFonts w:ascii="David" w:hAnsi="David"/>
          <w:color w:val="FFFFFF"/>
          <w:sz w:val="2"/>
          <w:szCs w:val="2"/>
          <w:rtl/>
        </w:rPr>
      </w:pPr>
      <w:r w:rsidRPr="00D56A05">
        <w:rPr>
          <w:rFonts w:ascii="David" w:hAnsi="David"/>
          <w:color w:val="FFFFFF"/>
          <w:sz w:val="2"/>
          <w:szCs w:val="2"/>
          <w:rtl/>
        </w:rPr>
        <w:t>54678313</w:t>
      </w:r>
    </w:p>
    <w:p w14:paraId="1F3463B2" w14:textId="77777777" w:rsidR="004A0FAE" w:rsidRDefault="004A0FAE" w:rsidP="004A0FAE">
      <w:r w:rsidRPr="004A0FAE">
        <w:rPr>
          <w:color w:val="000000"/>
          <w:rtl/>
        </w:rPr>
        <w:t>נוסח מסמך זה כפוף לשינויי ניסוח ועריכה</w:t>
      </w:r>
    </w:p>
    <w:p w14:paraId="37E170EA" w14:textId="77777777" w:rsidR="004A0FAE" w:rsidRDefault="004A0FAE" w:rsidP="004A0FAE">
      <w:pPr>
        <w:rPr>
          <w:rtl/>
        </w:rPr>
      </w:pPr>
    </w:p>
    <w:p w14:paraId="5EB5A543" w14:textId="77777777" w:rsidR="004A0FAE" w:rsidRDefault="004A0FAE" w:rsidP="004A0FAE">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7991D686" w14:textId="77777777" w:rsidR="00D56A05" w:rsidRPr="00D56A05" w:rsidRDefault="00D56A05" w:rsidP="00D56A05">
      <w:pPr>
        <w:keepNext/>
        <w:rPr>
          <w:rFonts w:ascii="David" w:hAnsi="David"/>
          <w:color w:val="000000"/>
          <w:sz w:val="22"/>
          <w:szCs w:val="22"/>
          <w:rtl/>
        </w:rPr>
      </w:pPr>
    </w:p>
    <w:p w14:paraId="6ADFD50D" w14:textId="77777777" w:rsidR="00D56A05" w:rsidRPr="00D56A05" w:rsidRDefault="00D56A05" w:rsidP="00D56A05">
      <w:pPr>
        <w:keepNext/>
        <w:rPr>
          <w:rFonts w:ascii="David" w:hAnsi="David"/>
          <w:color w:val="000000"/>
          <w:sz w:val="22"/>
          <w:szCs w:val="22"/>
          <w:rtl/>
        </w:rPr>
      </w:pPr>
      <w:r w:rsidRPr="00D56A05">
        <w:rPr>
          <w:rFonts w:ascii="David" w:hAnsi="David"/>
          <w:color w:val="000000"/>
          <w:sz w:val="22"/>
          <w:szCs w:val="22"/>
          <w:rtl/>
        </w:rPr>
        <w:t>עינת רון 54678313-/</w:t>
      </w:r>
    </w:p>
    <w:sectPr w:rsidR="00D56A05" w:rsidRPr="00D56A05" w:rsidSect="00D56A05">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ADC2B" w14:textId="77777777" w:rsidR="005D1576" w:rsidRPr="00164AA3" w:rsidRDefault="005D1576">
      <w:pPr>
        <w:rPr>
          <w:rFonts w:cs="Arial"/>
          <w:szCs w:val="20"/>
        </w:rPr>
      </w:pPr>
      <w:r>
        <w:separator/>
      </w:r>
    </w:p>
  </w:endnote>
  <w:endnote w:type="continuationSeparator" w:id="0">
    <w:p w14:paraId="6AE9DCD9" w14:textId="77777777" w:rsidR="005D1576" w:rsidRPr="00164AA3" w:rsidRDefault="005D157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3D9B3" w14:textId="77777777" w:rsidR="00D56A05" w:rsidRDefault="00D56A05" w:rsidP="00D56A0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038624" w14:textId="77777777" w:rsidR="00443EEC" w:rsidRPr="00D56A05" w:rsidRDefault="00D56A05" w:rsidP="00D56A05">
    <w:pPr>
      <w:pStyle w:val="a4"/>
      <w:pBdr>
        <w:top w:val="single" w:sz="4" w:space="1" w:color="auto"/>
        <w:between w:val="single" w:sz="4" w:space="0" w:color="auto"/>
      </w:pBdr>
      <w:spacing w:after="60"/>
      <w:jc w:val="center"/>
      <w:rPr>
        <w:rFonts w:ascii="FrankRuehl" w:hAnsi="FrankRuehl" w:cs="FrankRuehl"/>
        <w:color w:val="000000"/>
      </w:rPr>
    </w:pPr>
    <w:r w:rsidRPr="00D56A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FDF3" w14:textId="77777777" w:rsidR="00D56A05" w:rsidRDefault="00D56A05" w:rsidP="00D56A0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52AC">
      <w:rPr>
        <w:rFonts w:ascii="FrankRuehl" w:hAnsi="FrankRuehl" w:cs="FrankRuehl"/>
        <w:noProof/>
        <w:rtl/>
      </w:rPr>
      <w:t>1</w:t>
    </w:r>
    <w:r>
      <w:rPr>
        <w:rFonts w:ascii="FrankRuehl" w:hAnsi="FrankRuehl" w:cs="FrankRuehl"/>
        <w:rtl/>
      </w:rPr>
      <w:fldChar w:fldCharType="end"/>
    </w:r>
  </w:p>
  <w:p w14:paraId="20AC107F" w14:textId="77777777" w:rsidR="00443EEC" w:rsidRPr="00D56A05" w:rsidRDefault="00D56A05" w:rsidP="00D56A05">
    <w:pPr>
      <w:pStyle w:val="a4"/>
      <w:pBdr>
        <w:top w:val="single" w:sz="4" w:space="1" w:color="auto"/>
        <w:between w:val="single" w:sz="4" w:space="0" w:color="auto"/>
      </w:pBdr>
      <w:spacing w:after="60"/>
      <w:jc w:val="center"/>
      <w:rPr>
        <w:rFonts w:ascii="FrankRuehl" w:hAnsi="FrankRuehl" w:cs="FrankRuehl"/>
        <w:color w:val="000000"/>
      </w:rPr>
    </w:pPr>
    <w:r w:rsidRPr="00D56A05">
      <w:rPr>
        <w:rFonts w:ascii="FrankRuehl" w:hAnsi="FrankRuehl" w:cs="FrankRuehl"/>
        <w:color w:val="000000"/>
      </w:rPr>
      <w:pict w14:anchorId="28A3DF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9F939" w14:textId="77777777" w:rsidR="005D1576" w:rsidRPr="00164AA3" w:rsidRDefault="005D1576">
      <w:pPr>
        <w:rPr>
          <w:rFonts w:cs="Arial"/>
          <w:szCs w:val="20"/>
        </w:rPr>
      </w:pPr>
      <w:r>
        <w:separator/>
      </w:r>
    </w:p>
  </w:footnote>
  <w:footnote w:type="continuationSeparator" w:id="0">
    <w:p w14:paraId="1AA736CD" w14:textId="77777777" w:rsidR="005D1576" w:rsidRPr="00164AA3" w:rsidRDefault="005D157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B4A81" w14:textId="77777777" w:rsidR="004A0FAE" w:rsidRPr="00D56A05" w:rsidRDefault="00D56A05" w:rsidP="00D56A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24015-11-12</w:t>
    </w:r>
    <w:r>
      <w:rPr>
        <w:rFonts w:ascii="David" w:hAnsi="David"/>
        <w:color w:val="000000"/>
        <w:sz w:val="22"/>
        <w:szCs w:val="22"/>
        <w:rtl/>
      </w:rPr>
      <w:tab/>
      <w:t xml:space="preserve"> מדינת ישראל נ' אורי קרן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CF9A5" w14:textId="77777777" w:rsidR="004A0FAE" w:rsidRPr="00D56A05" w:rsidRDefault="00D56A05" w:rsidP="00D56A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24015-11-12</w:t>
    </w:r>
    <w:r>
      <w:rPr>
        <w:rFonts w:ascii="David" w:hAnsi="David"/>
        <w:color w:val="000000"/>
        <w:sz w:val="22"/>
        <w:szCs w:val="22"/>
        <w:rtl/>
      </w:rPr>
      <w:tab/>
      <w:t xml:space="preserve"> מדינת ישראל נ' אורי קרן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3EEC"/>
    <w:rsid w:val="002C25ED"/>
    <w:rsid w:val="00443EEC"/>
    <w:rsid w:val="004A0FAE"/>
    <w:rsid w:val="005D1576"/>
    <w:rsid w:val="00D56A05"/>
    <w:rsid w:val="00EE52AC"/>
    <w:rsid w:val="00F90B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AFEB84"/>
  <w15:chartTrackingRefBased/>
  <w15:docId w15:val="{37B4EEF1-CF7A-4620-B23A-77C3D963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3EE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43EEC"/>
    <w:pPr>
      <w:tabs>
        <w:tab w:val="center" w:pos="4153"/>
        <w:tab w:val="right" w:pos="8306"/>
      </w:tabs>
    </w:pPr>
  </w:style>
  <w:style w:type="paragraph" w:styleId="a4">
    <w:name w:val="footer"/>
    <w:basedOn w:val="a"/>
    <w:rsid w:val="00443EEC"/>
    <w:pPr>
      <w:tabs>
        <w:tab w:val="center" w:pos="4153"/>
        <w:tab w:val="right" w:pos="8306"/>
      </w:tabs>
    </w:pPr>
  </w:style>
  <w:style w:type="character" w:styleId="a5">
    <w:name w:val="page number"/>
    <w:basedOn w:val="a0"/>
    <w:rsid w:val="00443EEC"/>
  </w:style>
  <w:style w:type="character" w:styleId="Hyperlink">
    <w:name w:val="Hyperlink"/>
    <w:basedOn w:val="a0"/>
    <w:rsid w:val="004A0F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5881428"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6" TargetMode="External"/><Relationship Id="rId12" Type="http://schemas.openxmlformats.org/officeDocument/2006/relationships/hyperlink" Target="http://www.nevo.co.il/law/4216/6"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40c.a" TargetMode="External"/><Relationship Id="rId20" Type="http://schemas.openxmlformats.org/officeDocument/2006/relationships/hyperlink" Target="http://www.nevo.co.il/case/581078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a"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5805976"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1610</Words>
  <Characters>8051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9642</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3276916</vt:i4>
      </vt:variant>
      <vt:variant>
        <vt:i4>42</vt:i4>
      </vt:variant>
      <vt:variant>
        <vt:i4>0</vt:i4>
      </vt:variant>
      <vt:variant>
        <vt:i4>5</vt:i4>
      </vt:variant>
      <vt:variant>
        <vt:lpwstr>http://www.nevo.co.il/case/5810781</vt:lpwstr>
      </vt:variant>
      <vt:variant>
        <vt:lpwstr/>
      </vt:variant>
      <vt:variant>
        <vt:i4>3801214</vt:i4>
      </vt:variant>
      <vt:variant>
        <vt:i4>39</vt:i4>
      </vt:variant>
      <vt:variant>
        <vt:i4>0</vt:i4>
      </vt:variant>
      <vt:variant>
        <vt:i4>5</vt:i4>
      </vt:variant>
      <vt:variant>
        <vt:lpwstr>http://www.nevo.co.il/case/5805976</vt:lpwstr>
      </vt:variant>
      <vt:variant>
        <vt:lpwstr/>
      </vt:variant>
      <vt:variant>
        <vt:i4>3211391</vt:i4>
      </vt:variant>
      <vt:variant>
        <vt:i4>36</vt:i4>
      </vt:variant>
      <vt:variant>
        <vt:i4>0</vt:i4>
      </vt:variant>
      <vt:variant>
        <vt:i4>5</vt:i4>
      </vt:variant>
      <vt:variant>
        <vt:lpwstr>http://www.nevo.co.il/case/5881428</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24015</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אורי קרן</vt:lpwstr>
  </property>
  <property fmtid="{D5CDD505-2E9C-101B-9397-08002B2CF9AE}" pid="10" name="LAWYER">
    <vt:lpwstr>אריאל פס מורן חכמון ממשרדו של סבוראי</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20140714</vt:lpwstr>
  </property>
  <property fmtid="{D5CDD505-2E9C-101B-9397-08002B2CF9AE}" pid="14" name="TYPE_N_DATE">
    <vt:lpwstr>38020140714</vt:lpwstr>
  </property>
  <property fmtid="{D5CDD505-2E9C-101B-9397-08002B2CF9AE}" pid="15" name="CASESLISTTMP1">
    <vt:lpwstr>5881428;5805976;5810781</vt:lpwstr>
  </property>
  <property fmtid="{D5CDD505-2E9C-101B-9397-08002B2CF9AE}" pid="16" name="WORDNUMPAGES">
    <vt:lpwstr>6</vt:lpwstr>
  </property>
  <property fmtid="{D5CDD505-2E9C-101B-9397-08002B2CF9AE}" pid="17" name="TYPE_ABS_DATE">
    <vt:lpwstr>380020140714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4216/006;007.a;007.c</vt:lpwstr>
  </property>
  <property fmtid="{D5CDD505-2E9C-101B-9397-08002B2CF9AE}" pid="37" name="LAWLISTTMP2">
    <vt:lpwstr>70301/040c.a</vt:lpwstr>
  </property>
</Properties>
</file>