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A55AD9" w:rsidRPr="00FF29BA" w14:paraId="4B6E1B18" w14:textId="77777777">
        <w:trPr>
          <w:trHeight w:hRule="exact" w:val="418"/>
          <w:jc w:val="center"/>
        </w:trPr>
        <w:tc>
          <w:tcPr>
            <w:tcW w:w="8721" w:type="dxa"/>
            <w:gridSpan w:val="2"/>
          </w:tcPr>
          <w:p w14:paraId="0934D8CE" w14:textId="77777777" w:rsidR="00A55AD9" w:rsidRPr="00FF29BA" w:rsidRDefault="00FF29BA">
            <w:pPr>
              <w:pStyle w:val="a4"/>
              <w:jc w:val="center"/>
              <w:rPr>
                <w:rFonts w:ascii="Tahoma" w:hAnsi="Tahoma" w:cs="Tahoma"/>
                <w:color w:val="000080"/>
                <w:rtl/>
              </w:rPr>
            </w:pPr>
            <w:bookmarkStart w:id="0" w:name="LastJudge"/>
            <w:r w:rsidRPr="00FF29BA">
              <w:rPr>
                <w:rFonts w:ascii="Tahoma" w:hAnsi="Tahoma" w:cs="Tahoma"/>
                <w:b/>
                <w:bCs/>
                <w:color w:val="000080"/>
                <w:rtl/>
              </w:rPr>
              <w:t>בית משפט השלום בפתח תקווה</w:t>
            </w:r>
          </w:p>
        </w:tc>
      </w:tr>
      <w:tr w:rsidR="00A55AD9" w:rsidRPr="00FF29BA" w14:paraId="3A0D5CAB" w14:textId="77777777">
        <w:trPr>
          <w:trHeight w:val="337"/>
          <w:jc w:val="center"/>
        </w:trPr>
        <w:tc>
          <w:tcPr>
            <w:tcW w:w="5054" w:type="dxa"/>
          </w:tcPr>
          <w:p w14:paraId="5A1253C4" w14:textId="77777777" w:rsidR="00A55AD9" w:rsidRPr="00FF29BA" w:rsidRDefault="00FF29BA" w:rsidP="00753067">
            <w:pPr>
              <w:rPr>
                <w:rtl/>
              </w:rPr>
            </w:pPr>
            <w:r w:rsidRPr="00FF29BA">
              <w:rPr>
                <w:rtl/>
              </w:rPr>
              <w:t>ת"פ</w:t>
            </w:r>
            <w:r w:rsidRPr="00FF29BA">
              <w:rPr>
                <w:rFonts w:hint="cs"/>
                <w:rtl/>
              </w:rPr>
              <w:t xml:space="preserve"> </w:t>
            </w:r>
            <w:r w:rsidRPr="00FF29BA">
              <w:rPr>
                <w:rtl/>
              </w:rPr>
              <w:t>24156-11-12</w:t>
            </w:r>
            <w:r w:rsidRPr="00FF29BA">
              <w:rPr>
                <w:rFonts w:hint="cs"/>
                <w:rtl/>
              </w:rPr>
              <w:t xml:space="preserve"> </w:t>
            </w:r>
            <w:r w:rsidRPr="00FF29BA">
              <w:rPr>
                <w:rtl/>
              </w:rPr>
              <w:t>מדינת ישראל נ' גבריאל(עציר)</w:t>
            </w:r>
          </w:p>
          <w:p w14:paraId="0C245D33" w14:textId="77777777" w:rsidR="00A55AD9" w:rsidRPr="00FF29BA" w:rsidRDefault="00A55AD9"/>
        </w:tc>
        <w:tc>
          <w:tcPr>
            <w:tcW w:w="3667" w:type="dxa"/>
          </w:tcPr>
          <w:p w14:paraId="6A181C94" w14:textId="77777777" w:rsidR="00A55AD9" w:rsidRPr="00FF29BA" w:rsidRDefault="00FF29BA">
            <w:pPr>
              <w:pStyle w:val="a4"/>
              <w:jc w:val="right"/>
              <w:rPr>
                <w:rFonts w:cs="FrankRuehl"/>
                <w:sz w:val="28"/>
                <w:szCs w:val="28"/>
                <w:rtl/>
              </w:rPr>
            </w:pPr>
            <w:r w:rsidRPr="00FF29BA">
              <w:rPr>
                <w:rFonts w:cs="FrankRuehl"/>
                <w:sz w:val="28"/>
                <w:szCs w:val="28"/>
                <w:rtl/>
              </w:rPr>
              <w:t>15 ינואר 2013</w:t>
            </w:r>
          </w:p>
        </w:tc>
      </w:tr>
    </w:tbl>
    <w:p w14:paraId="2DA8CC1C" w14:textId="77777777" w:rsidR="00A55AD9" w:rsidRPr="00FF29BA" w:rsidRDefault="00FF29BA">
      <w:pPr>
        <w:pStyle w:val="a4"/>
        <w:rPr>
          <w:rtl/>
        </w:rPr>
      </w:pPr>
      <w:r w:rsidRPr="00FF29BA">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A55AD9" w:rsidRPr="00FF29BA" w14:paraId="36BBC83B" w14:textId="77777777">
        <w:trPr>
          <w:trHeight w:val="295"/>
          <w:jc w:val="center"/>
        </w:trPr>
        <w:tc>
          <w:tcPr>
            <w:tcW w:w="923" w:type="dxa"/>
            <w:tcBorders>
              <w:top w:val="nil"/>
              <w:left w:val="nil"/>
              <w:bottom w:val="nil"/>
              <w:right w:val="nil"/>
            </w:tcBorders>
          </w:tcPr>
          <w:p w14:paraId="3FAB2CA8" w14:textId="77777777" w:rsidR="00A55AD9" w:rsidRPr="00FF29BA" w:rsidRDefault="00FF29BA">
            <w:pPr>
              <w:jc w:val="both"/>
              <w:rPr>
                <w:rFonts w:ascii="Arial" w:hAnsi="Arial"/>
              </w:rPr>
            </w:pPr>
            <w:r w:rsidRPr="00FF29BA">
              <w:rPr>
                <w:rFonts w:ascii="Arial" w:hAnsi="Arial" w:hint="cs"/>
                <w:rtl/>
              </w:rPr>
              <w:t>ב</w:t>
            </w:r>
            <w:r w:rsidRPr="00FF29BA">
              <w:rPr>
                <w:rFonts w:ascii="Arial" w:hAnsi="Arial"/>
                <w:rtl/>
              </w:rPr>
              <w:t xml:space="preserve">פני </w:t>
            </w:r>
          </w:p>
        </w:tc>
        <w:tc>
          <w:tcPr>
            <w:tcW w:w="7897" w:type="dxa"/>
            <w:gridSpan w:val="2"/>
            <w:tcBorders>
              <w:top w:val="nil"/>
              <w:left w:val="nil"/>
              <w:bottom w:val="nil"/>
              <w:right w:val="nil"/>
            </w:tcBorders>
          </w:tcPr>
          <w:p w14:paraId="24DD04BF" w14:textId="77777777" w:rsidR="00A55AD9" w:rsidRPr="00FF29BA" w:rsidRDefault="00FF29BA" w:rsidP="00753067">
            <w:pPr>
              <w:rPr>
                <w:rtl/>
              </w:rPr>
            </w:pPr>
            <w:r w:rsidRPr="00FF29BA">
              <w:rPr>
                <w:rFonts w:ascii="Arial" w:hAnsi="Arial" w:hint="cs"/>
                <w:b/>
                <w:bCs/>
                <w:rtl/>
              </w:rPr>
              <w:t>כב' ה</w:t>
            </w:r>
            <w:r w:rsidRPr="00FF29BA">
              <w:rPr>
                <w:rFonts w:hint="cs"/>
                <w:rtl/>
              </w:rPr>
              <w:t>שופט</w:t>
            </w:r>
            <w:r w:rsidRPr="00FF29BA">
              <w:rPr>
                <w:rFonts w:ascii="Arial" w:hAnsi="Arial" w:hint="cs"/>
                <w:b/>
                <w:bCs/>
                <w:rtl/>
              </w:rPr>
              <w:t xml:space="preserve">  </w:t>
            </w:r>
            <w:r w:rsidRPr="00FF29BA">
              <w:rPr>
                <w:rFonts w:hint="cs"/>
                <w:rtl/>
              </w:rPr>
              <w:t>ד"ר עמי קובו</w:t>
            </w:r>
          </w:p>
          <w:p w14:paraId="4E0BD373" w14:textId="77777777" w:rsidR="00A55AD9" w:rsidRPr="00FF29BA" w:rsidRDefault="00A55AD9">
            <w:pPr>
              <w:jc w:val="both"/>
              <w:rPr>
                <w:rFonts w:ascii="Arial" w:hAnsi="Arial"/>
              </w:rPr>
            </w:pPr>
          </w:p>
        </w:tc>
      </w:tr>
      <w:tr w:rsidR="00A55AD9" w:rsidRPr="00FF29BA" w14:paraId="479BD58B" w14:textId="77777777">
        <w:trPr>
          <w:trHeight w:val="355"/>
          <w:jc w:val="center"/>
        </w:trPr>
        <w:tc>
          <w:tcPr>
            <w:tcW w:w="923" w:type="dxa"/>
            <w:tcBorders>
              <w:top w:val="nil"/>
              <w:left w:val="nil"/>
              <w:bottom w:val="nil"/>
              <w:right w:val="nil"/>
            </w:tcBorders>
          </w:tcPr>
          <w:p w14:paraId="5CFD5706" w14:textId="77777777" w:rsidR="00A55AD9" w:rsidRPr="00FF29BA" w:rsidRDefault="00A55AD9">
            <w:pPr>
              <w:jc w:val="both"/>
              <w:rPr>
                <w:rFonts w:ascii="Arial" w:hAnsi="Arial"/>
                <w:rtl/>
              </w:rPr>
            </w:pPr>
            <w:bookmarkStart w:id="1" w:name="FirstAppellant"/>
          </w:p>
          <w:p w14:paraId="7E0067FA" w14:textId="77777777" w:rsidR="00A55AD9" w:rsidRPr="00FF29BA" w:rsidRDefault="00FF29BA">
            <w:pPr>
              <w:jc w:val="both"/>
              <w:rPr>
                <w:rFonts w:ascii="Arial" w:hAnsi="Arial"/>
              </w:rPr>
            </w:pPr>
            <w:r w:rsidRPr="00FF29BA">
              <w:rPr>
                <w:rFonts w:ascii="Arial" w:hAnsi="Arial" w:hint="cs"/>
                <w:rtl/>
              </w:rPr>
              <w:t>בעניין:</w:t>
            </w:r>
          </w:p>
        </w:tc>
        <w:tc>
          <w:tcPr>
            <w:tcW w:w="4126" w:type="dxa"/>
            <w:tcBorders>
              <w:top w:val="nil"/>
              <w:left w:val="nil"/>
              <w:bottom w:val="nil"/>
              <w:right w:val="nil"/>
            </w:tcBorders>
          </w:tcPr>
          <w:p w14:paraId="70A1EA1D" w14:textId="77777777" w:rsidR="00A55AD9" w:rsidRPr="00FF29BA" w:rsidRDefault="00A55AD9">
            <w:pPr>
              <w:jc w:val="both"/>
              <w:rPr>
                <w:rFonts w:ascii="Arial" w:hAnsi="Arial"/>
                <w:rtl/>
              </w:rPr>
            </w:pPr>
          </w:p>
          <w:p w14:paraId="0E9F43F6" w14:textId="77777777" w:rsidR="00A55AD9" w:rsidRPr="00FF29BA" w:rsidRDefault="00FF29BA">
            <w:pPr>
              <w:rPr>
                <w:b/>
                <w:bCs/>
              </w:rPr>
            </w:pPr>
            <w:r w:rsidRPr="00FF29BA">
              <w:rPr>
                <w:rFonts w:hint="cs"/>
                <w:b/>
                <w:bCs/>
                <w:rtl/>
              </w:rPr>
              <w:t>מדינת ישראל</w:t>
            </w:r>
          </w:p>
          <w:p w14:paraId="0EFEFDBA" w14:textId="77777777" w:rsidR="00A55AD9" w:rsidRPr="00FF29BA" w:rsidRDefault="00A55AD9">
            <w:pPr>
              <w:jc w:val="both"/>
              <w:rPr>
                <w:rFonts w:ascii="Arial" w:hAnsi="Arial"/>
              </w:rPr>
            </w:pPr>
          </w:p>
        </w:tc>
        <w:tc>
          <w:tcPr>
            <w:tcW w:w="3771" w:type="dxa"/>
            <w:tcBorders>
              <w:top w:val="nil"/>
              <w:left w:val="nil"/>
              <w:bottom w:val="nil"/>
              <w:right w:val="nil"/>
            </w:tcBorders>
          </w:tcPr>
          <w:p w14:paraId="67587560" w14:textId="77777777" w:rsidR="00A55AD9" w:rsidRPr="00FF29BA" w:rsidRDefault="00A55AD9">
            <w:pPr>
              <w:jc w:val="both"/>
              <w:rPr>
                <w:rFonts w:ascii="Arial" w:hAnsi="Arial"/>
              </w:rPr>
            </w:pPr>
          </w:p>
        </w:tc>
      </w:tr>
      <w:bookmarkEnd w:id="1"/>
      <w:tr w:rsidR="00A55AD9" w:rsidRPr="00FF29BA" w14:paraId="35FA5971" w14:textId="77777777">
        <w:trPr>
          <w:trHeight w:val="355"/>
          <w:jc w:val="center"/>
        </w:trPr>
        <w:tc>
          <w:tcPr>
            <w:tcW w:w="923" w:type="dxa"/>
            <w:tcBorders>
              <w:top w:val="nil"/>
              <w:left w:val="nil"/>
              <w:bottom w:val="nil"/>
              <w:right w:val="nil"/>
            </w:tcBorders>
          </w:tcPr>
          <w:p w14:paraId="405BFE07" w14:textId="77777777" w:rsidR="00A55AD9" w:rsidRPr="00FF29BA" w:rsidRDefault="00A55AD9">
            <w:pPr>
              <w:jc w:val="both"/>
              <w:rPr>
                <w:rFonts w:ascii="Arial" w:hAnsi="Arial"/>
                <w:rtl/>
              </w:rPr>
            </w:pPr>
          </w:p>
        </w:tc>
        <w:tc>
          <w:tcPr>
            <w:tcW w:w="4126" w:type="dxa"/>
            <w:tcBorders>
              <w:top w:val="nil"/>
              <w:left w:val="nil"/>
              <w:bottom w:val="nil"/>
              <w:right w:val="nil"/>
            </w:tcBorders>
          </w:tcPr>
          <w:p w14:paraId="242D25CA" w14:textId="77777777" w:rsidR="00A55AD9" w:rsidRPr="00FF29BA" w:rsidRDefault="00A55AD9">
            <w:pPr>
              <w:jc w:val="both"/>
              <w:rPr>
                <w:rtl/>
              </w:rPr>
            </w:pPr>
          </w:p>
        </w:tc>
        <w:tc>
          <w:tcPr>
            <w:tcW w:w="3771" w:type="dxa"/>
            <w:tcBorders>
              <w:top w:val="nil"/>
              <w:left w:val="nil"/>
              <w:bottom w:val="nil"/>
              <w:right w:val="nil"/>
            </w:tcBorders>
          </w:tcPr>
          <w:p w14:paraId="730F88A7" w14:textId="77777777" w:rsidR="00A55AD9" w:rsidRPr="00FF29BA" w:rsidRDefault="00FF29BA">
            <w:pPr>
              <w:jc w:val="right"/>
              <w:rPr>
                <w:rFonts w:ascii="Arial" w:hAnsi="Arial"/>
                <w:rtl/>
              </w:rPr>
            </w:pPr>
            <w:r w:rsidRPr="00FF29BA">
              <w:rPr>
                <w:rFonts w:ascii="Arial" w:hAnsi="Arial" w:hint="cs"/>
                <w:rtl/>
              </w:rPr>
              <w:t>ה</w:t>
            </w:r>
            <w:r w:rsidRPr="00FF29BA">
              <w:rPr>
                <w:rFonts w:hint="cs"/>
                <w:rtl/>
              </w:rPr>
              <w:t>מאשימה</w:t>
            </w:r>
          </w:p>
        </w:tc>
      </w:tr>
      <w:tr w:rsidR="00A55AD9" w:rsidRPr="00FF29BA" w14:paraId="5E975573" w14:textId="77777777">
        <w:trPr>
          <w:trHeight w:val="355"/>
          <w:jc w:val="center"/>
        </w:trPr>
        <w:tc>
          <w:tcPr>
            <w:tcW w:w="923" w:type="dxa"/>
            <w:tcBorders>
              <w:top w:val="nil"/>
              <w:left w:val="nil"/>
              <w:bottom w:val="nil"/>
              <w:right w:val="nil"/>
            </w:tcBorders>
          </w:tcPr>
          <w:p w14:paraId="604617BE" w14:textId="77777777" w:rsidR="00A55AD9" w:rsidRPr="00FF29BA" w:rsidRDefault="00A55AD9">
            <w:pPr>
              <w:jc w:val="both"/>
              <w:rPr>
                <w:rFonts w:ascii="Arial" w:hAnsi="Arial"/>
                <w:rtl/>
              </w:rPr>
            </w:pPr>
          </w:p>
        </w:tc>
        <w:tc>
          <w:tcPr>
            <w:tcW w:w="7897" w:type="dxa"/>
            <w:gridSpan w:val="2"/>
            <w:tcBorders>
              <w:top w:val="nil"/>
              <w:left w:val="nil"/>
              <w:bottom w:val="nil"/>
              <w:right w:val="nil"/>
            </w:tcBorders>
          </w:tcPr>
          <w:p w14:paraId="7C09D01A" w14:textId="77777777" w:rsidR="00A55AD9" w:rsidRPr="00FF29BA" w:rsidRDefault="00A55AD9">
            <w:pPr>
              <w:jc w:val="center"/>
              <w:rPr>
                <w:rFonts w:ascii="Arial" w:hAnsi="Arial"/>
                <w:b/>
                <w:bCs/>
                <w:rtl/>
              </w:rPr>
            </w:pPr>
          </w:p>
          <w:p w14:paraId="1F816DDB" w14:textId="77777777" w:rsidR="00A55AD9" w:rsidRPr="00FF29BA" w:rsidRDefault="00FF29BA">
            <w:pPr>
              <w:jc w:val="center"/>
              <w:rPr>
                <w:rFonts w:ascii="Arial" w:hAnsi="Arial"/>
                <w:b/>
                <w:bCs/>
                <w:rtl/>
              </w:rPr>
            </w:pPr>
            <w:r w:rsidRPr="00FF29BA">
              <w:rPr>
                <w:rFonts w:ascii="Arial" w:hAnsi="Arial"/>
                <w:b/>
                <w:bCs/>
                <w:rtl/>
              </w:rPr>
              <w:t>נגד</w:t>
            </w:r>
          </w:p>
          <w:p w14:paraId="43604080" w14:textId="77777777" w:rsidR="00A55AD9" w:rsidRPr="00FF29BA" w:rsidRDefault="00A55AD9">
            <w:pPr>
              <w:jc w:val="both"/>
              <w:rPr>
                <w:rFonts w:ascii="Arial" w:hAnsi="Arial"/>
              </w:rPr>
            </w:pPr>
          </w:p>
        </w:tc>
      </w:tr>
      <w:tr w:rsidR="00A55AD9" w:rsidRPr="00FF29BA" w14:paraId="1E44984D" w14:textId="77777777">
        <w:trPr>
          <w:trHeight w:val="355"/>
          <w:jc w:val="center"/>
        </w:trPr>
        <w:tc>
          <w:tcPr>
            <w:tcW w:w="923" w:type="dxa"/>
            <w:tcBorders>
              <w:top w:val="nil"/>
              <w:left w:val="nil"/>
              <w:bottom w:val="nil"/>
              <w:right w:val="nil"/>
            </w:tcBorders>
          </w:tcPr>
          <w:p w14:paraId="6EB60CA5" w14:textId="77777777" w:rsidR="00A55AD9" w:rsidRPr="00FF29BA" w:rsidRDefault="00A55AD9">
            <w:pPr>
              <w:jc w:val="both"/>
              <w:rPr>
                <w:rFonts w:ascii="Arial" w:hAnsi="Arial"/>
                <w:rtl/>
              </w:rPr>
            </w:pPr>
          </w:p>
        </w:tc>
        <w:tc>
          <w:tcPr>
            <w:tcW w:w="4126" w:type="dxa"/>
            <w:tcBorders>
              <w:top w:val="nil"/>
              <w:left w:val="nil"/>
              <w:bottom w:val="nil"/>
              <w:right w:val="nil"/>
            </w:tcBorders>
          </w:tcPr>
          <w:p w14:paraId="590FF70C" w14:textId="77777777" w:rsidR="00A55AD9" w:rsidRPr="00FF29BA" w:rsidRDefault="00FF29BA">
            <w:pPr>
              <w:jc w:val="both"/>
              <w:rPr>
                <w:rtl/>
              </w:rPr>
            </w:pPr>
            <w:r w:rsidRPr="00FF29BA">
              <w:rPr>
                <w:rFonts w:hint="cs"/>
                <w:b/>
                <w:bCs/>
                <w:rtl/>
              </w:rPr>
              <w:t xml:space="preserve">מור גבריאל </w:t>
            </w:r>
          </w:p>
        </w:tc>
        <w:tc>
          <w:tcPr>
            <w:tcW w:w="3771" w:type="dxa"/>
            <w:tcBorders>
              <w:top w:val="nil"/>
              <w:left w:val="nil"/>
              <w:bottom w:val="nil"/>
              <w:right w:val="nil"/>
            </w:tcBorders>
          </w:tcPr>
          <w:p w14:paraId="548570C8" w14:textId="77777777" w:rsidR="00A55AD9" w:rsidRPr="00FF29BA" w:rsidRDefault="00A55AD9">
            <w:pPr>
              <w:jc w:val="right"/>
              <w:rPr>
                <w:rFonts w:ascii="Arial" w:hAnsi="Arial"/>
              </w:rPr>
            </w:pPr>
          </w:p>
        </w:tc>
      </w:tr>
      <w:tr w:rsidR="00A55AD9" w:rsidRPr="00FF29BA" w14:paraId="66F8C1C2" w14:textId="77777777">
        <w:trPr>
          <w:trHeight w:val="355"/>
          <w:jc w:val="center"/>
        </w:trPr>
        <w:tc>
          <w:tcPr>
            <w:tcW w:w="923" w:type="dxa"/>
            <w:tcBorders>
              <w:top w:val="nil"/>
              <w:left w:val="nil"/>
              <w:bottom w:val="nil"/>
              <w:right w:val="nil"/>
            </w:tcBorders>
          </w:tcPr>
          <w:p w14:paraId="48938E2D" w14:textId="77777777" w:rsidR="00A55AD9" w:rsidRPr="00FF29BA" w:rsidRDefault="00A55AD9">
            <w:pPr>
              <w:jc w:val="both"/>
              <w:rPr>
                <w:rFonts w:ascii="Arial" w:hAnsi="Arial"/>
                <w:rtl/>
              </w:rPr>
            </w:pPr>
          </w:p>
        </w:tc>
        <w:tc>
          <w:tcPr>
            <w:tcW w:w="4126" w:type="dxa"/>
            <w:tcBorders>
              <w:top w:val="nil"/>
              <w:left w:val="nil"/>
              <w:bottom w:val="nil"/>
              <w:right w:val="nil"/>
            </w:tcBorders>
          </w:tcPr>
          <w:p w14:paraId="5FC223C5" w14:textId="77777777" w:rsidR="00A55AD9" w:rsidRPr="00FF29BA" w:rsidRDefault="00A55AD9">
            <w:pPr>
              <w:jc w:val="both"/>
              <w:rPr>
                <w:rtl/>
              </w:rPr>
            </w:pPr>
          </w:p>
        </w:tc>
        <w:tc>
          <w:tcPr>
            <w:tcW w:w="3771" w:type="dxa"/>
            <w:tcBorders>
              <w:top w:val="nil"/>
              <w:left w:val="nil"/>
              <w:bottom w:val="nil"/>
              <w:right w:val="nil"/>
            </w:tcBorders>
          </w:tcPr>
          <w:p w14:paraId="35E32B16" w14:textId="77777777" w:rsidR="00A55AD9" w:rsidRPr="00FF29BA" w:rsidRDefault="00FF29BA">
            <w:pPr>
              <w:jc w:val="right"/>
              <w:rPr>
                <w:rFonts w:ascii="Arial" w:hAnsi="Arial"/>
              </w:rPr>
            </w:pPr>
            <w:r w:rsidRPr="00FF29BA">
              <w:rPr>
                <w:rFonts w:ascii="Arial" w:hAnsi="Arial" w:hint="cs"/>
                <w:rtl/>
              </w:rPr>
              <w:t>ה</w:t>
            </w:r>
            <w:r w:rsidRPr="00FF29BA">
              <w:rPr>
                <w:rFonts w:hint="cs"/>
                <w:rtl/>
              </w:rPr>
              <w:t>נאשמים</w:t>
            </w:r>
          </w:p>
        </w:tc>
      </w:tr>
    </w:tbl>
    <w:p w14:paraId="702E165A" w14:textId="77777777" w:rsidR="00A55AD9" w:rsidRPr="00FF29BA" w:rsidRDefault="00FF29BA">
      <w:pPr>
        <w:rPr>
          <w:b/>
          <w:bCs/>
          <w:rtl/>
        </w:rPr>
      </w:pPr>
      <w:bookmarkStart w:id="2" w:name="FirstLawyer"/>
      <w:r w:rsidRPr="00FF29BA">
        <w:rPr>
          <w:rFonts w:hint="cs"/>
          <w:b/>
          <w:bCs/>
          <w:rtl/>
        </w:rPr>
        <w:t>ב"כ</w:t>
      </w:r>
      <w:bookmarkEnd w:id="2"/>
      <w:r w:rsidRPr="00FF29BA">
        <w:rPr>
          <w:rFonts w:hint="cs"/>
          <w:b/>
          <w:bCs/>
          <w:rtl/>
        </w:rPr>
        <w:t xml:space="preserve"> הצדדים:</w:t>
      </w:r>
    </w:p>
    <w:p w14:paraId="331C6399" w14:textId="77777777" w:rsidR="00A55AD9" w:rsidRPr="00FF29BA" w:rsidRDefault="00A55AD9">
      <w:pPr>
        <w:rPr>
          <w:rtl/>
        </w:rPr>
      </w:pPr>
    </w:p>
    <w:p w14:paraId="6325A372" w14:textId="77777777" w:rsidR="00A55AD9" w:rsidRPr="00FF29BA" w:rsidRDefault="00FF29BA">
      <w:pPr>
        <w:rPr>
          <w:b/>
          <w:bCs/>
          <w:rtl/>
        </w:rPr>
      </w:pPr>
      <w:r w:rsidRPr="00FF29BA">
        <w:rPr>
          <w:rFonts w:hint="cs"/>
          <w:b/>
          <w:bCs/>
          <w:rtl/>
        </w:rPr>
        <w:t>ב"כ המאשימה: עו"ד קרן פינקלס</w:t>
      </w:r>
    </w:p>
    <w:p w14:paraId="35FC3577" w14:textId="77777777" w:rsidR="00A55AD9" w:rsidRPr="00FF29BA" w:rsidRDefault="00A55AD9">
      <w:pPr>
        <w:rPr>
          <w:rtl/>
        </w:rPr>
      </w:pPr>
    </w:p>
    <w:p w14:paraId="279BE309" w14:textId="77777777" w:rsidR="00A96072" w:rsidRDefault="00FF29BA">
      <w:pPr>
        <w:rPr>
          <w:b/>
          <w:bCs/>
          <w:rtl/>
        </w:rPr>
      </w:pPr>
      <w:r w:rsidRPr="00FF29BA">
        <w:rPr>
          <w:rFonts w:hint="cs"/>
          <w:b/>
          <w:bCs/>
          <w:rtl/>
        </w:rPr>
        <w:t>ב"כ הנאשם: עו"ד דנה פישר דורי</w:t>
      </w:r>
      <w:bookmarkStart w:id="3" w:name="LawTable"/>
      <w:bookmarkEnd w:id="3"/>
    </w:p>
    <w:p w14:paraId="22618AB7" w14:textId="77777777" w:rsidR="00A96072" w:rsidRPr="00A96072" w:rsidRDefault="00A96072" w:rsidP="00A96072">
      <w:pPr>
        <w:spacing w:after="120" w:line="240" w:lineRule="exact"/>
        <w:ind w:left="283" w:hanging="283"/>
        <w:jc w:val="both"/>
        <w:rPr>
          <w:rFonts w:ascii="FrankRuehl" w:hAnsi="FrankRuehl" w:cs="FrankRuehl"/>
          <w:rtl/>
        </w:rPr>
      </w:pPr>
    </w:p>
    <w:p w14:paraId="13135C09" w14:textId="77777777" w:rsidR="00A96072" w:rsidRPr="00A96072" w:rsidRDefault="00A96072" w:rsidP="00A96072">
      <w:pPr>
        <w:spacing w:after="120" w:line="240" w:lineRule="exact"/>
        <w:ind w:left="283" w:hanging="283"/>
        <w:jc w:val="both"/>
        <w:rPr>
          <w:rFonts w:ascii="FrankRuehl" w:hAnsi="FrankRuehl" w:cs="FrankRuehl"/>
          <w:rtl/>
        </w:rPr>
      </w:pPr>
      <w:r w:rsidRPr="00A96072">
        <w:rPr>
          <w:rFonts w:ascii="FrankRuehl" w:hAnsi="FrankRuehl" w:cs="FrankRuehl"/>
          <w:rtl/>
        </w:rPr>
        <w:t xml:space="preserve">חקיקה שאוזכרה: </w:t>
      </w:r>
    </w:p>
    <w:p w14:paraId="68BE78AB" w14:textId="77777777" w:rsidR="00A96072" w:rsidRPr="00A96072" w:rsidRDefault="00A96072" w:rsidP="00A96072">
      <w:pPr>
        <w:spacing w:after="120" w:line="240" w:lineRule="exact"/>
        <w:ind w:left="283" w:hanging="283"/>
        <w:jc w:val="both"/>
        <w:rPr>
          <w:rFonts w:ascii="FrankRuehl" w:hAnsi="FrankRuehl" w:cs="FrankRuehl"/>
          <w:color w:val="0000FF"/>
          <w:u w:val="single"/>
          <w:rtl/>
        </w:rPr>
      </w:pPr>
      <w:hyperlink r:id="rId7" w:history="1">
        <w:r w:rsidRPr="00A96072">
          <w:rPr>
            <w:rStyle w:val="Hyperlink"/>
            <w:rFonts w:ascii="FrankRuehl" w:hAnsi="FrankRuehl" w:cs="FrankRuehl"/>
            <w:rtl/>
          </w:rPr>
          <w:t>פקודת הסמים המסוכנים [נוסח חדש], תשל"ג-1973</w:t>
        </w:r>
      </w:hyperlink>
      <w:r w:rsidRPr="00A96072">
        <w:rPr>
          <w:rFonts w:ascii="FrankRuehl" w:hAnsi="FrankRuehl" w:cs="FrankRuehl"/>
          <w:color w:val="0000FF"/>
          <w:u w:val="single"/>
          <w:rtl/>
        </w:rPr>
        <w:t xml:space="preserve">: סע'  </w:t>
      </w:r>
      <w:hyperlink r:id="rId8" w:history="1">
        <w:r w:rsidRPr="00A96072">
          <w:rPr>
            <w:rStyle w:val="Hyperlink"/>
            <w:rFonts w:ascii="FrankRuehl" w:hAnsi="FrankRuehl" w:cs="FrankRuehl"/>
          </w:rPr>
          <w:t>7 (</w:t>
        </w:r>
        <w:r w:rsidRPr="00A96072">
          <w:rPr>
            <w:rStyle w:val="Hyperlink"/>
            <w:rFonts w:ascii="FrankRuehl" w:hAnsi="FrankRuehl" w:cs="FrankRuehl"/>
            <w:rtl/>
          </w:rPr>
          <w:t>א</w:t>
        </w:r>
        <w:r w:rsidRPr="00A96072">
          <w:rPr>
            <w:rStyle w:val="Hyperlink"/>
            <w:rFonts w:ascii="FrankRuehl" w:hAnsi="FrankRuehl" w:cs="FrankRuehl"/>
          </w:rPr>
          <w:t>)</w:t>
        </w:r>
      </w:hyperlink>
      <w:r w:rsidRPr="00A96072">
        <w:rPr>
          <w:rFonts w:ascii="FrankRuehl" w:hAnsi="FrankRuehl" w:cs="FrankRuehl"/>
          <w:color w:val="0000FF"/>
          <w:u w:val="single"/>
          <w:rtl/>
        </w:rPr>
        <w:t xml:space="preserve">, </w:t>
      </w:r>
      <w:hyperlink r:id="rId9" w:history="1">
        <w:r w:rsidRPr="00A96072">
          <w:rPr>
            <w:rStyle w:val="Hyperlink"/>
            <w:rFonts w:ascii="FrankRuehl" w:hAnsi="FrankRuehl" w:cs="FrankRuehl"/>
          </w:rPr>
          <w:t>7 (</w:t>
        </w:r>
        <w:r w:rsidRPr="00A96072">
          <w:rPr>
            <w:rStyle w:val="Hyperlink"/>
            <w:rFonts w:ascii="FrankRuehl" w:hAnsi="FrankRuehl" w:cs="FrankRuehl"/>
            <w:rtl/>
          </w:rPr>
          <w:t>ג</w:t>
        </w:r>
        <w:r w:rsidRPr="00A96072">
          <w:rPr>
            <w:rStyle w:val="Hyperlink"/>
            <w:rFonts w:ascii="FrankRuehl" w:hAnsi="FrankRuehl" w:cs="FrankRuehl"/>
          </w:rPr>
          <w:t>)</w:t>
        </w:r>
      </w:hyperlink>
    </w:p>
    <w:p w14:paraId="6E28292F" w14:textId="77777777" w:rsidR="00A96072" w:rsidRPr="00A96072" w:rsidRDefault="00A96072" w:rsidP="00A96072">
      <w:pPr>
        <w:spacing w:after="120" w:line="240" w:lineRule="exact"/>
        <w:ind w:left="283" w:hanging="283"/>
        <w:jc w:val="both"/>
        <w:rPr>
          <w:rFonts w:ascii="FrankRuehl" w:hAnsi="FrankRuehl" w:cs="FrankRuehl"/>
          <w:color w:val="0000FF"/>
          <w:u w:val="single"/>
          <w:rtl/>
        </w:rPr>
      </w:pPr>
      <w:hyperlink r:id="rId10" w:history="1">
        <w:r w:rsidRPr="00A96072">
          <w:rPr>
            <w:rStyle w:val="Hyperlink"/>
            <w:rFonts w:ascii="FrankRuehl" w:hAnsi="FrankRuehl" w:cs="FrankRuehl"/>
            <w:rtl/>
          </w:rPr>
          <w:t>חוק העונשין, תשל"ז-1977</w:t>
        </w:r>
      </w:hyperlink>
    </w:p>
    <w:p w14:paraId="15C0F3F3" w14:textId="77777777" w:rsidR="00A96072" w:rsidRPr="00A96072" w:rsidRDefault="00A96072" w:rsidP="00A96072">
      <w:pPr>
        <w:spacing w:after="120" w:line="240" w:lineRule="exact"/>
        <w:ind w:left="283" w:hanging="283"/>
        <w:jc w:val="both"/>
        <w:rPr>
          <w:rFonts w:ascii="FrankRuehl" w:hAnsi="FrankRuehl" w:cs="FrankRuehl"/>
          <w:rtl/>
        </w:rPr>
      </w:pPr>
    </w:p>
    <w:p w14:paraId="265B7F21" w14:textId="77777777" w:rsidR="00A96072" w:rsidRPr="00A96072" w:rsidRDefault="00A96072">
      <w:pPr>
        <w:rPr>
          <w:rtl/>
        </w:rPr>
      </w:pPr>
      <w:bookmarkStart w:id="4" w:name="LawTable_End"/>
      <w:bookmarkEnd w:id="4"/>
    </w:p>
    <w:p w14:paraId="1F28E444" w14:textId="77777777" w:rsidR="00A96072" w:rsidRPr="00A96072" w:rsidRDefault="00A96072">
      <w:pPr>
        <w:rPr>
          <w:b/>
          <w:bCs/>
          <w:rtl/>
        </w:rPr>
      </w:pPr>
    </w:p>
    <w:p w14:paraId="7EC9BEEB" w14:textId="77777777" w:rsidR="00A55AD9" w:rsidRPr="00A96072" w:rsidRDefault="00A55AD9">
      <w:pPr>
        <w:rPr>
          <w:b/>
          <w:bCs/>
        </w:rPr>
      </w:pPr>
    </w:p>
    <w:p w14:paraId="1CAE42BF" w14:textId="77777777" w:rsidR="006D45CD" w:rsidRPr="006D45CD" w:rsidRDefault="006D45CD">
      <w:pPr>
        <w:rPr>
          <w:rtl/>
        </w:rPr>
      </w:pPr>
    </w:p>
    <w:p w14:paraId="64435926" w14:textId="77777777" w:rsidR="006D45CD" w:rsidRPr="006D45CD" w:rsidRDefault="006D45CD">
      <w:pPr>
        <w:rPr>
          <w:rtl/>
        </w:rPr>
      </w:pPr>
    </w:p>
    <w:p w14:paraId="06BFF6C0" w14:textId="77777777" w:rsidR="00A55AD9" w:rsidRPr="006D45CD" w:rsidRDefault="00A55AD9"/>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55AD9" w14:paraId="105CF2A4" w14:textId="77777777">
        <w:trPr>
          <w:trHeight w:val="355"/>
          <w:jc w:val="center"/>
        </w:trPr>
        <w:tc>
          <w:tcPr>
            <w:tcW w:w="8820" w:type="dxa"/>
            <w:tcBorders>
              <w:top w:val="nil"/>
              <w:left w:val="nil"/>
              <w:bottom w:val="nil"/>
              <w:right w:val="nil"/>
            </w:tcBorders>
          </w:tcPr>
          <w:p w14:paraId="0D69E577" w14:textId="77777777" w:rsidR="00FF29BA" w:rsidRPr="00FF29BA" w:rsidRDefault="00FF29BA" w:rsidP="00FF29BA">
            <w:pPr>
              <w:jc w:val="center"/>
              <w:rPr>
                <w:rFonts w:ascii="Arial" w:hAnsi="Arial"/>
                <w:b/>
                <w:bCs/>
                <w:sz w:val="28"/>
                <w:szCs w:val="28"/>
                <w:u w:val="single"/>
                <w:rtl/>
              </w:rPr>
            </w:pPr>
            <w:bookmarkStart w:id="5" w:name="PsakDin" w:colFirst="0" w:colLast="0"/>
            <w:bookmarkEnd w:id="0"/>
            <w:r w:rsidRPr="00FF29BA">
              <w:rPr>
                <w:rFonts w:ascii="Arial" w:hAnsi="Arial"/>
                <w:b/>
                <w:bCs/>
                <w:sz w:val="28"/>
                <w:szCs w:val="28"/>
                <w:u w:val="single"/>
                <w:rtl/>
              </w:rPr>
              <w:t>גזר דין</w:t>
            </w:r>
          </w:p>
          <w:p w14:paraId="3294C52C" w14:textId="77777777" w:rsidR="00A55AD9" w:rsidRPr="00FF29BA" w:rsidRDefault="00A55AD9" w:rsidP="00FF29BA">
            <w:pPr>
              <w:jc w:val="center"/>
              <w:rPr>
                <w:rFonts w:ascii="Arial" w:hAnsi="Arial"/>
                <w:bCs/>
                <w:sz w:val="28"/>
                <w:szCs w:val="28"/>
                <w:u w:val="single"/>
                <w:rtl/>
              </w:rPr>
            </w:pPr>
          </w:p>
        </w:tc>
      </w:tr>
      <w:bookmarkEnd w:id="5"/>
    </w:tbl>
    <w:p w14:paraId="58D54642" w14:textId="77777777" w:rsidR="00A55AD9" w:rsidRDefault="00A55AD9">
      <w:pPr>
        <w:rPr>
          <w:rFonts w:ascii="Arial" w:hAnsi="Arial"/>
          <w:rtl/>
        </w:rPr>
      </w:pPr>
    </w:p>
    <w:p w14:paraId="08F5332A" w14:textId="77777777" w:rsidR="00A55AD9" w:rsidRDefault="00FF29BA">
      <w:pPr>
        <w:pStyle w:val="a7"/>
        <w:rPr>
          <w:rtl/>
        </w:rPr>
      </w:pPr>
      <w:r>
        <w:rPr>
          <w:rtl/>
        </w:rPr>
        <w:t>רקע</w:t>
      </w:r>
    </w:p>
    <w:p w14:paraId="41B875ED" w14:textId="77777777" w:rsidR="00A55AD9" w:rsidRDefault="00FF29BA">
      <w:pPr>
        <w:pStyle w:val="a"/>
      </w:pPr>
      <w:bookmarkStart w:id="6" w:name="ABSTRACT_START"/>
      <w:bookmarkEnd w:id="6"/>
      <w:r>
        <w:rPr>
          <w:rtl/>
        </w:rPr>
        <w:t xml:space="preserve">הנאשם הורשע בהתאם להודאתו בעובדות כתב האישום, בעבירה של החזקת סמים שלא לצריכה עצמית, לפי </w:t>
      </w:r>
      <w:hyperlink r:id="rId11" w:history="1">
        <w:r w:rsidR="00A96072" w:rsidRPr="00A96072">
          <w:rPr>
            <w:rStyle w:val="Hyperlink"/>
            <w:rtl/>
          </w:rPr>
          <w:t>סעיף 7 (א)</w:t>
        </w:r>
      </w:hyperlink>
      <w:r>
        <w:rPr>
          <w:rtl/>
        </w:rPr>
        <w:t xml:space="preserve"> ו- </w:t>
      </w:r>
      <w:hyperlink r:id="rId12" w:history="1">
        <w:r w:rsidR="00A96072" w:rsidRPr="00A96072">
          <w:rPr>
            <w:rStyle w:val="Hyperlink"/>
            <w:rtl/>
          </w:rPr>
          <w:t>7 (ג)</w:t>
        </w:r>
      </w:hyperlink>
      <w:r>
        <w:rPr>
          <w:rtl/>
        </w:rPr>
        <w:t xml:space="preserve"> רישא ל</w:t>
      </w:r>
      <w:hyperlink r:id="rId13" w:history="1">
        <w:r w:rsidR="006D45CD" w:rsidRPr="006D45CD">
          <w:rPr>
            <w:rStyle w:val="Hyperlink"/>
            <w:rtl/>
          </w:rPr>
          <w:t>פקודת הסמים המסוכנים</w:t>
        </w:r>
      </w:hyperlink>
      <w:r>
        <w:rPr>
          <w:rtl/>
        </w:rPr>
        <w:t xml:space="preserve"> [נוסח חדש] תשל"ג-1973</w:t>
      </w:r>
      <w:bookmarkStart w:id="7" w:name="ABSTRACT_END"/>
      <w:bookmarkEnd w:id="7"/>
      <w:r>
        <w:rPr>
          <w:rtl/>
        </w:rPr>
        <w:t xml:space="preserve"> (להלן: "</w:t>
      </w:r>
      <w:r>
        <w:rPr>
          <w:b/>
          <w:bCs/>
          <w:rtl/>
        </w:rPr>
        <w:t>פקודת הסמים</w:t>
      </w:r>
      <w:r>
        <w:rPr>
          <w:rtl/>
        </w:rPr>
        <w:t xml:space="preserve">"). </w:t>
      </w:r>
    </w:p>
    <w:p w14:paraId="5C90CA41" w14:textId="77777777" w:rsidR="00A55AD9" w:rsidRDefault="00FF29BA">
      <w:pPr>
        <w:pStyle w:val="a"/>
      </w:pPr>
      <w:r>
        <w:rPr>
          <w:rtl/>
        </w:rPr>
        <w:t>על-פי המתואר בעובדות כתב האישום, בתאריך 11.11.12 הגיע צוות בילוש לבצע חיפוש בביתו של הנאשם על-פי צו חיפוש. בנסיבות הללו מצאו הבלשים בבית את הפרטים הבאים:</w:t>
      </w:r>
    </w:p>
    <w:p w14:paraId="39AC128E" w14:textId="77777777" w:rsidR="00A55AD9" w:rsidRDefault="00FF29BA">
      <w:pPr>
        <w:pStyle w:val="a"/>
        <w:numPr>
          <w:ilvl w:val="0"/>
          <w:numId w:val="3"/>
        </w:numPr>
        <w:rPr>
          <w:rtl/>
        </w:rPr>
      </w:pPr>
      <w:r>
        <w:rPr>
          <w:rtl/>
        </w:rPr>
        <w:lastRenderedPageBreak/>
        <w:t xml:space="preserve">פלטה של סם מסוג חשיש במשך של 94.59 גרם נטו, ולצדה חתיכה נוספת של סם מסוג חשיש במשקל של 19.35 גרם נטו. </w:t>
      </w:r>
    </w:p>
    <w:p w14:paraId="19509D7E" w14:textId="77777777" w:rsidR="00A55AD9" w:rsidRDefault="00FF29BA">
      <w:pPr>
        <w:pStyle w:val="a"/>
        <w:numPr>
          <w:ilvl w:val="0"/>
          <w:numId w:val="3"/>
        </w:numPr>
      </w:pPr>
      <w:r>
        <w:rPr>
          <w:rtl/>
        </w:rPr>
        <w:t xml:space="preserve">תערובת של טבק וסם מסוג חשיש במשקל של 0.47 גרם נטו. </w:t>
      </w:r>
    </w:p>
    <w:p w14:paraId="44B69E53" w14:textId="77777777" w:rsidR="00A55AD9" w:rsidRDefault="00FF29BA">
      <w:pPr>
        <w:pStyle w:val="a"/>
        <w:numPr>
          <w:ilvl w:val="0"/>
          <w:numId w:val="3"/>
        </w:numPr>
      </w:pPr>
      <w:r>
        <w:rPr>
          <w:rtl/>
        </w:rPr>
        <w:t xml:space="preserve">סם מסוג חשיש במשקל של 2.95 גרם נטו. </w:t>
      </w:r>
    </w:p>
    <w:p w14:paraId="2CE4AECB" w14:textId="77777777" w:rsidR="00A55AD9" w:rsidRDefault="00FF29BA">
      <w:pPr>
        <w:pStyle w:val="a"/>
        <w:numPr>
          <w:ilvl w:val="0"/>
          <w:numId w:val="0"/>
        </w:numPr>
        <w:ind w:left="360"/>
        <w:rPr>
          <w:rtl/>
        </w:rPr>
      </w:pPr>
      <w:r>
        <w:rPr>
          <w:rtl/>
        </w:rPr>
        <w:t>סה"כ החזיק הנאשם ב</w:t>
      </w:r>
      <w:r>
        <w:rPr>
          <w:b/>
          <w:bCs/>
          <w:rtl/>
        </w:rPr>
        <w:t>סם מסוג חשיש במשקל כולל של 117.36 גרם נטו</w:t>
      </w:r>
      <w:r>
        <w:rPr>
          <w:rtl/>
        </w:rPr>
        <w:t xml:space="preserve">, שלא לצריכה עצמית. </w:t>
      </w:r>
    </w:p>
    <w:p w14:paraId="5C127703" w14:textId="77777777" w:rsidR="00A55AD9" w:rsidRDefault="00FF29BA">
      <w:pPr>
        <w:pStyle w:val="a"/>
      </w:pPr>
      <w:r>
        <w:rPr>
          <w:rtl/>
        </w:rPr>
        <w:t xml:space="preserve">הצדדים הגיעו להסדר טיעון אשר במסגרתו טענה המאשימה לעונש של 12 חודשי מאסר לריצוי בפועל, כולל הפעלת מאסר מותנה, ואילו ההגנה טענה לעונש של 10 חודשי מאסר בפועל, כולל הפעלת המאסר המותנה. </w:t>
      </w:r>
    </w:p>
    <w:p w14:paraId="4B6CA30D" w14:textId="77777777" w:rsidR="00A55AD9" w:rsidRDefault="00FF29BA">
      <w:pPr>
        <w:pStyle w:val="a"/>
      </w:pPr>
      <w:r>
        <w:rPr>
          <w:rtl/>
        </w:rPr>
        <w:t xml:space="preserve">המחלוקת מרכזית שנתגלעה בין המאשימה להגנה עסקה בהשוואה בין המקרה דנן לבין גזר דין שהוטל במסגרת הסדר טיעון בתיק </w:t>
      </w:r>
      <w:r>
        <w:rPr>
          <w:rFonts w:hint="cs"/>
          <w:rtl/>
        </w:rPr>
        <w:t>אחר</w:t>
      </w:r>
      <w:r>
        <w:rPr>
          <w:rtl/>
        </w:rPr>
        <w:t xml:space="preserve"> שבו עתרה המאשימה לעונש של 10 חודשי מאסר בפועל, כולל הפעלת מאסר מותנה, וכך נגזר (</w:t>
      </w:r>
      <w:hyperlink r:id="rId14" w:history="1">
        <w:r w:rsidR="006D45CD" w:rsidRPr="006D45CD">
          <w:rPr>
            <w:rStyle w:val="Hyperlink"/>
            <w:rtl/>
          </w:rPr>
          <w:t>ת"פ (פ"ת) 10176-08-12</w:t>
        </w:r>
      </w:hyperlink>
      <w:r>
        <w:rPr>
          <w:rtl/>
        </w:rPr>
        <w:t xml:space="preserve"> </w:t>
      </w:r>
      <w:r>
        <w:rPr>
          <w:b/>
          <w:bCs/>
          <w:rtl/>
        </w:rPr>
        <w:t xml:space="preserve">מדינת ישראל נ' צופינסקי </w:t>
      </w:r>
      <w:r>
        <w:rPr>
          <w:rtl/>
        </w:rPr>
        <w:t>(מיום 4.12.12) (להלן: "</w:t>
      </w:r>
      <w:r>
        <w:rPr>
          <w:b/>
          <w:bCs/>
          <w:rtl/>
        </w:rPr>
        <w:t>התיק האחר</w:t>
      </w:r>
      <w:r>
        <w:rPr>
          <w:rtl/>
        </w:rPr>
        <w:t xml:space="preserve">"). לטענת ב"כ הנאשם, אין מקום להחמיר עם עניינו של המשיב מעבר לעניינו של האחר שבו הסכימה המאשימה לעונש של 10 חודשי מאסר בפועל. לעומת זאת, לטענת המאשימה, המקרה דנן חמור יותר מהתיק האחר, ולפיכך עונשו של הנאשם צריך להיות חמור יותר בהתאמה. </w:t>
      </w:r>
    </w:p>
    <w:p w14:paraId="21B81852" w14:textId="77777777" w:rsidR="00A55AD9" w:rsidRDefault="00FF29BA">
      <w:pPr>
        <w:pStyle w:val="a7"/>
        <w:rPr>
          <w:rtl/>
        </w:rPr>
      </w:pPr>
      <w:r>
        <w:rPr>
          <w:rtl/>
        </w:rPr>
        <w:t>טיעוני הצדדים</w:t>
      </w:r>
    </w:p>
    <w:p w14:paraId="2E89B92A" w14:textId="77777777" w:rsidR="00A55AD9" w:rsidRDefault="00FF29BA">
      <w:pPr>
        <w:pStyle w:val="a"/>
      </w:pPr>
      <w:r>
        <w:rPr>
          <w:rtl/>
        </w:rPr>
        <w:t>לטענת ב"כ המאשימה, עו"ד קרן פינקלס, הנאשם יליד 1991, עומד לדין בגין עבירות סמים זו הפעם השלישית. בשנת 2008 נשפט בבית-משפט לנוער, וענינו הסתיים ללא הרשעה. בשנת 2011 נדון ל- 10 חודשי מאסר בפועל, ול- 8 חודשי מאסר על תנאי שהינו בר הפעלה בתיק זה, ולקנס בסך 3,000 ₪. לטענת המאשימה, לנאשם בתיק האחר בעברו הרשעה אחת בעבירות סמים וריצה מאסר בן 12 ח</w:t>
      </w:r>
      <w:r>
        <w:rPr>
          <w:rFonts w:hint="cs"/>
          <w:rtl/>
        </w:rPr>
        <w:t>ו</w:t>
      </w:r>
      <w:r>
        <w:rPr>
          <w:rtl/>
        </w:rPr>
        <w:t xml:space="preserve">דשים. שם דובר על בחור צעיר שהתייתם מאביו בזמן היותו בכלא, ונותר ללא מסגרת תומכת, ללא חברים או משפחה וללא ביקורים. במקרה דנן מדובר במי שבפעם השלישית עומד לדין ולא הפיק לקח. הנאשם במקרה דנן שוחרר ממאסרו רק ביום 1.1.12, ולפיכך יש לכבד את ההסדר ברף העליון שלו. </w:t>
      </w:r>
    </w:p>
    <w:p w14:paraId="74913CA6" w14:textId="77777777" w:rsidR="00A55AD9" w:rsidRDefault="00FF29BA">
      <w:pPr>
        <w:pStyle w:val="a"/>
      </w:pPr>
      <w:r>
        <w:rPr>
          <w:rtl/>
        </w:rPr>
        <w:t xml:space="preserve">ב"כ הנאשם, עו"ד דנה פישר דורי, טענה כי לנאשם האחר יש הרשעה קודמת בתחום הסמים שם צירף חמישה תיקים ונדון ל- 12 חודשי מאסר בפועל, ו- 8 חודשי מאסר על תנאי. בבית משפט לנוער נדון ל- 6 </w:t>
      </w:r>
      <w:r>
        <w:rPr>
          <w:rFonts w:hint="cs"/>
          <w:rtl/>
        </w:rPr>
        <w:t>ח</w:t>
      </w:r>
      <w:r>
        <w:rPr>
          <w:rtl/>
        </w:rPr>
        <w:t>וד</w:t>
      </w:r>
      <w:r>
        <w:rPr>
          <w:rFonts w:hint="cs"/>
          <w:rtl/>
        </w:rPr>
        <w:t>ש</w:t>
      </w:r>
      <w:r>
        <w:rPr>
          <w:rtl/>
        </w:rPr>
        <w:t xml:space="preserve">י עבודות שירות. בשני התיקים לא חלף זמן רב מאז שחרור הנאשמים ממאסרם הקודם. לטענת ב"כ הנאשם, על הנאשם האחר הוטל בתיק הקודם מאסר ארוך יותר והנסיבות של האחר לא השתנו מגזר הדין הקודם. אצל האחר כמות הסם הייתה אף רבה יותר. האחר אף הסתובב עם הסם ברחוב, בניגוד לנאשם שהחזיק את הסם בביתו. האחר לא ניסה לבצע הליך טיפולי ואילו הנאשם כאן ניסה לעבור </w:t>
      </w:r>
      <w:r>
        <w:rPr>
          <w:rtl/>
        </w:rPr>
        <w:lastRenderedPageBreak/>
        <w:t>הליך טיפולי, אך נעצר עד תום ההליכים. אף בעניין הנסיבות האישיות טענה ב"כ הנאשם כי מדובר בבחור צעיר בן 21, שהוריו התגרשו כשהיה צעיר, ולא היה לו קשר עם האב במשך שנים רבות, והייתה התדרדרות שלו לסמים ולחברה שולית, כאשר הי</w:t>
      </w:r>
      <w:r>
        <w:rPr>
          <w:rFonts w:hint="cs"/>
          <w:rtl/>
        </w:rPr>
        <w:t>ו</w:t>
      </w:r>
      <w:r>
        <w:rPr>
          <w:rtl/>
        </w:rPr>
        <w:t xml:space="preserve">ם הוא מגלה הבנה ורצון לערוך שינוי בחייו. הוא השתלב בחינוך ומבקש להשתלב בקבוצת </w:t>
      </w:r>
      <w:r>
        <w:t>NA</w:t>
      </w:r>
      <w:r>
        <w:rPr>
          <w:rtl/>
        </w:rPr>
        <w:t xml:space="preserve">. לפיכך, אין הבדל מהותי אשר מצדיק פער בן חודשיים. לעניין הפסילה, טענה ב"כ הנאשם כי די בפסילה של שישה חודשי, ובנוגע לקנס, אין מקום להכביד על הנאשם. </w:t>
      </w:r>
    </w:p>
    <w:p w14:paraId="02D09595" w14:textId="77777777" w:rsidR="00A55AD9" w:rsidRDefault="00FF29BA">
      <w:pPr>
        <w:pStyle w:val="a"/>
      </w:pPr>
      <w:r>
        <w:rPr>
          <w:rtl/>
        </w:rPr>
        <w:t xml:space="preserve">הנאשם עצמו מסר כי היום הוא עובר הליך של טיפול בסמים, ואינו מתכוון לחזור ולהשתמש בסמים. </w:t>
      </w:r>
    </w:p>
    <w:p w14:paraId="1707308D" w14:textId="77777777" w:rsidR="00A55AD9" w:rsidRDefault="00FF29BA">
      <w:pPr>
        <w:pStyle w:val="a7"/>
        <w:rPr>
          <w:rtl/>
        </w:rPr>
      </w:pPr>
      <w:r>
        <w:rPr>
          <w:rtl/>
        </w:rPr>
        <w:t>דיון וגזירת הדין</w:t>
      </w:r>
    </w:p>
    <w:p w14:paraId="09DE4647" w14:textId="77777777" w:rsidR="00A55AD9" w:rsidRDefault="00FF29BA">
      <w:pPr>
        <w:pStyle w:val="a"/>
        <w:rPr>
          <w:rtl/>
        </w:rPr>
      </w:pPr>
      <w:r>
        <w:rPr>
          <w:rtl/>
        </w:rPr>
        <w:t>הואיל והסדר הטיעון מגדיר יריעת מחלוקת מצוצמת הנוגעת לענישה (בין 10 ל- 12 חודשים) ולשיקולי הענישה (טענת אפליה מול תיק אחר), הרי שמן הראוי שהדיון יתמקד ביריעת המחלוקת, ואין מקום לדיון מקיף בעבירה בהתאם לתיקון 113 ל</w:t>
      </w:r>
      <w:hyperlink r:id="rId15" w:history="1">
        <w:r w:rsidR="006D45CD" w:rsidRPr="006D45CD">
          <w:rPr>
            <w:rStyle w:val="Hyperlink"/>
            <w:rtl/>
          </w:rPr>
          <w:t>חוק העונשין</w:t>
        </w:r>
      </w:hyperlink>
      <w:r>
        <w:rPr>
          <w:rtl/>
        </w:rPr>
        <w:t xml:space="preserve">, תשל"ז-1977. ככלל, יש לציין, כי הן העונש שאליו עותרת המאשימה והן העונש שאליו עותרת ההגנה נמצאים בגדרי מתחם העונש ההולם במקרה דנן, ובאף אחת מן העתירות אין משום סטייה ממדיניות הענישה המקובלת במקרים מסוג זה. </w:t>
      </w:r>
    </w:p>
    <w:p w14:paraId="2F3ACCFD" w14:textId="77777777" w:rsidR="00A55AD9" w:rsidRDefault="00FF29BA">
      <w:pPr>
        <w:pStyle w:val="a"/>
      </w:pPr>
      <w:r>
        <w:rPr>
          <w:rtl/>
        </w:rPr>
        <w:t>לאור האמור לעיל, מן הראוי לבחון את עניינו של הנאשם מול עניינו של האחר, וזאת כדלקמן:</w:t>
      </w:r>
    </w:p>
    <w:p w14:paraId="7DD6CC6A" w14:textId="77777777" w:rsidR="00A55AD9" w:rsidRDefault="00FF29BA">
      <w:pPr>
        <w:pStyle w:val="a"/>
        <w:numPr>
          <w:ilvl w:val="0"/>
          <w:numId w:val="4"/>
        </w:numPr>
        <w:rPr>
          <w:rtl/>
        </w:rPr>
      </w:pPr>
      <w:r>
        <w:rPr>
          <w:rtl/>
        </w:rPr>
        <w:t xml:space="preserve">הנאשם הורשע בהחזקת סם מסוג חשיש במשקל של 117 גרם נטו. האחר הורשע בהחזקת סם מסוג חשיש במשקל של 131 גרם נטו. </w:t>
      </w:r>
    </w:p>
    <w:p w14:paraId="346CFBCA" w14:textId="77777777" w:rsidR="00A55AD9" w:rsidRDefault="00FF29BA">
      <w:pPr>
        <w:pStyle w:val="a"/>
        <w:numPr>
          <w:ilvl w:val="0"/>
          <w:numId w:val="4"/>
        </w:numPr>
      </w:pPr>
      <w:r>
        <w:rPr>
          <w:rtl/>
        </w:rPr>
        <w:t xml:space="preserve">הנאשם החזיק את הסם בביתו. האחר החזיק את הסם על גפו ברחוב. </w:t>
      </w:r>
    </w:p>
    <w:p w14:paraId="540442D5" w14:textId="77777777" w:rsidR="00A55AD9" w:rsidRDefault="00FF29BA">
      <w:pPr>
        <w:pStyle w:val="a"/>
        <w:numPr>
          <w:ilvl w:val="0"/>
          <w:numId w:val="4"/>
        </w:numPr>
      </w:pPr>
      <w:r>
        <w:rPr>
          <w:rtl/>
        </w:rPr>
        <w:t xml:space="preserve">הנאשם יליד 1991. האחר ילידה 1990. </w:t>
      </w:r>
    </w:p>
    <w:p w14:paraId="4284C609" w14:textId="77777777" w:rsidR="00A55AD9" w:rsidRDefault="00FF29BA">
      <w:pPr>
        <w:pStyle w:val="a"/>
        <w:numPr>
          <w:ilvl w:val="0"/>
          <w:numId w:val="4"/>
        </w:numPr>
      </w:pPr>
      <w:r>
        <w:rPr>
          <w:rtl/>
        </w:rPr>
        <w:t xml:space="preserve">הנאשם הודה והורשע ביום 27.12.12 והאחר הודה והורשע ביום 4.12.12. </w:t>
      </w:r>
    </w:p>
    <w:p w14:paraId="7AAE2D3E" w14:textId="77777777" w:rsidR="00A55AD9" w:rsidRDefault="00FF29BA">
      <w:pPr>
        <w:pStyle w:val="a"/>
        <w:numPr>
          <w:ilvl w:val="0"/>
          <w:numId w:val="4"/>
        </w:numPr>
      </w:pPr>
      <w:r>
        <w:rPr>
          <w:rtl/>
        </w:rPr>
        <w:t xml:space="preserve">שניהם נעצרו עד תום ההליכים. </w:t>
      </w:r>
    </w:p>
    <w:p w14:paraId="070AABE6" w14:textId="77777777" w:rsidR="00A55AD9" w:rsidRDefault="00FF29BA">
      <w:pPr>
        <w:pStyle w:val="a"/>
        <w:numPr>
          <w:ilvl w:val="0"/>
          <w:numId w:val="4"/>
        </w:numPr>
      </w:pPr>
      <w:r>
        <w:rPr>
          <w:rtl/>
        </w:rPr>
        <w:t xml:space="preserve">לחובתו של הנאשם הרשעה קודמת אחת שבגינה נדון ל- 10 חודשי מאסר בפועל, וכן הליך מבית-משפט לנוער שהסתיים ללא הרשעה (בעבירות סמים). לחובתו של האחר שתי הרשעות קודמות, שבגין אחת נדון ל- 12 חודשי מאסר בועל, ובגין השנייה נדון לשישה חודשי מאסר בדרך של עבודות שירות (בעבירות של מעשה מגונה ואיומים). </w:t>
      </w:r>
    </w:p>
    <w:p w14:paraId="3F713A25" w14:textId="77777777" w:rsidR="00A55AD9" w:rsidRDefault="00FF29BA">
      <w:pPr>
        <w:pStyle w:val="a"/>
        <w:numPr>
          <w:ilvl w:val="0"/>
          <w:numId w:val="4"/>
        </w:numPr>
      </w:pPr>
      <w:r>
        <w:rPr>
          <w:rtl/>
        </w:rPr>
        <w:t>שני הנאשמים ביצעו את העבירה הנוכחית זמן לא רב לאחר ששוחר</w:t>
      </w:r>
      <w:r>
        <w:rPr>
          <w:rFonts w:hint="cs"/>
          <w:rtl/>
        </w:rPr>
        <w:t>ר</w:t>
      </w:r>
      <w:r>
        <w:rPr>
          <w:rtl/>
        </w:rPr>
        <w:t xml:space="preserve">ו ממאסר קודם. </w:t>
      </w:r>
    </w:p>
    <w:p w14:paraId="75D081FE" w14:textId="77777777" w:rsidR="00A55AD9" w:rsidRDefault="00FF29BA">
      <w:pPr>
        <w:pStyle w:val="a"/>
        <w:numPr>
          <w:ilvl w:val="0"/>
          <w:numId w:val="4"/>
        </w:numPr>
      </w:pPr>
      <w:r>
        <w:rPr>
          <w:rtl/>
        </w:rPr>
        <w:t xml:space="preserve">שניהם הודו ונטלו אחריות למעשיהם. </w:t>
      </w:r>
    </w:p>
    <w:p w14:paraId="5B17E455" w14:textId="77777777" w:rsidR="00A55AD9" w:rsidRDefault="00FF29BA">
      <w:pPr>
        <w:pStyle w:val="a"/>
        <w:numPr>
          <w:ilvl w:val="0"/>
          <w:numId w:val="4"/>
        </w:numPr>
      </w:pPr>
      <w:r>
        <w:rPr>
          <w:rtl/>
        </w:rPr>
        <w:t>הוריו של הנאשם גרושים וחיים בישראל, ולנאשם לא היה קשר עם אביו; האחר עלה לארץ בשנת 2007, נמצא בארץ לבד, ללא קרובים, ואביו נלך לעולמו בעת שהותו בכלא. אין לו חברים, ואין מי שיבקרו במאסר.</w:t>
      </w:r>
    </w:p>
    <w:p w14:paraId="3E9F82D8" w14:textId="77777777" w:rsidR="00A55AD9" w:rsidRDefault="00FF29BA">
      <w:pPr>
        <w:pStyle w:val="a"/>
      </w:pPr>
      <w:r>
        <w:rPr>
          <w:rtl/>
        </w:rPr>
        <w:t>השוואת שני המקרים מעלה כי מדובר במקרים דומים מאוד. ההבדל העיקרי בין המקרים נוגע לנסיבות האישיות, כאשר נסיבותיו האישיות של האחר הינן קשות יותר מאלה של הנאשם. כאמור לעיל, האחר עלה לארץ בשנת 2007, הוא שוהה בארץ לבד, אין מי שיבקרו במאסר, אין מי שיסי</w:t>
      </w:r>
      <w:r>
        <w:rPr>
          <w:rFonts w:hint="cs"/>
          <w:rtl/>
        </w:rPr>
        <w:t>י</w:t>
      </w:r>
      <w:r>
        <w:rPr>
          <w:rtl/>
        </w:rPr>
        <w:t>ע לו מבחינה כלכלית. נסיבותיו האישיות של הנאשם קשות אף הן, אך פחות מא</w:t>
      </w:r>
      <w:r>
        <w:rPr>
          <w:rFonts w:hint="cs"/>
          <w:rtl/>
        </w:rPr>
        <w:t>ש</w:t>
      </w:r>
      <w:r>
        <w:rPr>
          <w:rtl/>
        </w:rPr>
        <w:t xml:space="preserve">ר של האחר. לעומת זאת, בחינת העבר הפלילי של הנאשמים מעלה כי עברו הפלילי של האחר חמור יותר, והאחר אף החזיק כמות גדולה יותר של סם (גם אם לא באופן משמעותי) ובנסיבות חמורות יותר. </w:t>
      </w:r>
    </w:p>
    <w:p w14:paraId="086B7CE0" w14:textId="77777777" w:rsidR="00A55AD9" w:rsidRDefault="00FF29BA">
      <w:pPr>
        <w:pStyle w:val="a"/>
      </w:pPr>
      <w:r>
        <w:rPr>
          <w:rtl/>
        </w:rPr>
        <w:t xml:space="preserve">באיזון בין השיקולים השונים, ובשים לב לדמיון הרב שבין המקרים, סבורני כי בכל הנוגע לתקופת המאסר בפועל, מן הראוי שלא להחמיר עם הנאשם לעומת האחר. הפער בנסיבות האישיות אינו מצדיק החמרה בעונש המאסר בפועל שיוטל על הנאשם. יחד עם זאת, מן הראוי להחמיר עם הנאשם ברכיבים האחרים, ובפרט בנוגע לרכיב הקנס. בית-המשפט התחשב בהעדר הסביבה התומכת של האחר והסתפק בקנס סמלי של 500 ₪. לגבי הנאשם, סבורני כי יש להטיל עליו קנס משמעותי ומרתיע, שלא יפחת מהקנס שהוטל עליו בגזר הדין הקודם בעניינו (בסך 3,000 ₪). </w:t>
      </w:r>
    </w:p>
    <w:p w14:paraId="1EA26023" w14:textId="77777777" w:rsidR="00A55AD9" w:rsidRDefault="00FF29BA">
      <w:pPr>
        <w:pStyle w:val="a7"/>
        <w:rPr>
          <w:rtl/>
        </w:rPr>
      </w:pPr>
      <w:r>
        <w:rPr>
          <w:rtl/>
        </w:rPr>
        <w:t>פסילת הרישיון</w:t>
      </w:r>
    </w:p>
    <w:p w14:paraId="564EF27C" w14:textId="77777777" w:rsidR="00A55AD9" w:rsidRDefault="00FF29BA">
      <w:pPr>
        <w:pStyle w:val="a"/>
      </w:pPr>
      <w:r>
        <w:rPr>
          <w:rtl/>
        </w:rPr>
        <w:t>בכל הנוגע לפסילת רישיון הנאשם, יש ליתן את הדעת לכך שב</w:t>
      </w:r>
      <w:hyperlink r:id="rId16" w:history="1">
        <w:r w:rsidR="006D45CD" w:rsidRPr="006D45CD">
          <w:rPr>
            <w:rStyle w:val="Hyperlink"/>
            <w:rtl/>
          </w:rPr>
          <w:t>ת"פ (פ"ת) 1763-11-10</w:t>
        </w:r>
      </w:hyperlink>
      <w:r>
        <w:rPr>
          <w:rtl/>
        </w:rPr>
        <w:t xml:space="preserve"> מיום 4.12.11 נדון הנאשם, בין היתר, לשישה חודשי פסילה על תנאי, למשך שלוש שנים מיום שחרורו, שלא יעבור עבירה לפי פקודת הסמים. המאשימה לא עתרה להפעלת התנאי, ולפיכך לא יופעל התנאי. יחד עם זאת, בשים לב לכך שהנאשם משתמש בסמים, כדבריו (עמ' 6, ש' 17-18), ובשים לב לכך שמדובר בהליך שלישי שבו הודה הנאשם בעבירות סמים שונות, סבורני כי מן הראוי שתקופת הפסילה בפועל תהיה ארוכה. </w:t>
      </w:r>
    </w:p>
    <w:p w14:paraId="2DB95BBC" w14:textId="77777777" w:rsidR="00A55AD9" w:rsidRDefault="00FF29BA">
      <w:pPr>
        <w:pStyle w:val="a7"/>
        <w:rPr>
          <w:rtl/>
        </w:rPr>
      </w:pPr>
      <w:r>
        <w:rPr>
          <w:rtl/>
        </w:rPr>
        <w:t>סוף דבר</w:t>
      </w:r>
    </w:p>
    <w:p w14:paraId="3B010939" w14:textId="77777777" w:rsidR="00A55AD9" w:rsidRDefault="00FF29BA">
      <w:pPr>
        <w:pStyle w:val="a"/>
      </w:pPr>
      <w:r>
        <w:rPr>
          <w:b/>
          <w:bCs/>
          <w:u w:val="single"/>
          <w:rtl/>
        </w:rPr>
        <w:t>אשר על-כן, אני גוזר על הנאשם את העונשים הבאים</w:t>
      </w:r>
      <w:r>
        <w:rPr>
          <w:rtl/>
        </w:rPr>
        <w:t>:</w:t>
      </w:r>
    </w:p>
    <w:p w14:paraId="31CBA5F3" w14:textId="77777777" w:rsidR="00A55AD9" w:rsidRDefault="00FF29BA">
      <w:pPr>
        <w:pStyle w:val="a9"/>
        <w:numPr>
          <w:ilvl w:val="0"/>
          <w:numId w:val="2"/>
        </w:numPr>
      </w:pPr>
      <w:r>
        <w:rPr>
          <w:rtl/>
        </w:rPr>
        <w:t xml:space="preserve">8 </w:t>
      </w:r>
      <w:r>
        <w:rPr>
          <w:rFonts w:hint="eastAsia"/>
          <w:rtl/>
        </w:rPr>
        <w:t>חודשי</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שמנ</w:t>
      </w:r>
      <w:r>
        <w:rPr>
          <w:rFonts w:hint="cs"/>
          <w:rtl/>
        </w:rPr>
        <w:t>יינ</w:t>
      </w:r>
      <w:r>
        <w:rPr>
          <w:rFonts w:hint="eastAsia"/>
          <w:rtl/>
        </w:rPr>
        <w:t>ם</w:t>
      </w:r>
      <w:r>
        <w:rPr>
          <w:rtl/>
        </w:rPr>
        <w:t xml:space="preserve"> </w:t>
      </w:r>
      <w:r>
        <w:rPr>
          <w:rFonts w:hint="eastAsia"/>
          <w:rtl/>
        </w:rPr>
        <w:t>החל</w:t>
      </w:r>
      <w:r>
        <w:rPr>
          <w:rtl/>
        </w:rPr>
        <w:t xml:space="preserve"> </w:t>
      </w:r>
      <w:r>
        <w:rPr>
          <w:rFonts w:hint="eastAsia"/>
          <w:rtl/>
        </w:rPr>
        <w:t>מיום</w:t>
      </w:r>
      <w:r>
        <w:rPr>
          <w:rtl/>
        </w:rPr>
        <w:t xml:space="preserve"> </w:t>
      </w:r>
      <w:r>
        <w:rPr>
          <w:rFonts w:hint="eastAsia"/>
          <w:rtl/>
        </w:rPr>
        <w:t>מעצרו</w:t>
      </w:r>
      <w:r>
        <w:rPr>
          <w:rtl/>
        </w:rPr>
        <w:t xml:space="preserve">, 11.11.12. </w:t>
      </w:r>
    </w:p>
    <w:p w14:paraId="6CAA37BD" w14:textId="77777777" w:rsidR="00A55AD9" w:rsidRDefault="00FF29BA">
      <w:pPr>
        <w:pStyle w:val="a9"/>
        <w:numPr>
          <w:ilvl w:val="0"/>
          <w:numId w:val="2"/>
        </w:numPr>
      </w:pPr>
      <w:r>
        <w:rPr>
          <w:rFonts w:hint="eastAsia"/>
          <w:rtl/>
        </w:rPr>
        <w:t>אני</w:t>
      </w:r>
      <w:r>
        <w:rPr>
          <w:rtl/>
        </w:rPr>
        <w:t xml:space="preserve"> </w:t>
      </w:r>
      <w:r>
        <w:rPr>
          <w:rFonts w:hint="eastAsia"/>
          <w:rtl/>
        </w:rPr>
        <w:t>מורה</w:t>
      </w:r>
      <w:r>
        <w:rPr>
          <w:rtl/>
        </w:rPr>
        <w:t xml:space="preserve"> </w:t>
      </w:r>
      <w:r>
        <w:rPr>
          <w:rFonts w:hint="eastAsia"/>
          <w:rtl/>
        </w:rPr>
        <w:t>על</w:t>
      </w:r>
      <w:r>
        <w:rPr>
          <w:rtl/>
        </w:rPr>
        <w:t xml:space="preserve"> </w:t>
      </w:r>
      <w:r>
        <w:rPr>
          <w:rFonts w:hint="eastAsia"/>
          <w:rtl/>
        </w:rPr>
        <w:t>הפעלת</w:t>
      </w:r>
      <w:r>
        <w:rPr>
          <w:rtl/>
        </w:rPr>
        <w:t xml:space="preserve"> </w:t>
      </w:r>
      <w:r>
        <w:rPr>
          <w:rFonts w:hint="eastAsia"/>
          <w:rtl/>
        </w:rPr>
        <w:t>עונש</w:t>
      </w:r>
      <w:r>
        <w:rPr>
          <w:rtl/>
        </w:rPr>
        <w:t xml:space="preserve"> </w:t>
      </w:r>
      <w:r>
        <w:rPr>
          <w:rFonts w:hint="eastAsia"/>
          <w:rtl/>
        </w:rPr>
        <w:t>המאסר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בן</w:t>
      </w:r>
      <w:r>
        <w:rPr>
          <w:rtl/>
        </w:rPr>
        <w:t xml:space="preserve"> 8 </w:t>
      </w:r>
      <w:r>
        <w:rPr>
          <w:rFonts w:hint="eastAsia"/>
          <w:rtl/>
        </w:rPr>
        <w:t>חודשים</w:t>
      </w:r>
      <w:r>
        <w:rPr>
          <w:rtl/>
        </w:rPr>
        <w:t xml:space="preserve"> </w:t>
      </w:r>
      <w:r>
        <w:rPr>
          <w:rFonts w:hint="eastAsia"/>
          <w:rtl/>
        </w:rPr>
        <w:t>אשר</w:t>
      </w:r>
      <w:r>
        <w:rPr>
          <w:rtl/>
        </w:rPr>
        <w:t xml:space="preserve"> </w:t>
      </w:r>
      <w:r>
        <w:rPr>
          <w:rFonts w:hint="eastAsia"/>
          <w:rtl/>
        </w:rPr>
        <w:t>הוטל</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ב</w:t>
      </w:r>
      <w:hyperlink r:id="rId17" w:history="1">
        <w:r w:rsidR="006D45CD" w:rsidRPr="006D45CD">
          <w:rPr>
            <w:rStyle w:val="Hyperlink"/>
            <w:rtl/>
          </w:rPr>
          <w:t>ת"פ (פ"ת) 1763-11-10</w:t>
        </w:r>
      </w:hyperlink>
      <w:r>
        <w:rPr>
          <w:rtl/>
        </w:rPr>
        <w:t xml:space="preserve"> (</w:t>
      </w:r>
      <w:r>
        <w:rPr>
          <w:rFonts w:hint="eastAsia"/>
          <w:rtl/>
        </w:rPr>
        <w:t>מיום</w:t>
      </w:r>
      <w:r>
        <w:rPr>
          <w:rtl/>
        </w:rPr>
        <w:t xml:space="preserve"> 4.12.11). </w:t>
      </w:r>
      <w:r>
        <w:rPr>
          <w:rFonts w:hint="eastAsia"/>
          <w:rtl/>
        </w:rPr>
        <w:t>עונש</w:t>
      </w:r>
      <w:r>
        <w:rPr>
          <w:rtl/>
        </w:rPr>
        <w:t xml:space="preserve"> </w:t>
      </w:r>
      <w:r>
        <w:rPr>
          <w:rFonts w:hint="eastAsia"/>
          <w:rtl/>
        </w:rPr>
        <w:t>המאסר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יופעל</w:t>
      </w:r>
      <w:r>
        <w:rPr>
          <w:rtl/>
        </w:rPr>
        <w:t xml:space="preserve"> </w:t>
      </w:r>
      <w:r>
        <w:rPr>
          <w:rFonts w:hint="eastAsia"/>
          <w:rtl/>
        </w:rPr>
        <w:t>כך</w:t>
      </w:r>
      <w:r>
        <w:rPr>
          <w:rtl/>
        </w:rPr>
        <w:t xml:space="preserve"> </w:t>
      </w:r>
      <w:r>
        <w:rPr>
          <w:rFonts w:hint="eastAsia"/>
          <w:rtl/>
        </w:rPr>
        <w:t>שחודשיים</w:t>
      </w:r>
      <w:r>
        <w:rPr>
          <w:rtl/>
        </w:rPr>
        <w:t xml:space="preserve"> </w:t>
      </w:r>
      <w:r>
        <w:rPr>
          <w:rFonts w:hint="eastAsia"/>
          <w:rtl/>
        </w:rPr>
        <w:t>יהיו</w:t>
      </w:r>
      <w:r>
        <w:rPr>
          <w:rtl/>
        </w:rPr>
        <w:t xml:space="preserve"> </w:t>
      </w:r>
      <w:r>
        <w:rPr>
          <w:rFonts w:hint="eastAsia"/>
          <w:rtl/>
        </w:rPr>
        <w:t>במצטבר</w:t>
      </w:r>
      <w:r>
        <w:rPr>
          <w:rtl/>
        </w:rPr>
        <w:t xml:space="preserve"> </w:t>
      </w:r>
      <w:r>
        <w:rPr>
          <w:rFonts w:hint="eastAsia"/>
          <w:rtl/>
        </w:rPr>
        <w:t>והיתרה</w:t>
      </w:r>
      <w:r>
        <w:rPr>
          <w:rtl/>
        </w:rPr>
        <w:t xml:space="preserve"> </w:t>
      </w:r>
      <w:r>
        <w:rPr>
          <w:rFonts w:hint="eastAsia"/>
          <w:rtl/>
        </w:rPr>
        <w:t>בחופף</w:t>
      </w:r>
      <w:r>
        <w:rPr>
          <w:rtl/>
        </w:rPr>
        <w:t xml:space="preserve"> </w:t>
      </w:r>
      <w:r>
        <w:rPr>
          <w:rFonts w:hint="eastAsia"/>
          <w:rtl/>
        </w:rPr>
        <w:t>לעונש</w:t>
      </w:r>
      <w:r>
        <w:rPr>
          <w:rtl/>
        </w:rPr>
        <w:t xml:space="preserve"> </w:t>
      </w:r>
      <w:r>
        <w:rPr>
          <w:rFonts w:hint="eastAsia"/>
          <w:rtl/>
        </w:rPr>
        <w:t>שמוטל</w:t>
      </w:r>
      <w:r>
        <w:rPr>
          <w:rtl/>
        </w:rPr>
        <w:t xml:space="preserve"> </w:t>
      </w:r>
      <w:r>
        <w:rPr>
          <w:rFonts w:hint="eastAsia"/>
          <w:rtl/>
        </w:rPr>
        <w:t>בגין</w:t>
      </w:r>
      <w:r>
        <w:rPr>
          <w:rtl/>
        </w:rPr>
        <w:t xml:space="preserve"> </w:t>
      </w:r>
      <w:r>
        <w:rPr>
          <w:rFonts w:hint="eastAsia"/>
          <w:rtl/>
        </w:rPr>
        <w:t>תיק</w:t>
      </w:r>
      <w:r>
        <w:rPr>
          <w:rtl/>
        </w:rPr>
        <w:t xml:space="preserve"> </w:t>
      </w:r>
      <w:r>
        <w:rPr>
          <w:rFonts w:hint="eastAsia"/>
          <w:rtl/>
        </w:rPr>
        <w:t>זה</w:t>
      </w:r>
      <w:r>
        <w:rPr>
          <w:rtl/>
        </w:rPr>
        <w:t xml:space="preserve"> </w:t>
      </w:r>
      <w:r>
        <w:rPr>
          <w:rFonts w:hint="eastAsia"/>
          <w:rtl/>
        </w:rPr>
        <w:t>כך</w:t>
      </w:r>
      <w:r>
        <w:rPr>
          <w:rtl/>
        </w:rPr>
        <w:t xml:space="preserve"> </w:t>
      </w:r>
      <w:r>
        <w:rPr>
          <w:rFonts w:hint="eastAsia"/>
          <w:rtl/>
        </w:rPr>
        <w:t>ש</w:t>
      </w:r>
      <w:r>
        <w:rPr>
          <w:rFonts w:hint="eastAsia"/>
          <w:b/>
          <w:bCs/>
          <w:rtl/>
        </w:rPr>
        <w:t>סך</w:t>
      </w:r>
      <w:r>
        <w:rPr>
          <w:b/>
          <w:bCs/>
          <w:rtl/>
        </w:rPr>
        <w:t xml:space="preserve"> </w:t>
      </w:r>
      <w:r>
        <w:rPr>
          <w:rFonts w:hint="eastAsia"/>
          <w:b/>
          <w:bCs/>
          <w:rtl/>
        </w:rPr>
        <w:t>הכל</w:t>
      </w:r>
      <w:r>
        <w:rPr>
          <w:b/>
          <w:bCs/>
          <w:rtl/>
        </w:rPr>
        <w:t xml:space="preserve"> </w:t>
      </w:r>
      <w:r>
        <w:rPr>
          <w:rFonts w:hint="eastAsia"/>
          <w:b/>
          <w:bCs/>
          <w:rtl/>
        </w:rPr>
        <w:t>ירצה</w:t>
      </w:r>
      <w:r>
        <w:rPr>
          <w:b/>
          <w:bCs/>
          <w:rtl/>
        </w:rPr>
        <w:t xml:space="preserve"> </w:t>
      </w:r>
      <w:r>
        <w:rPr>
          <w:rFonts w:hint="eastAsia"/>
          <w:b/>
          <w:bCs/>
          <w:rtl/>
        </w:rPr>
        <w:t>הנאשם</w:t>
      </w:r>
      <w:r>
        <w:rPr>
          <w:b/>
          <w:bCs/>
          <w:rtl/>
        </w:rPr>
        <w:t xml:space="preserve"> 10 </w:t>
      </w:r>
      <w:r>
        <w:rPr>
          <w:rFonts w:hint="eastAsia"/>
          <w:b/>
          <w:bCs/>
          <w:rtl/>
        </w:rPr>
        <w:t>חודשי</w:t>
      </w:r>
      <w:r>
        <w:rPr>
          <w:b/>
          <w:bCs/>
          <w:rtl/>
        </w:rPr>
        <w:t xml:space="preserve"> </w:t>
      </w:r>
      <w:r>
        <w:rPr>
          <w:rFonts w:hint="eastAsia"/>
          <w:b/>
          <w:bCs/>
          <w:rtl/>
        </w:rPr>
        <w:t>מאסר</w:t>
      </w:r>
      <w:r>
        <w:rPr>
          <w:b/>
          <w:bCs/>
          <w:rtl/>
        </w:rPr>
        <w:t xml:space="preserve"> </w:t>
      </w:r>
      <w:r>
        <w:rPr>
          <w:rFonts w:hint="eastAsia"/>
          <w:b/>
          <w:bCs/>
          <w:rtl/>
        </w:rPr>
        <w:t>בפועל</w:t>
      </w:r>
      <w:r>
        <w:rPr>
          <w:b/>
          <w:bCs/>
          <w:rtl/>
        </w:rPr>
        <w:t xml:space="preserve">, </w:t>
      </w:r>
      <w:r>
        <w:rPr>
          <w:rFonts w:hint="eastAsia"/>
          <w:b/>
          <w:bCs/>
          <w:rtl/>
        </w:rPr>
        <w:t>החל</w:t>
      </w:r>
      <w:r>
        <w:rPr>
          <w:b/>
          <w:bCs/>
          <w:rtl/>
        </w:rPr>
        <w:t xml:space="preserve"> </w:t>
      </w:r>
      <w:r>
        <w:rPr>
          <w:rFonts w:hint="eastAsia"/>
          <w:b/>
          <w:bCs/>
          <w:rtl/>
        </w:rPr>
        <w:t>מיום</w:t>
      </w:r>
      <w:r>
        <w:rPr>
          <w:b/>
          <w:bCs/>
          <w:rtl/>
        </w:rPr>
        <w:t xml:space="preserve"> </w:t>
      </w:r>
      <w:r>
        <w:rPr>
          <w:rFonts w:hint="eastAsia"/>
          <w:b/>
          <w:bCs/>
          <w:rtl/>
        </w:rPr>
        <w:t>מעצרו</w:t>
      </w:r>
      <w:r>
        <w:rPr>
          <w:rtl/>
        </w:rPr>
        <w:t xml:space="preserve">. </w:t>
      </w:r>
    </w:p>
    <w:p w14:paraId="59292D0B" w14:textId="77777777" w:rsidR="00A55AD9" w:rsidRDefault="00FF29BA">
      <w:pPr>
        <w:pStyle w:val="a9"/>
        <w:numPr>
          <w:ilvl w:val="0"/>
          <w:numId w:val="2"/>
        </w:numPr>
      </w:pPr>
      <w:r>
        <w:rPr>
          <w:rtl/>
        </w:rPr>
        <w:t xml:space="preserve">8 </w:t>
      </w:r>
      <w:r>
        <w:rPr>
          <w:rFonts w:hint="eastAsia"/>
          <w:rtl/>
        </w:rPr>
        <w:t>חודשי</w:t>
      </w:r>
      <w:r>
        <w:rPr>
          <w:rtl/>
        </w:rPr>
        <w:t xml:space="preserve"> </w:t>
      </w:r>
      <w:r>
        <w:rPr>
          <w:rFonts w:hint="eastAsia"/>
          <w:rtl/>
        </w:rPr>
        <w:t>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לבל</w:t>
      </w:r>
      <w:r>
        <w:rPr>
          <w:rtl/>
        </w:rPr>
        <w:t xml:space="preserve"> </w:t>
      </w:r>
      <w:r>
        <w:rPr>
          <w:rFonts w:hint="eastAsia"/>
          <w:rtl/>
        </w:rPr>
        <w:t>יעבור</w:t>
      </w:r>
      <w:r>
        <w:rPr>
          <w:rtl/>
        </w:rPr>
        <w:t xml:space="preserve"> </w:t>
      </w:r>
      <w:r>
        <w:rPr>
          <w:rFonts w:hint="eastAsia"/>
          <w:rtl/>
        </w:rPr>
        <w:t>הנאשם</w:t>
      </w:r>
      <w:r>
        <w:rPr>
          <w:rtl/>
        </w:rPr>
        <w:t xml:space="preserve"> </w:t>
      </w:r>
      <w:r>
        <w:rPr>
          <w:rFonts w:hint="eastAsia"/>
          <w:rtl/>
        </w:rPr>
        <w:t>במשך</w:t>
      </w:r>
      <w:r>
        <w:rPr>
          <w:rtl/>
        </w:rPr>
        <w:t xml:space="preserve"> </w:t>
      </w:r>
      <w:r>
        <w:rPr>
          <w:rFonts w:hint="eastAsia"/>
          <w:rtl/>
        </w:rPr>
        <w:t>שלוש</w:t>
      </w:r>
      <w:r>
        <w:rPr>
          <w:rtl/>
        </w:rPr>
        <w:t xml:space="preserve"> </w:t>
      </w:r>
      <w:r>
        <w:rPr>
          <w:rFonts w:hint="eastAsia"/>
          <w:rtl/>
        </w:rPr>
        <w:t>שנים</w:t>
      </w:r>
      <w:r>
        <w:rPr>
          <w:rtl/>
        </w:rPr>
        <w:t xml:space="preserve"> </w:t>
      </w:r>
      <w:r>
        <w:rPr>
          <w:rFonts w:hint="eastAsia"/>
          <w:rtl/>
        </w:rPr>
        <w:t>מיום</w:t>
      </w:r>
      <w:r>
        <w:rPr>
          <w:rtl/>
        </w:rPr>
        <w:t xml:space="preserve"> </w:t>
      </w:r>
      <w:r>
        <w:rPr>
          <w:rFonts w:hint="eastAsia"/>
          <w:rtl/>
        </w:rPr>
        <w:t>שחרורו</w:t>
      </w:r>
      <w:r>
        <w:rPr>
          <w:rtl/>
        </w:rPr>
        <w:t xml:space="preserve"> </w:t>
      </w:r>
      <w:r>
        <w:rPr>
          <w:rFonts w:hint="eastAsia"/>
          <w:rtl/>
        </w:rPr>
        <w:t>מן</w:t>
      </w:r>
      <w:r>
        <w:rPr>
          <w:rtl/>
        </w:rPr>
        <w:t xml:space="preserve"> </w:t>
      </w:r>
      <w:r>
        <w:rPr>
          <w:rFonts w:hint="eastAsia"/>
          <w:rtl/>
        </w:rPr>
        <w:t>המאסר</w:t>
      </w:r>
      <w:r>
        <w:rPr>
          <w:rtl/>
        </w:rPr>
        <w:t xml:space="preserve">, </w:t>
      </w:r>
      <w:r>
        <w:rPr>
          <w:rFonts w:hint="eastAsia"/>
          <w:rtl/>
        </w:rPr>
        <w:t>כל</w:t>
      </w:r>
      <w:r>
        <w:rPr>
          <w:rtl/>
        </w:rPr>
        <w:t xml:space="preserve"> </w:t>
      </w:r>
      <w:r>
        <w:rPr>
          <w:rFonts w:hint="eastAsia"/>
          <w:rtl/>
        </w:rPr>
        <w:t>עבירה</w:t>
      </w:r>
      <w:r>
        <w:rPr>
          <w:rtl/>
        </w:rPr>
        <w:t xml:space="preserve"> </w:t>
      </w:r>
      <w:r>
        <w:rPr>
          <w:rFonts w:hint="eastAsia"/>
          <w:rtl/>
        </w:rPr>
        <w:t>מסוג</w:t>
      </w:r>
      <w:r>
        <w:rPr>
          <w:rtl/>
        </w:rPr>
        <w:t xml:space="preserve"> </w:t>
      </w:r>
      <w:r>
        <w:rPr>
          <w:rFonts w:hint="eastAsia"/>
          <w:rtl/>
        </w:rPr>
        <w:t>פשע</w:t>
      </w:r>
      <w:r>
        <w:rPr>
          <w:rtl/>
        </w:rPr>
        <w:t xml:space="preserve"> </w:t>
      </w:r>
      <w:r>
        <w:rPr>
          <w:rFonts w:hint="eastAsia"/>
          <w:rtl/>
        </w:rPr>
        <w:t>לפי</w:t>
      </w:r>
      <w:r>
        <w:rPr>
          <w:rtl/>
        </w:rPr>
        <w:t xml:space="preserve"> </w:t>
      </w:r>
      <w:r>
        <w:rPr>
          <w:rFonts w:hint="eastAsia"/>
          <w:rtl/>
        </w:rPr>
        <w:t>פקודת</w:t>
      </w:r>
      <w:r>
        <w:rPr>
          <w:rtl/>
        </w:rPr>
        <w:t xml:space="preserve"> </w:t>
      </w:r>
      <w:r>
        <w:rPr>
          <w:rFonts w:hint="eastAsia"/>
          <w:rtl/>
        </w:rPr>
        <w:t>הסמים</w:t>
      </w:r>
      <w:r>
        <w:rPr>
          <w:rtl/>
        </w:rPr>
        <w:t>.</w:t>
      </w:r>
    </w:p>
    <w:p w14:paraId="1BB1E1AE" w14:textId="77777777" w:rsidR="00A55AD9" w:rsidRDefault="00FF29BA">
      <w:pPr>
        <w:pStyle w:val="a9"/>
        <w:numPr>
          <w:ilvl w:val="0"/>
          <w:numId w:val="2"/>
        </w:numPr>
      </w:pPr>
      <w:r>
        <w:rPr>
          <w:rtl/>
        </w:rPr>
        <w:t xml:space="preserve">4 </w:t>
      </w:r>
      <w:r>
        <w:rPr>
          <w:rFonts w:hint="eastAsia"/>
          <w:rtl/>
        </w:rPr>
        <w:t>חודשי</w:t>
      </w:r>
      <w:r>
        <w:rPr>
          <w:rtl/>
        </w:rPr>
        <w:t xml:space="preserve"> </w:t>
      </w:r>
      <w:r>
        <w:rPr>
          <w:rFonts w:hint="eastAsia"/>
          <w:rtl/>
        </w:rPr>
        <w:t>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לבל</w:t>
      </w:r>
      <w:r>
        <w:rPr>
          <w:rtl/>
        </w:rPr>
        <w:t xml:space="preserve"> </w:t>
      </w:r>
      <w:r>
        <w:rPr>
          <w:rFonts w:hint="eastAsia"/>
          <w:rtl/>
        </w:rPr>
        <w:t>יעבור</w:t>
      </w:r>
      <w:r>
        <w:rPr>
          <w:rtl/>
        </w:rPr>
        <w:t xml:space="preserve"> </w:t>
      </w:r>
      <w:r>
        <w:rPr>
          <w:rFonts w:hint="eastAsia"/>
          <w:rtl/>
        </w:rPr>
        <w:t>הנאשם</w:t>
      </w:r>
      <w:r>
        <w:rPr>
          <w:rtl/>
        </w:rPr>
        <w:t xml:space="preserve"> </w:t>
      </w:r>
      <w:r>
        <w:rPr>
          <w:rFonts w:hint="eastAsia"/>
          <w:rtl/>
        </w:rPr>
        <w:t>במשך</w:t>
      </w:r>
      <w:r>
        <w:rPr>
          <w:rtl/>
        </w:rPr>
        <w:t xml:space="preserve"> </w:t>
      </w:r>
      <w:r>
        <w:rPr>
          <w:rFonts w:hint="eastAsia"/>
          <w:rtl/>
        </w:rPr>
        <w:t>שלוש</w:t>
      </w:r>
      <w:r>
        <w:rPr>
          <w:rtl/>
        </w:rPr>
        <w:t xml:space="preserve"> </w:t>
      </w:r>
      <w:r>
        <w:rPr>
          <w:rFonts w:hint="eastAsia"/>
          <w:rtl/>
        </w:rPr>
        <w:t>שנים</w:t>
      </w:r>
      <w:r>
        <w:rPr>
          <w:rtl/>
        </w:rPr>
        <w:t xml:space="preserve"> </w:t>
      </w:r>
      <w:r>
        <w:rPr>
          <w:rFonts w:hint="eastAsia"/>
          <w:rtl/>
        </w:rPr>
        <w:t>מיום</w:t>
      </w:r>
      <w:r>
        <w:rPr>
          <w:rtl/>
        </w:rPr>
        <w:t xml:space="preserve"> </w:t>
      </w:r>
      <w:r>
        <w:rPr>
          <w:rFonts w:hint="eastAsia"/>
          <w:rtl/>
        </w:rPr>
        <w:t>שחרורו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מן</w:t>
      </w:r>
      <w:r>
        <w:rPr>
          <w:rtl/>
        </w:rPr>
        <w:t xml:space="preserve"> </w:t>
      </w:r>
      <w:r>
        <w:rPr>
          <w:rFonts w:hint="eastAsia"/>
          <w:rtl/>
        </w:rPr>
        <w:t>המאסר</w:t>
      </w:r>
      <w:r>
        <w:rPr>
          <w:rtl/>
        </w:rPr>
        <w:t xml:space="preserve">, </w:t>
      </w:r>
      <w:r>
        <w:rPr>
          <w:rFonts w:hint="eastAsia"/>
          <w:rtl/>
        </w:rPr>
        <w:t>כל</w:t>
      </w:r>
      <w:r>
        <w:rPr>
          <w:rtl/>
        </w:rPr>
        <w:t xml:space="preserve"> </w:t>
      </w:r>
      <w:r>
        <w:rPr>
          <w:rFonts w:hint="eastAsia"/>
          <w:rtl/>
        </w:rPr>
        <w:t>עבירה</w:t>
      </w:r>
      <w:r>
        <w:rPr>
          <w:rtl/>
        </w:rPr>
        <w:t xml:space="preserve"> </w:t>
      </w:r>
      <w:r>
        <w:rPr>
          <w:rFonts w:hint="eastAsia"/>
          <w:rtl/>
        </w:rPr>
        <w:t>מסוג</w:t>
      </w:r>
      <w:r>
        <w:rPr>
          <w:rtl/>
        </w:rPr>
        <w:t xml:space="preserve"> </w:t>
      </w:r>
      <w:r>
        <w:rPr>
          <w:rFonts w:hint="eastAsia"/>
          <w:rtl/>
        </w:rPr>
        <w:t>עוון</w:t>
      </w:r>
      <w:r>
        <w:rPr>
          <w:rtl/>
        </w:rPr>
        <w:t xml:space="preserve"> </w:t>
      </w:r>
      <w:r>
        <w:rPr>
          <w:rFonts w:hint="eastAsia"/>
          <w:rtl/>
        </w:rPr>
        <w:t>לפי</w:t>
      </w:r>
      <w:r>
        <w:rPr>
          <w:rtl/>
        </w:rPr>
        <w:t xml:space="preserve"> </w:t>
      </w:r>
      <w:r>
        <w:rPr>
          <w:rFonts w:hint="eastAsia"/>
          <w:rtl/>
        </w:rPr>
        <w:t>פקודת</w:t>
      </w:r>
      <w:r>
        <w:rPr>
          <w:rtl/>
        </w:rPr>
        <w:t xml:space="preserve"> </w:t>
      </w:r>
      <w:r>
        <w:rPr>
          <w:rFonts w:hint="eastAsia"/>
          <w:rtl/>
        </w:rPr>
        <w:t>הסמים</w:t>
      </w:r>
      <w:r>
        <w:rPr>
          <w:rtl/>
        </w:rPr>
        <w:t>.</w:t>
      </w:r>
    </w:p>
    <w:p w14:paraId="122B8C28" w14:textId="77777777" w:rsidR="00A55AD9" w:rsidRDefault="00FF29BA">
      <w:pPr>
        <w:pStyle w:val="a9"/>
        <w:numPr>
          <w:ilvl w:val="0"/>
          <w:numId w:val="2"/>
        </w:numPr>
      </w:pPr>
      <w:r>
        <w:rPr>
          <w:rFonts w:hint="eastAsia"/>
          <w:rtl/>
        </w:rPr>
        <w:t>קנס</w:t>
      </w:r>
      <w:r>
        <w:rPr>
          <w:rtl/>
        </w:rPr>
        <w:t xml:space="preserve"> </w:t>
      </w:r>
      <w:r>
        <w:rPr>
          <w:rFonts w:hint="eastAsia"/>
          <w:rtl/>
        </w:rPr>
        <w:t>כספי</w:t>
      </w:r>
      <w:r>
        <w:rPr>
          <w:rtl/>
        </w:rPr>
        <w:t xml:space="preserve"> </w:t>
      </w:r>
      <w:r>
        <w:rPr>
          <w:rFonts w:hint="eastAsia"/>
          <w:rtl/>
        </w:rPr>
        <w:t>בסך</w:t>
      </w:r>
      <w:r>
        <w:rPr>
          <w:rtl/>
        </w:rPr>
        <w:t xml:space="preserve"> </w:t>
      </w:r>
      <w:r>
        <w:rPr>
          <w:rFonts w:hint="eastAsia"/>
          <w:rtl/>
        </w:rPr>
        <w:t>של</w:t>
      </w:r>
      <w:r>
        <w:rPr>
          <w:rtl/>
        </w:rPr>
        <w:t xml:space="preserve"> 3,500 </w:t>
      </w:r>
      <w:r>
        <w:rPr>
          <w:rFonts w:hint="eastAsia"/>
          <w:rtl/>
        </w:rPr>
        <w:t>₪</w:t>
      </w:r>
      <w:r>
        <w:rPr>
          <w:rtl/>
        </w:rPr>
        <w:t xml:space="preserve"> </w:t>
      </w:r>
      <w:r>
        <w:rPr>
          <w:rFonts w:hint="eastAsia"/>
          <w:rtl/>
        </w:rPr>
        <w:t>או</w:t>
      </w:r>
      <w:r>
        <w:rPr>
          <w:rtl/>
        </w:rPr>
        <w:t xml:space="preserve"> 35 </w:t>
      </w:r>
      <w:r>
        <w:rPr>
          <w:rFonts w:hint="eastAsia"/>
          <w:rtl/>
        </w:rPr>
        <w:t>ימי</w:t>
      </w:r>
      <w:r>
        <w:rPr>
          <w:rtl/>
        </w:rPr>
        <w:t xml:space="preserve"> </w:t>
      </w:r>
      <w:r>
        <w:rPr>
          <w:rFonts w:hint="eastAsia"/>
          <w:rtl/>
        </w:rPr>
        <w:t>מאסר</w:t>
      </w:r>
      <w:r>
        <w:rPr>
          <w:rtl/>
        </w:rPr>
        <w:t xml:space="preserve"> </w:t>
      </w:r>
      <w:r>
        <w:rPr>
          <w:rFonts w:hint="eastAsia"/>
          <w:rtl/>
        </w:rPr>
        <w:t>תמורתו</w:t>
      </w:r>
      <w:r>
        <w:rPr>
          <w:rtl/>
        </w:rPr>
        <w:t xml:space="preserve">. </w:t>
      </w:r>
      <w:r>
        <w:rPr>
          <w:rFonts w:hint="eastAsia"/>
          <w:rtl/>
        </w:rPr>
        <w:t>הקנס</w:t>
      </w:r>
      <w:r>
        <w:rPr>
          <w:rtl/>
        </w:rPr>
        <w:t xml:space="preserve"> </w:t>
      </w:r>
      <w:r>
        <w:rPr>
          <w:rFonts w:hint="eastAsia"/>
          <w:rtl/>
        </w:rPr>
        <w:t>ישולם</w:t>
      </w:r>
      <w:r>
        <w:rPr>
          <w:rtl/>
        </w:rPr>
        <w:t xml:space="preserve"> </w:t>
      </w:r>
      <w:r>
        <w:rPr>
          <w:rFonts w:hint="eastAsia"/>
          <w:rtl/>
        </w:rPr>
        <w:t>ב</w:t>
      </w:r>
      <w:r>
        <w:rPr>
          <w:rtl/>
        </w:rPr>
        <w:t xml:space="preserve">- 5 </w:t>
      </w:r>
      <w:r>
        <w:rPr>
          <w:rFonts w:hint="eastAsia"/>
          <w:rtl/>
        </w:rPr>
        <w:t>תשלומים</w:t>
      </w:r>
      <w:r>
        <w:rPr>
          <w:rtl/>
        </w:rPr>
        <w:t xml:space="preserve"> </w:t>
      </w:r>
      <w:r>
        <w:rPr>
          <w:rFonts w:hint="eastAsia"/>
          <w:rtl/>
        </w:rPr>
        <w:t>חודשיים</w:t>
      </w:r>
      <w:r>
        <w:rPr>
          <w:rtl/>
        </w:rPr>
        <w:t xml:space="preserve"> </w:t>
      </w:r>
      <w:r>
        <w:rPr>
          <w:rFonts w:hint="eastAsia"/>
          <w:rtl/>
        </w:rPr>
        <w:t>שווים</w:t>
      </w:r>
      <w:r>
        <w:rPr>
          <w:rtl/>
        </w:rPr>
        <w:t xml:space="preserve"> </w:t>
      </w:r>
      <w:r>
        <w:rPr>
          <w:rFonts w:hint="eastAsia"/>
          <w:rtl/>
        </w:rPr>
        <w:t>ורצופים</w:t>
      </w:r>
      <w:r>
        <w:rPr>
          <w:rtl/>
        </w:rPr>
        <w:t xml:space="preserve">, </w:t>
      </w:r>
      <w:r>
        <w:rPr>
          <w:rFonts w:hint="eastAsia"/>
          <w:rtl/>
        </w:rPr>
        <w:t>שהראשון</w:t>
      </w:r>
      <w:r>
        <w:rPr>
          <w:rtl/>
        </w:rPr>
        <w:t xml:space="preserve"> </w:t>
      </w:r>
      <w:r>
        <w:rPr>
          <w:rFonts w:hint="eastAsia"/>
          <w:rtl/>
        </w:rPr>
        <w:t>שבהם</w:t>
      </w:r>
      <w:r>
        <w:rPr>
          <w:rtl/>
        </w:rPr>
        <w:t xml:space="preserve"> </w:t>
      </w:r>
      <w:r>
        <w:rPr>
          <w:rFonts w:hint="eastAsia"/>
          <w:rtl/>
        </w:rPr>
        <w:t>ביום</w:t>
      </w:r>
      <w:r>
        <w:rPr>
          <w:rtl/>
        </w:rPr>
        <w:t xml:space="preserve"> 1.1.14. </w:t>
      </w:r>
    </w:p>
    <w:p w14:paraId="2BAC99FF" w14:textId="77777777" w:rsidR="00A55AD9" w:rsidRDefault="00FF29BA">
      <w:pPr>
        <w:pStyle w:val="a9"/>
        <w:numPr>
          <w:ilvl w:val="0"/>
          <w:numId w:val="2"/>
        </w:numPr>
      </w:pPr>
      <w:r>
        <w:rPr>
          <w:rtl/>
        </w:rPr>
        <w:t xml:space="preserve">12 </w:t>
      </w:r>
      <w:r>
        <w:rPr>
          <w:rFonts w:hint="eastAsia"/>
          <w:rtl/>
        </w:rPr>
        <w:t>חודשי</w:t>
      </w:r>
      <w:r>
        <w:rPr>
          <w:rtl/>
        </w:rPr>
        <w:t xml:space="preserve"> </w:t>
      </w:r>
      <w:r>
        <w:rPr>
          <w:rFonts w:hint="eastAsia"/>
          <w:rtl/>
        </w:rPr>
        <w:t>פסילה</w:t>
      </w:r>
      <w:r>
        <w:rPr>
          <w:rtl/>
        </w:rPr>
        <w:t xml:space="preserve"> </w:t>
      </w:r>
      <w:r>
        <w:rPr>
          <w:rFonts w:hint="eastAsia"/>
          <w:rtl/>
        </w:rPr>
        <w:t>מלקבל</w:t>
      </w:r>
      <w:r>
        <w:rPr>
          <w:rtl/>
        </w:rPr>
        <w:t xml:space="preserve"> </w:t>
      </w:r>
      <w:r>
        <w:rPr>
          <w:rFonts w:hint="eastAsia"/>
          <w:rtl/>
        </w:rPr>
        <w:t>או</w:t>
      </w:r>
      <w:r>
        <w:rPr>
          <w:rtl/>
        </w:rPr>
        <w:t xml:space="preserve"> </w:t>
      </w:r>
      <w:r>
        <w:rPr>
          <w:rFonts w:hint="eastAsia"/>
          <w:rtl/>
        </w:rPr>
        <w:t>מלהחזיק</w:t>
      </w:r>
      <w:r>
        <w:rPr>
          <w:rtl/>
        </w:rPr>
        <w:t xml:space="preserve"> </w:t>
      </w:r>
      <w:r>
        <w:rPr>
          <w:rFonts w:hint="eastAsia"/>
          <w:rtl/>
        </w:rPr>
        <w:t>ברישיון</w:t>
      </w:r>
      <w:r>
        <w:rPr>
          <w:rtl/>
        </w:rPr>
        <w:t xml:space="preserve"> </w:t>
      </w:r>
      <w:r>
        <w:rPr>
          <w:rFonts w:hint="eastAsia"/>
          <w:rtl/>
        </w:rPr>
        <w:t>נהיגה</w:t>
      </w:r>
      <w:r>
        <w:rPr>
          <w:rtl/>
        </w:rPr>
        <w:t xml:space="preserve">, </w:t>
      </w:r>
      <w:r>
        <w:rPr>
          <w:rFonts w:hint="eastAsia"/>
          <w:rtl/>
        </w:rPr>
        <w:t>החל</w:t>
      </w:r>
      <w:r>
        <w:rPr>
          <w:rtl/>
        </w:rPr>
        <w:t xml:space="preserve"> </w:t>
      </w:r>
      <w:r>
        <w:rPr>
          <w:rFonts w:hint="eastAsia"/>
          <w:rtl/>
        </w:rPr>
        <w:t>מיום</w:t>
      </w:r>
      <w:r>
        <w:rPr>
          <w:rtl/>
        </w:rPr>
        <w:t xml:space="preserve"> </w:t>
      </w:r>
      <w:r>
        <w:rPr>
          <w:rFonts w:hint="eastAsia"/>
          <w:rtl/>
        </w:rPr>
        <w:t>שחרורו</w:t>
      </w:r>
      <w:r>
        <w:rPr>
          <w:rtl/>
        </w:rPr>
        <w:t xml:space="preserve"> </w:t>
      </w:r>
      <w:r>
        <w:rPr>
          <w:rFonts w:hint="eastAsia"/>
          <w:rtl/>
        </w:rPr>
        <w:t>מן</w:t>
      </w:r>
      <w:r>
        <w:rPr>
          <w:rtl/>
        </w:rPr>
        <w:t xml:space="preserve"> </w:t>
      </w:r>
      <w:r>
        <w:rPr>
          <w:rFonts w:hint="eastAsia"/>
          <w:rtl/>
        </w:rPr>
        <w:t>המאסר</w:t>
      </w:r>
      <w:r>
        <w:rPr>
          <w:rtl/>
        </w:rPr>
        <w:t xml:space="preserve">. </w:t>
      </w:r>
      <w:r>
        <w:rPr>
          <w:rFonts w:hint="eastAsia"/>
          <w:rtl/>
        </w:rPr>
        <w:t>הנאשם</w:t>
      </w:r>
      <w:r>
        <w:rPr>
          <w:rtl/>
        </w:rPr>
        <w:t xml:space="preserve"> </w:t>
      </w:r>
      <w:r>
        <w:rPr>
          <w:rFonts w:hint="eastAsia"/>
          <w:rtl/>
        </w:rPr>
        <w:t>יפקיד</w:t>
      </w:r>
      <w:r>
        <w:rPr>
          <w:rtl/>
        </w:rPr>
        <w:t xml:space="preserve"> </w:t>
      </w:r>
      <w:r>
        <w:rPr>
          <w:rFonts w:hint="eastAsia"/>
          <w:rtl/>
        </w:rPr>
        <w:t>את</w:t>
      </w:r>
      <w:r>
        <w:rPr>
          <w:rtl/>
        </w:rPr>
        <w:t xml:space="preserve"> </w:t>
      </w:r>
      <w:r>
        <w:rPr>
          <w:rFonts w:hint="eastAsia"/>
          <w:rtl/>
        </w:rPr>
        <w:t>רישיון</w:t>
      </w:r>
      <w:r>
        <w:rPr>
          <w:rtl/>
        </w:rPr>
        <w:t xml:space="preserve"> </w:t>
      </w:r>
      <w:r>
        <w:rPr>
          <w:rFonts w:hint="eastAsia"/>
          <w:rtl/>
        </w:rPr>
        <w:t>הנהיגה</w:t>
      </w:r>
      <w:r>
        <w:rPr>
          <w:rtl/>
        </w:rPr>
        <w:t xml:space="preserve"> </w:t>
      </w:r>
      <w:r>
        <w:rPr>
          <w:rFonts w:hint="eastAsia"/>
          <w:rtl/>
        </w:rPr>
        <w:t>שלו</w:t>
      </w:r>
      <w:r>
        <w:rPr>
          <w:rtl/>
        </w:rPr>
        <w:t xml:space="preserve"> </w:t>
      </w:r>
      <w:r>
        <w:rPr>
          <w:rFonts w:hint="eastAsia"/>
          <w:rtl/>
        </w:rPr>
        <w:t>או</w:t>
      </w:r>
      <w:r>
        <w:rPr>
          <w:rtl/>
        </w:rPr>
        <w:t xml:space="preserve"> </w:t>
      </w:r>
      <w:r>
        <w:rPr>
          <w:rFonts w:hint="eastAsia"/>
          <w:rtl/>
        </w:rPr>
        <w:t>הצהרה</w:t>
      </w:r>
      <w:r>
        <w:rPr>
          <w:rtl/>
        </w:rPr>
        <w:t xml:space="preserve"> </w:t>
      </w:r>
      <w:r>
        <w:rPr>
          <w:rFonts w:hint="eastAsia"/>
          <w:rtl/>
        </w:rPr>
        <w:t>מתאימה</w:t>
      </w:r>
      <w:r>
        <w:rPr>
          <w:rtl/>
        </w:rPr>
        <w:t xml:space="preserve"> </w:t>
      </w:r>
      <w:r>
        <w:rPr>
          <w:rFonts w:hint="eastAsia"/>
          <w:rtl/>
        </w:rPr>
        <w:t>במזכירות</w:t>
      </w:r>
      <w:r>
        <w:rPr>
          <w:rtl/>
        </w:rPr>
        <w:t xml:space="preserve"> </w:t>
      </w:r>
      <w:r>
        <w:rPr>
          <w:rFonts w:hint="eastAsia"/>
          <w:rtl/>
        </w:rPr>
        <w:t>בית</w:t>
      </w:r>
      <w:r>
        <w:rPr>
          <w:rtl/>
        </w:rPr>
        <w:t>-</w:t>
      </w:r>
      <w:r>
        <w:rPr>
          <w:rFonts w:hint="eastAsia"/>
          <w:rtl/>
        </w:rPr>
        <w:t>המשפט</w:t>
      </w:r>
      <w:r>
        <w:rPr>
          <w:rtl/>
        </w:rPr>
        <w:t xml:space="preserve"> </w:t>
      </w:r>
      <w:r>
        <w:rPr>
          <w:rFonts w:hint="eastAsia"/>
          <w:rtl/>
        </w:rPr>
        <w:t>עד</w:t>
      </w:r>
      <w:r>
        <w:rPr>
          <w:rtl/>
        </w:rPr>
        <w:t xml:space="preserve"> </w:t>
      </w:r>
      <w:r>
        <w:rPr>
          <w:rFonts w:hint="eastAsia"/>
          <w:rtl/>
        </w:rPr>
        <w:t>למועד</w:t>
      </w:r>
      <w:r>
        <w:rPr>
          <w:rtl/>
        </w:rPr>
        <w:t xml:space="preserve"> </w:t>
      </w:r>
      <w:r>
        <w:rPr>
          <w:rFonts w:hint="eastAsia"/>
          <w:rtl/>
        </w:rPr>
        <w:t>זה</w:t>
      </w:r>
      <w:r>
        <w:rPr>
          <w:rtl/>
        </w:rPr>
        <w:t>.</w:t>
      </w:r>
    </w:p>
    <w:p w14:paraId="179C9FB6" w14:textId="77777777" w:rsidR="00A55AD9" w:rsidRDefault="00FF29BA">
      <w:pPr>
        <w:pStyle w:val="a9"/>
        <w:numPr>
          <w:ilvl w:val="0"/>
          <w:numId w:val="2"/>
        </w:numPr>
      </w:pPr>
      <w:r>
        <w:rPr>
          <w:rFonts w:hint="eastAsia"/>
          <w:rtl/>
        </w:rPr>
        <w:t>שישה</w:t>
      </w:r>
      <w:r>
        <w:rPr>
          <w:rtl/>
        </w:rPr>
        <w:t xml:space="preserve"> </w:t>
      </w:r>
      <w:r>
        <w:rPr>
          <w:rFonts w:hint="eastAsia"/>
          <w:rtl/>
        </w:rPr>
        <w:t>חודשי</w:t>
      </w:r>
      <w:r>
        <w:rPr>
          <w:rtl/>
        </w:rPr>
        <w:t xml:space="preserve"> </w:t>
      </w:r>
      <w:r>
        <w:rPr>
          <w:rFonts w:hint="eastAsia"/>
          <w:rtl/>
        </w:rPr>
        <w:t>פסילה</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מלקבל</w:t>
      </w:r>
      <w:r>
        <w:rPr>
          <w:rtl/>
        </w:rPr>
        <w:t xml:space="preserve"> </w:t>
      </w:r>
      <w:r>
        <w:rPr>
          <w:rFonts w:hint="eastAsia"/>
          <w:rtl/>
        </w:rPr>
        <w:t>או</w:t>
      </w:r>
      <w:r>
        <w:rPr>
          <w:rtl/>
        </w:rPr>
        <w:t xml:space="preserve"> </w:t>
      </w:r>
      <w:r>
        <w:rPr>
          <w:rFonts w:hint="eastAsia"/>
          <w:rtl/>
        </w:rPr>
        <w:t>מלהחזיק</w:t>
      </w:r>
      <w:r>
        <w:rPr>
          <w:rtl/>
        </w:rPr>
        <w:t xml:space="preserve"> </w:t>
      </w:r>
      <w:r>
        <w:rPr>
          <w:rFonts w:hint="eastAsia"/>
          <w:rtl/>
        </w:rPr>
        <w:t>ברישיון</w:t>
      </w:r>
      <w:r>
        <w:rPr>
          <w:rtl/>
        </w:rPr>
        <w:t xml:space="preserve"> </w:t>
      </w:r>
      <w:r>
        <w:rPr>
          <w:rFonts w:hint="eastAsia"/>
          <w:rtl/>
        </w:rPr>
        <w:t>נהיגה</w:t>
      </w:r>
      <w:r>
        <w:rPr>
          <w:rtl/>
        </w:rPr>
        <w:t xml:space="preserve">, </w:t>
      </w:r>
      <w:r>
        <w:rPr>
          <w:rFonts w:hint="eastAsia"/>
          <w:rtl/>
        </w:rPr>
        <w:t>לבל</w:t>
      </w:r>
      <w:r>
        <w:rPr>
          <w:rtl/>
        </w:rPr>
        <w:t xml:space="preserve"> </w:t>
      </w:r>
      <w:r>
        <w:rPr>
          <w:rFonts w:hint="eastAsia"/>
          <w:rtl/>
        </w:rPr>
        <w:t>יעבור</w:t>
      </w:r>
      <w:r>
        <w:rPr>
          <w:rtl/>
        </w:rPr>
        <w:t xml:space="preserve"> </w:t>
      </w:r>
      <w:r>
        <w:rPr>
          <w:rFonts w:hint="eastAsia"/>
          <w:rtl/>
        </w:rPr>
        <w:t>הנאשם</w:t>
      </w:r>
      <w:r>
        <w:rPr>
          <w:rtl/>
        </w:rPr>
        <w:t xml:space="preserve"> </w:t>
      </w:r>
      <w:r>
        <w:rPr>
          <w:rFonts w:hint="eastAsia"/>
          <w:rtl/>
        </w:rPr>
        <w:t>במשך</w:t>
      </w:r>
      <w:r>
        <w:rPr>
          <w:rtl/>
        </w:rPr>
        <w:t xml:space="preserve"> </w:t>
      </w:r>
      <w:r>
        <w:rPr>
          <w:rFonts w:hint="eastAsia"/>
          <w:rtl/>
        </w:rPr>
        <w:t>שנתיים</w:t>
      </w:r>
      <w:r>
        <w:rPr>
          <w:rtl/>
        </w:rPr>
        <w:t xml:space="preserve"> </w:t>
      </w:r>
      <w:r>
        <w:rPr>
          <w:rFonts w:hint="eastAsia"/>
          <w:rtl/>
        </w:rPr>
        <w:t>מיום</w:t>
      </w:r>
      <w:r>
        <w:rPr>
          <w:rtl/>
        </w:rPr>
        <w:t xml:space="preserve"> </w:t>
      </w:r>
      <w:r>
        <w:rPr>
          <w:rFonts w:hint="eastAsia"/>
          <w:rtl/>
        </w:rPr>
        <w:t>שחרורו</w:t>
      </w:r>
      <w:r>
        <w:rPr>
          <w:rtl/>
        </w:rPr>
        <w:t xml:space="preserve"> </w:t>
      </w:r>
      <w:r>
        <w:rPr>
          <w:rFonts w:hint="eastAsia"/>
          <w:rtl/>
        </w:rPr>
        <w:t>מן</w:t>
      </w:r>
      <w:r>
        <w:rPr>
          <w:rtl/>
        </w:rPr>
        <w:t xml:space="preserve"> </w:t>
      </w:r>
      <w:r>
        <w:rPr>
          <w:rFonts w:hint="eastAsia"/>
          <w:rtl/>
        </w:rPr>
        <w:t>המאסר</w:t>
      </w:r>
      <w:r>
        <w:rPr>
          <w:rtl/>
        </w:rPr>
        <w:t xml:space="preserve">, </w:t>
      </w:r>
      <w:r>
        <w:rPr>
          <w:rFonts w:hint="eastAsia"/>
          <w:rtl/>
        </w:rPr>
        <w:t>כל</w:t>
      </w:r>
      <w:r>
        <w:rPr>
          <w:rtl/>
        </w:rPr>
        <w:t xml:space="preserve"> </w:t>
      </w:r>
      <w:r>
        <w:rPr>
          <w:rFonts w:hint="eastAsia"/>
          <w:rtl/>
        </w:rPr>
        <w:t>עבירה</w:t>
      </w:r>
      <w:r>
        <w:rPr>
          <w:rtl/>
        </w:rPr>
        <w:t xml:space="preserve"> </w:t>
      </w:r>
      <w:r>
        <w:rPr>
          <w:rFonts w:hint="eastAsia"/>
          <w:rtl/>
        </w:rPr>
        <w:t>לפי</w:t>
      </w:r>
      <w:r>
        <w:rPr>
          <w:rtl/>
        </w:rPr>
        <w:t xml:space="preserve"> </w:t>
      </w:r>
      <w:r>
        <w:rPr>
          <w:rFonts w:hint="eastAsia"/>
          <w:rtl/>
        </w:rPr>
        <w:t>פקודת</w:t>
      </w:r>
      <w:r>
        <w:rPr>
          <w:rtl/>
        </w:rPr>
        <w:t xml:space="preserve"> </w:t>
      </w:r>
      <w:r>
        <w:rPr>
          <w:rFonts w:hint="eastAsia"/>
          <w:rtl/>
        </w:rPr>
        <w:t>הסמים</w:t>
      </w:r>
      <w:r>
        <w:rPr>
          <w:rtl/>
        </w:rPr>
        <w:t xml:space="preserve">. </w:t>
      </w:r>
    </w:p>
    <w:p w14:paraId="6EA7B4F3" w14:textId="77777777" w:rsidR="00A55AD9" w:rsidRDefault="00FF29BA">
      <w:pPr>
        <w:pStyle w:val="a9"/>
      </w:pPr>
      <w:r>
        <w:rPr>
          <w:rFonts w:hint="eastAsia"/>
          <w:rtl/>
        </w:rPr>
        <w:t>הסמים</w:t>
      </w:r>
      <w:r>
        <w:rPr>
          <w:rtl/>
        </w:rPr>
        <w:t xml:space="preserve"> </w:t>
      </w:r>
      <w:r>
        <w:rPr>
          <w:rFonts w:hint="eastAsia"/>
          <w:rtl/>
        </w:rPr>
        <w:t>יושמדו</w:t>
      </w:r>
      <w:r>
        <w:rPr>
          <w:rtl/>
        </w:rPr>
        <w:t xml:space="preserve">. </w:t>
      </w:r>
    </w:p>
    <w:p w14:paraId="32D5B215" w14:textId="77777777" w:rsidR="00A55AD9" w:rsidRDefault="00FF29BA">
      <w:pPr>
        <w:pStyle w:val="a9"/>
      </w:pPr>
      <w:r>
        <w:rPr>
          <w:rFonts w:hint="eastAsia"/>
          <w:rtl/>
        </w:rPr>
        <w:t>זכות</w:t>
      </w:r>
      <w:r>
        <w:rPr>
          <w:rtl/>
        </w:rPr>
        <w:t xml:space="preserve"> </w:t>
      </w:r>
      <w:r>
        <w:rPr>
          <w:rFonts w:hint="eastAsia"/>
          <w:rtl/>
        </w:rPr>
        <w:t>ערעור</w:t>
      </w:r>
      <w:r>
        <w:rPr>
          <w:rtl/>
        </w:rPr>
        <w:t xml:space="preserve"> </w:t>
      </w:r>
      <w:r>
        <w:rPr>
          <w:rFonts w:hint="eastAsia"/>
          <w:rtl/>
        </w:rPr>
        <w:t>לבית</w:t>
      </w:r>
      <w:r>
        <w:rPr>
          <w:rtl/>
        </w:rPr>
        <w:t>-</w:t>
      </w:r>
      <w:r>
        <w:rPr>
          <w:rFonts w:hint="eastAsia"/>
          <w:rtl/>
        </w:rPr>
        <w:t>המשפט</w:t>
      </w:r>
      <w:r>
        <w:rPr>
          <w:rtl/>
        </w:rPr>
        <w:t xml:space="preserve"> </w:t>
      </w:r>
      <w:r>
        <w:rPr>
          <w:rFonts w:hint="eastAsia"/>
          <w:rtl/>
        </w:rPr>
        <w:t>המחוזי</w:t>
      </w:r>
      <w:r>
        <w:rPr>
          <w:rtl/>
        </w:rPr>
        <w:t xml:space="preserve">, </w:t>
      </w:r>
      <w:r>
        <w:rPr>
          <w:rFonts w:hint="eastAsia"/>
          <w:rtl/>
        </w:rPr>
        <w:t>תוך</w:t>
      </w:r>
      <w:r>
        <w:rPr>
          <w:rtl/>
        </w:rPr>
        <w:t xml:space="preserve"> 45 </w:t>
      </w:r>
      <w:r>
        <w:rPr>
          <w:rFonts w:hint="eastAsia"/>
          <w:rtl/>
        </w:rPr>
        <w:t>ימים</w:t>
      </w:r>
      <w:r>
        <w:rPr>
          <w:rtl/>
        </w:rPr>
        <w:t xml:space="preserve">. </w:t>
      </w:r>
    </w:p>
    <w:p w14:paraId="4B1DA75F" w14:textId="77777777" w:rsidR="00A55AD9" w:rsidRDefault="00A55AD9">
      <w:pPr>
        <w:rPr>
          <w:rtl/>
        </w:rPr>
      </w:pPr>
    </w:p>
    <w:p w14:paraId="4BAAB5E3" w14:textId="77777777" w:rsidR="00A55AD9" w:rsidRDefault="00A55AD9">
      <w:pPr>
        <w:rPr>
          <w:rtl/>
        </w:rPr>
      </w:pPr>
    </w:p>
    <w:p w14:paraId="6F109F27" w14:textId="77777777" w:rsidR="00A55AD9" w:rsidRDefault="00A55AD9">
      <w:pPr>
        <w:rPr>
          <w:rtl/>
        </w:rPr>
      </w:pPr>
    </w:p>
    <w:p w14:paraId="6BB68544" w14:textId="77777777" w:rsidR="00A55AD9" w:rsidRDefault="00A55AD9">
      <w:pPr>
        <w:rPr>
          <w:rtl/>
        </w:rPr>
      </w:pPr>
    </w:p>
    <w:p w14:paraId="54236355" w14:textId="77777777" w:rsidR="00A55AD9" w:rsidRDefault="00A55AD9">
      <w:pPr>
        <w:rPr>
          <w:rtl/>
        </w:rPr>
      </w:pPr>
    </w:p>
    <w:p w14:paraId="6CA6A7CA" w14:textId="77777777" w:rsidR="00A55AD9" w:rsidRDefault="00A55AD9">
      <w:pPr>
        <w:rPr>
          <w:rtl/>
        </w:rPr>
      </w:pPr>
    </w:p>
    <w:p w14:paraId="507FF082" w14:textId="77777777" w:rsidR="00A55AD9" w:rsidRPr="00FF29BA" w:rsidRDefault="00FF29BA">
      <w:pPr>
        <w:rPr>
          <w:color w:val="FFFFFF"/>
          <w:sz w:val="2"/>
          <w:szCs w:val="2"/>
          <w:rtl/>
        </w:rPr>
      </w:pPr>
      <w:r w:rsidRPr="00FF29BA">
        <w:rPr>
          <w:color w:val="FFFFFF"/>
          <w:sz w:val="2"/>
          <w:szCs w:val="2"/>
          <w:rtl/>
        </w:rPr>
        <w:t>5129371</w:t>
      </w:r>
    </w:p>
    <w:p w14:paraId="573A9C71" w14:textId="77777777" w:rsidR="00A55AD9" w:rsidRDefault="00753067">
      <w:pPr>
        <w:rPr>
          <w:rtl/>
        </w:rPr>
      </w:pPr>
      <w:r w:rsidRPr="00753067">
        <w:rPr>
          <w:rFonts w:ascii="Arial" w:hAnsi="Arial"/>
          <w:color w:val="FFFFFF"/>
          <w:sz w:val="2"/>
          <w:szCs w:val="2"/>
          <w:rtl/>
        </w:rPr>
        <w:t>5129371</w:t>
      </w:r>
      <w:r w:rsidR="00FF29BA" w:rsidRPr="00FF29BA">
        <w:rPr>
          <w:rFonts w:ascii="Arial" w:hAnsi="Arial"/>
          <w:color w:val="FFFFFF"/>
          <w:sz w:val="2"/>
          <w:szCs w:val="2"/>
          <w:rtl/>
        </w:rPr>
        <w:t>54678313</w:t>
      </w:r>
      <w:r w:rsidR="00FF29BA">
        <w:rPr>
          <w:rFonts w:ascii="Arial" w:hAnsi="Arial"/>
          <w:rtl/>
        </w:rPr>
        <w:t xml:space="preserve">ניתן היום,  ה' שבט תשע"ג, 16 ינואר 2013, בהעדר הצדדים. </w:t>
      </w:r>
    </w:p>
    <w:p w14:paraId="7E90867F" w14:textId="77777777" w:rsidR="00FF29BA" w:rsidRPr="00753067" w:rsidRDefault="00753067" w:rsidP="00FF29BA">
      <w:pPr>
        <w:keepNext/>
        <w:rPr>
          <w:rFonts w:ascii="David" w:hAnsi="David"/>
          <w:color w:val="FFFFFF"/>
          <w:sz w:val="2"/>
          <w:szCs w:val="2"/>
          <w:rtl/>
        </w:rPr>
      </w:pPr>
      <w:r w:rsidRPr="00753067">
        <w:rPr>
          <w:rFonts w:ascii="David" w:hAnsi="David"/>
          <w:color w:val="FFFFFF"/>
          <w:sz w:val="2"/>
          <w:szCs w:val="2"/>
          <w:rtl/>
        </w:rPr>
        <w:t>54678313</w:t>
      </w:r>
    </w:p>
    <w:p w14:paraId="0984A21D" w14:textId="77777777" w:rsidR="00753067" w:rsidRPr="00753067" w:rsidRDefault="00753067" w:rsidP="00753067">
      <w:pPr>
        <w:keepNext/>
        <w:rPr>
          <w:rFonts w:ascii="David" w:hAnsi="David"/>
          <w:color w:val="000000"/>
          <w:sz w:val="22"/>
          <w:szCs w:val="22"/>
          <w:rtl/>
        </w:rPr>
      </w:pPr>
    </w:p>
    <w:p w14:paraId="404BDC45" w14:textId="77777777" w:rsidR="00753067" w:rsidRPr="00753067" w:rsidRDefault="00753067" w:rsidP="00753067">
      <w:pPr>
        <w:keepNext/>
        <w:rPr>
          <w:rFonts w:ascii="David" w:hAnsi="David"/>
          <w:color w:val="000000"/>
          <w:sz w:val="22"/>
          <w:szCs w:val="22"/>
          <w:rtl/>
        </w:rPr>
      </w:pPr>
      <w:r w:rsidRPr="00753067">
        <w:rPr>
          <w:rFonts w:ascii="David" w:hAnsi="David"/>
          <w:color w:val="000000"/>
          <w:sz w:val="22"/>
          <w:szCs w:val="22"/>
          <w:rtl/>
        </w:rPr>
        <w:t>ד#ר עמי קובו 54678313-/</w:t>
      </w:r>
    </w:p>
    <w:p w14:paraId="394E2393" w14:textId="77777777" w:rsidR="00FF29BA" w:rsidRDefault="00FF29BA" w:rsidP="00FF29BA">
      <w:r w:rsidRPr="00FF29BA">
        <w:rPr>
          <w:color w:val="000000"/>
          <w:rtl/>
        </w:rPr>
        <w:t>נוסח מסמך זה כפוף לשינויי ניסוח ועריכה</w:t>
      </w:r>
    </w:p>
    <w:p w14:paraId="05B79672" w14:textId="77777777" w:rsidR="00FF29BA" w:rsidRDefault="00FF29BA" w:rsidP="00FF29BA">
      <w:pPr>
        <w:rPr>
          <w:rtl/>
        </w:rPr>
      </w:pPr>
    </w:p>
    <w:p w14:paraId="6F13574C" w14:textId="77777777" w:rsidR="00FF29BA" w:rsidRDefault="00FF29BA" w:rsidP="00FF29BA">
      <w:pPr>
        <w:jc w:val="center"/>
        <w:rPr>
          <w:color w:val="0000FF"/>
          <w:u w:val="single"/>
        </w:rPr>
      </w:pPr>
      <w:r w:rsidRPr="003F72AD">
        <w:rPr>
          <w:color w:val="000000"/>
          <w:rtl/>
        </w:rPr>
        <w:t>בעניין עריכה ושינויים במסמכי פסיקה, חקיקה ועוד באתר נבו – הקש כאן</w:t>
      </w:r>
    </w:p>
    <w:sectPr w:rsidR="00FF29BA" w:rsidSect="00753067">
      <w:headerReference w:type="even" r:id="rId18"/>
      <w:headerReference w:type="default" r:id="rId19"/>
      <w:footerReference w:type="even" r:id="rId20"/>
      <w:footerReference w:type="default" r:id="rId2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23792D" w14:textId="77777777" w:rsidR="009772EB" w:rsidRPr="001C2581" w:rsidRDefault="009772EB">
      <w:pPr>
        <w:rPr>
          <w:rFonts w:cs="Arial"/>
          <w:szCs w:val="20"/>
        </w:rPr>
      </w:pPr>
      <w:r>
        <w:separator/>
      </w:r>
    </w:p>
  </w:endnote>
  <w:endnote w:type="continuationSeparator" w:id="0">
    <w:p w14:paraId="08E158F8" w14:textId="77777777" w:rsidR="009772EB" w:rsidRPr="001C2581" w:rsidRDefault="009772EB">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F293A0" w14:textId="77777777" w:rsidR="00552E3E" w:rsidRDefault="00552E3E" w:rsidP="0075306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A166CA4" w14:textId="77777777" w:rsidR="00552E3E" w:rsidRPr="00753067" w:rsidRDefault="00552E3E" w:rsidP="00753067">
    <w:pPr>
      <w:pStyle w:val="a5"/>
      <w:pBdr>
        <w:top w:val="single" w:sz="4" w:space="1" w:color="auto"/>
        <w:between w:val="single" w:sz="4" w:space="0" w:color="auto"/>
      </w:pBdr>
      <w:spacing w:after="60"/>
      <w:jc w:val="center"/>
      <w:rPr>
        <w:rFonts w:ascii="FrankRuehl" w:hAnsi="FrankRuehl" w:cs="FrankRuehl"/>
        <w:color w:val="000000"/>
      </w:rPr>
    </w:pPr>
    <w:r w:rsidRPr="0075306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7C310E" w14:textId="77777777" w:rsidR="00552E3E" w:rsidRDefault="00552E3E" w:rsidP="0075306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012A3">
      <w:rPr>
        <w:rFonts w:ascii="FrankRuehl" w:hAnsi="FrankRuehl" w:cs="FrankRuehl"/>
        <w:noProof/>
        <w:rtl/>
      </w:rPr>
      <w:t>1</w:t>
    </w:r>
    <w:r>
      <w:rPr>
        <w:rFonts w:ascii="FrankRuehl" w:hAnsi="FrankRuehl" w:cs="FrankRuehl"/>
        <w:rtl/>
      </w:rPr>
      <w:fldChar w:fldCharType="end"/>
    </w:r>
  </w:p>
  <w:p w14:paraId="5B72E4CA" w14:textId="77777777" w:rsidR="00552E3E" w:rsidRPr="00753067" w:rsidRDefault="00552E3E" w:rsidP="00753067">
    <w:pPr>
      <w:pStyle w:val="a5"/>
      <w:pBdr>
        <w:top w:val="single" w:sz="4" w:space="1" w:color="auto"/>
        <w:between w:val="single" w:sz="4" w:space="0" w:color="auto"/>
      </w:pBdr>
      <w:spacing w:after="60"/>
      <w:jc w:val="center"/>
      <w:rPr>
        <w:rFonts w:ascii="FrankRuehl" w:hAnsi="FrankRuehl" w:cs="FrankRuehl"/>
        <w:color w:val="000000"/>
      </w:rPr>
    </w:pPr>
    <w:r w:rsidRPr="00753067">
      <w:rPr>
        <w:rFonts w:ascii="FrankRuehl" w:hAnsi="FrankRuehl" w:cs="FrankRuehl"/>
        <w:color w:val="000000"/>
      </w:rPr>
      <w:pict w14:anchorId="56A3B0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A62004" w14:textId="77777777" w:rsidR="009772EB" w:rsidRPr="001C2581" w:rsidRDefault="009772EB">
      <w:pPr>
        <w:rPr>
          <w:rFonts w:cs="Arial"/>
          <w:szCs w:val="20"/>
        </w:rPr>
      </w:pPr>
      <w:r>
        <w:separator/>
      </w:r>
    </w:p>
  </w:footnote>
  <w:footnote w:type="continuationSeparator" w:id="0">
    <w:p w14:paraId="58F5928A" w14:textId="77777777" w:rsidR="009772EB" w:rsidRPr="001C2581" w:rsidRDefault="009772EB">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08BF3" w14:textId="77777777" w:rsidR="00552E3E" w:rsidRPr="00753067" w:rsidRDefault="00552E3E" w:rsidP="00753067">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24156-11-12</w:t>
    </w:r>
    <w:r>
      <w:rPr>
        <w:rFonts w:ascii="David" w:hAnsi="David"/>
        <w:color w:val="000000"/>
        <w:sz w:val="22"/>
        <w:szCs w:val="22"/>
        <w:rtl/>
      </w:rPr>
      <w:tab/>
      <w:t xml:space="preserve"> מדינת ישראל נ' מור גבריאל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DA439D" w14:textId="77777777" w:rsidR="00552E3E" w:rsidRPr="00753067" w:rsidRDefault="00552E3E" w:rsidP="00753067">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24156-11-12</w:t>
    </w:r>
    <w:r>
      <w:rPr>
        <w:rFonts w:ascii="David" w:hAnsi="David"/>
        <w:color w:val="000000"/>
        <w:sz w:val="22"/>
        <w:szCs w:val="22"/>
        <w:rtl/>
      </w:rPr>
      <w:tab/>
      <w:t xml:space="preserve"> מדינת ישראל נ' מור גבריאל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293C4E72"/>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25AA112B"/>
    <w:multiLevelType w:val="hybridMultilevel"/>
    <w:tmpl w:val="1E1C9B78"/>
    <w:lvl w:ilvl="0" w:tplc="E38E5AA8">
      <w:start w:val="1"/>
      <w:numFmt w:val="hebrew1"/>
      <w:lvlText w:val="%1."/>
      <w:lvlJc w:val="left"/>
      <w:pPr>
        <w:tabs>
          <w:tab w:val="num" w:pos="720"/>
        </w:tabs>
        <w:ind w:left="720" w:hanging="360"/>
      </w:pPr>
      <w:rPr>
        <w:rFonts w:cs="David" w:hint="default"/>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A0108D5"/>
    <w:multiLevelType w:val="hybridMultilevel"/>
    <w:tmpl w:val="4AC60E1A"/>
    <w:lvl w:ilvl="0" w:tplc="7F3CA9A4">
      <w:start w:val="1"/>
      <w:numFmt w:val="hebrew1"/>
      <w:lvlText w:val="%1."/>
      <w:lvlJc w:val="left"/>
      <w:pPr>
        <w:tabs>
          <w:tab w:val="num" w:pos="720"/>
        </w:tabs>
        <w:ind w:left="720" w:hanging="360"/>
      </w:pPr>
      <w:rPr>
        <w:rFonts w:cs="David" w:hint="default"/>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5B5A56F4"/>
    <w:multiLevelType w:val="hybridMultilevel"/>
    <w:tmpl w:val="77DE0838"/>
    <w:lvl w:ilvl="0" w:tplc="C638F084">
      <w:start w:val="1"/>
      <w:numFmt w:val="hebrew1"/>
      <w:lvlText w:val="%1."/>
      <w:lvlJc w:val="left"/>
      <w:pPr>
        <w:tabs>
          <w:tab w:val="num" w:pos="536"/>
        </w:tabs>
        <w:ind w:left="536" w:hanging="510"/>
      </w:pPr>
      <w:rPr>
        <w:rFonts w:cs="David" w:hint="default"/>
        <w:szCs w:val="24"/>
      </w:rPr>
    </w:lvl>
    <w:lvl w:ilvl="1" w:tplc="04090019">
      <w:start w:val="1"/>
      <w:numFmt w:val="lowerLetter"/>
      <w:lvlText w:val="%2."/>
      <w:lvlJc w:val="left"/>
      <w:pPr>
        <w:tabs>
          <w:tab w:val="num" w:pos="1106"/>
        </w:tabs>
        <w:ind w:left="1106" w:hanging="360"/>
      </w:pPr>
      <w:rPr>
        <w:rFonts w:cs="Times New Roman"/>
      </w:rPr>
    </w:lvl>
    <w:lvl w:ilvl="2" w:tplc="0409001B">
      <w:start w:val="1"/>
      <w:numFmt w:val="lowerRoman"/>
      <w:lvlText w:val="%3."/>
      <w:lvlJc w:val="right"/>
      <w:pPr>
        <w:tabs>
          <w:tab w:val="num" w:pos="1826"/>
        </w:tabs>
        <w:ind w:left="1826" w:hanging="180"/>
      </w:pPr>
      <w:rPr>
        <w:rFonts w:cs="Times New Roman"/>
      </w:rPr>
    </w:lvl>
    <w:lvl w:ilvl="3" w:tplc="0409000F">
      <w:start w:val="1"/>
      <w:numFmt w:val="decimal"/>
      <w:lvlText w:val="%4."/>
      <w:lvlJc w:val="left"/>
      <w:pPr>
        <w:tabs>
          <w:tab w:val="num" w:pos="2546"/>
        </w:tabs>
        <w:ind w:left="2546" w:hanging="360"/>
      </w:pPr>
      <w:rPr>
        <w:rFonts w:cs="Times New Roman"/>
      </w:rPr>
    </w:lvl>
    <w:lvl w:ilvl="4" w:tplc="04090019">
      <w:start w:val="1"/>
      <w:numFmt w:val="lowerLetter"/>
      <w:lvlText w:val="%5."/>
      <w:lvlJc w:val="left"/>
      <w:pPr>
        <w:tabs>
          <w:tab w:val="num" w:pos="3266"/>
        </w:tabs>
        <w:ind w:left="3266" w:hanging="360"/>
      </w:pPr>
      <w:rPr>
        <w:rFonts w:cs="Times New Roman"/>
      </w:rPr>
    </w:lvl>
    <w:lvl w:ilvl="5" w:tplc="0409001B">
      <w:start w:val="1"/>
      <w:numFmt w:val="lowerRoman"/>
      <w:lvlText w:val="%6."/>
      <w:lvlJc w:val="right"/>
      <w:pPr>
        <w:tabs>
          <w:tab w:val="num" w:pos="3986"/>
        </w:tabs>
        <w:ind w:left="3986" w:hanging="180"/>
      </w:pPr>
      <w:rPr>
        <w:rFonts w:cs="Times New Roman"/>
      </w:rPr>
    </w:lvl>
    <w:lvl w:ilvl="6" w:tplc="0409000F">
      <w:start w:val="1"/>
      <w:numFmt w:val="decimal"/>
      <w:lvlText w:val="%7."/>
      <w:lvlJc w:val="left"/>
      <w:pPr>
        <w:tabs>
          <w:tab w:val="num" w:pos="4706"/>
        </w:tabs>
        <w:ind w:left="4706" w:hanging="360"/>
      </w:pPr>
      <w:rPr>
        <w:rFonts w:cs="Times New Roman"/>
      </w:rPr>
    </w:lvl>
    <w:lvl w:ilvl="7" w:tplc="04090019">
      <w:start w:val="1"/>
      <w:numFmt w:val="lowerLetter"/>
      <w:lvlText w:val="%8."/>
      <w:lvlJc w:val="left"/>
      <w:pPr>
        <w:tabs>
          <w:tab w:val="num" w:pos="5426"/>
        </w:tabs>
        <w:ind w:left="5426" w:hanging="360"/>
      </w:pPr>
      <w:rPr>
        <w:rFonts w:cs="Times New Roman"/>
      </w:rPr>
    </w:lvl>
    <w:lvl w:ilvl="8" w:tplc="0409001B">
      <w:start w:val="1"/>
      <w:numFmt w:val="lowerRoman"/>
      <w:lvlText w:val="%9."/>
      <w:lvlJc w:val="right"/>
      <w:pPr>
        <w:tabs>
          <w:tab w:val="num" w:pos="6146"/>
        </w:tabs>
        <w:ind w:left="6146" w:hanging="180"/>
      </w:pPr>
      <w:rPr>
        <w:rFonts w:cs="Times New Roman"/>
      </w:rPr>
    </w:lvl>
  </w:abstractNum>
  <w:num w:numId="1" w16cid:durableId="1272054714">
    <w:abstractNumId w:val="0"/>
  </w:num>
  <w:num w:numId="2" w16cid:durableId="607083625">
    <w:abstractNumId w:val="3"/>
  </w:num>
  <w:num w:numId="3" w16cid:durableId="1861311735">
    <w:abstractNumId w:val="1"/>
  </w:num>
  <w:num w:numId="4" w16cid:durableId="7313461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55AD9"/>
    <w:rsid w:val="000211DA"/>
    <w:rsid w:val="00222771"/>
    <w:rsid w:val="003F72AD"/>
    <w:rsid w:val="004012A3"/>
    <w:rsid w:val="00552E3E"/>
    <w:rsid w:val="006D45CD"/>
    <w:rsid w:val="00753067"/>
    <w:rsid w:val="00781AF6"/>
    <w:rsid w:val="007B348D"/>
    <w:rsid w:val="009772EB"/>
    <w:rsid w:val="00A55AD9"/>
    <w:rsid w:val="00A96072"/>
    <w:rsid w:val="00D13BC9"/>
    <w:rsid w:val="00F94744"/>
    <w:rsid w:val="00FF29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6C91CC1"/>
  <w15:chartTrackingRefBased/>
  <w15:docId w15:val="{3F9CB66A-D90E-40EB-86DD-CA5614E83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A55AD9"/>
    <w:pPr>
      <w:bidi/>
    </w:pPr>
    <w:rPr>
      <w:rFonts w:cs="David"/>
      <w:sz w:val="24"/>
      <w:szCs w:val="24"/>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paragraph" w:styleId="a4">
    <w:name w:val="header"/>
    <w:basedOn w:val="a0"/>
    <w:rsid w:val="00A55AD9"/>
    <w:pPr>
      <w:tabs>
        <w:tab w:val="center" w:pos="4153"/>
        <w:tab w:val="right" w:pos="8306"/>
      </w:tabs>
    </w:pPr>
  </w:style>
  <w:style w:type="paragraph" w:styleId="a5">
    <w:name w:val="footer"/>
    <w:basedOn w:val="a0"/>
    <w:rsid w:val="00A55AD9"/>
    <w:pPr>
      <w:tabs>
        <w:tab w:val="center" w:pos="4153"/>
        <w:tab w:val="right" w:pos="8306"/>
      </w:tabs>
    </w:pPr>
  </w:style>
  <w:style w:type="character" w:styleId="a6">
    <w:name w:val="page number"/>
    <w:basedOn w:val="a1"/>
    <w:rsid w:val="00A55AD9"/>
  </w:style>
  <w:style w:type="paragraph" w:styleId="a">
    <w:name w:val="List Number"/>
    <w:basedOn w:val="a0"/>
    <w:rsid w:val="00A55AD9"/>
    <w:pPr>
      <w:numPr>
        <w:numId w:val="1"/>
      </w:numPr>
      <w:spacing w:after="120" w:line="360" w:lineRule="auto"/>
      <w:ind w:right="360"/>
      <w:jc w:val="both"/>
    </w:pPr>
  </w:style>
  <w:style w:type="paragraph" w:customStyle="1" w:styleId="a7">
    <w:name w:val="כותרת"/>
    <w:basedOn w:val="a0"/>
    <w:next w:val="a8"/>
    <w:autoRedefine/>
    <w:rsid w:val="00A55AD9"/>
    <w:pPr>
      <w:spacing w:after="120" w:line="360" w:lineRule="auto"/>
    </w:pPr>
    <w:rPr>
      <w:bCs/>
      <w:u w:val="single"/>
      <w:lang w:eastAsia="he-IL"/>
    </w:rPr>
  </w:style>
  <w:style w:type="paragraph" w:customStyle="1" w:styleId="a9">
    <w:name w:val="ממוספר"/>
    <w:basedOn w:val="a0"/>
    <w:autoRedefine/>
    <w:rsid w:val="00A55AD9"/>
    <w:pPr>
      <w:spacing w:after="120" w:line="360" w:lineRule="auto"/>
      <w:ind w:left="720" w:hanging="694"/>
      <w:jc w:val="both"/>
    </w:pPr>
    <w:rPr>
      <w:rFonts w:ascii="David" w:hAnsi="David"/>
      <w:color w:val="000000"/>
    </w:rPr>
  </w:style>
  <w:style w:type="paragraph" w:styleId="a8">
    <w:name w:val="List"/>
    <w:basedOn w:val="a0"/>
    <w:rsid w:val="00A55AD9"/>
    <w:pPr>
      <w:ind w:left="283" w:hanging="283"/>
    </w:pPr>
  </w:style>
  <w:style w:type="character" w:styleId="Hyperlink">
    <w:name w:val="Hyperlink"/>
    <w:rsid w:val="00FF29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www.nevo.co.il/law/4216" TargetMode="External"/><Relationship Id="rId12" Type="http://schemas.openxmlformats.org/officeDocument/2006/relationships/hyperlink" Target="http://www.nevo.co.il/law/4216/7.c" TargetMode="External"/><Relationship Id="rId17" Type="http://schemas.openxmlformats.org/officeDocument/2006/relationships/hyperlink" Target="http://www.nevo.co.il/case/4779062" TargetMode="External"/><Relationship Id="rId2" Type="http://schemas.openxmlformats.org/officeDocument/2006/relationships/styles" Target="styles.xml"/><Relationship Id="rId16" Type="http://schemas.openxmlformats.org/officeDocument/2006/relationships/hyperlink" Target="http://www.nevo.co.il/case/4779062"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a" TargetMode="Externa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theme" Target="theme/theme1.xml"/><Relationship Id="rId10" Type="http://schemas.openxmlformats.org/officeDocument/2006/relationships/hyperlink" Target="http://www.nevo.co.il/law/70301"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case/3895562"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1337</Words>
  <Characters>6688</Characters>
  <Application>Microsoft Office Word</Application>
  <DocSecurity>0</DocSecurity>
  <Lines>55</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8009</CharactersWithSpaces>
  <SharedDoc>false</SharedDoc>
  <HLinks>
    <vt:vector size="66" baseType="variant">
      <vt:variant>
        <vt:i4>3211388</vt:i4>
      </vt:variant>
      <vt:variant>
        <vt:i4>30</vt:i4>
      </vt:variant>
      <vt:variant>
        <vt:i4>0</vt:i4>
      </vt:variant>
      <vt:variant>
        <vt:i4>5</vt:i4>
      </vt:variant>
      <vt:variant>
        <vt:lpwstr>http://www.nevo.co.il/case/4779062</vt:lpwstr>
      </vt:variant>
      <vt:variant>
        <vt:lpwstr/>
      </vt:variant>
      <vt:variant>
        <vt:i4>3211388</vt:i4>
      </vt:variant>
      <vt:variant>
        <vt:i4>27</vt:i4>
      </vt:variant>
      <vt:variant>
        <vt:i4>0</vt:i4>
      </vt:variant>
      <vt:variant>
        <vt:i4>5</vt:i4>
      </vt:variant>
      <vt:variant>
        <vt:lpwstr>http://www.nevo.co.il/case/4779062</vt:lpwstr>
      </vt:variant>
      <vt:variant>
        <vt:lpwstr/>
      </vt:variant>
      <vt:variant>
        <vt:i4>7995492</vt:i4>
      </vt:variant>
      <vt:variant>
        <vt:i4>24</vt:i4>
      </vt:variant>
      <vt:variant>
        <vt:i4>0</vt:i4>
      </vt:variant>
      <vt:variant>
        <vt:i4>5</vt:i4>
      </vt:variant>
      <vt:variant>
        <vt:lpwstr>http://www.nevo.co.il/law/70301</vt:lpwstr>
      </vt:variant>
      <vt:variant>
        <vt:lpwstr/>
      </vt:variant>
      <vt:variant>
        <vt:i4>3997823</vt:i4>
      </vt:variant>
      <vt:variant>
        <vt:i4>21</vt:i4>
      </vt:variant>
      <vt:variant>
        <vt:i4>0</vt:i4>
      </vt:variant>
      <vt:variant>
        <vt:i4>5</vt:i4>
      </vt:variant>
      <vt:variant>
        <vt:lpwstr>http://www.nevo.co.il/case/3895562</vt:lpwstr>
      </vt:variant>
      <vt:variant>
        <vt:lpwstr/>
      </vt:variant>
      <vt:variant>
        <vt:i4>8257637</vt:i4>
      </vt:variant>
      <vt:variant>
        <vt:i4>18</vt:i4>
      </vt:variant>
      <vt:variant>
        <vt:i4>0</vt:i4>
      </vt:variant>
      <vt:variant>
        <vt:i4>5</vt:i4>
      </vt:variant>
      <vt:variant>
        <vt:lpwstr>http://www.nevo.co.il/law/4216</vt:lpwstr>
      </vt:variant>
      <vt:variant>
        <vt:lpwstr/>
      </vt:variant>
      <vt:variant>
        <vt:i4>2752612</vt:i4>
      </vt:variant>
      <vt:variant>
        <vt:i4>15</vt:i4>
      </vt:variant>
      <vt:variant>
        <vt:i4>0</vt:i4>
      </vt:variant>
      <vt:variant>
        <vt:i4>5</vt:i4>
      </vt:variant>
      <vt:variant>
        <vt:lpwstr>http://www.nevo.co.il/law/4216/7.c</vt:lpwstr>
      </vt:variant>
      <vt:variant>
        <vt:lpwstr/>
      </vt:variant>
      <vt:variant>
        <vt:i4>2621540</vt:i4>
      </vt:variant>
      <vt:variant>
        <vt:i4>12</vt:i4>
      </vt:variant>
      <vt:variant>
        <vt:i4>0</vt:i4>
      </vt:variant>
      <vt:variant>
        <vt:i4>5</vt:i4>
      </vt:variant>
      <vt:variant>
        <vt:lpwstr>http://www.nevo.co.il/law/4216/7.a</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2025-04-22T21:50:00Z</dcterms:created>
  <dcterms:modified xsi:type="dcterms:W3CDTF">2025-04-22T21:50:00Z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24156</vt:lpwstr>
  </property>
  <property fmtid="{D5CDD505-2E9C-101B-9397-08002B2CF9AE}" pid="6" name="NEWPARTB">
    <vt:lpwstr>11</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מור גבריאל</vt:lpwstr>
  </property>
  <property fmtid="{D5CDD505-2E9C-101B-9397-08002B2CF9AE}" pid="10" name="LAWYER">
    <vt:lpwstr>קרן פינקלס;דנה פישר דורי</vt:lpwstr>
  </property>
  <property fmtid="{D5CDD505-2E9C-101B-9397-08002B2CF9AE}" pid="11" name="JUDGE">
    <vt:lpwstr>ד#ר עמי קובו</vt:lpwstr>
  </property>
  <property fmtid="{D5CDD505-2E9C-101B-9397-08002B2CF9AE}" pid="12" name="CITY">
    <vt:lpwstr>פ"ת</vt:lpwstr>
  </property>
  <property fmtid="{D5CDD505-2E9C-101B-9397-08002B2CF9AE}" pid="13" name="DATE">
    <vt:lpwstr>20130116</vt:lpwstr>
  </property>
  <property fmtid="{D5CDD505-2E9C-101B-9397-08002B2CF9AE}" pid="14" name="TYPE_N_DATE">
    <vt:lpwstr>38020130116</vt:lpwstr>
  </property>
  <property fmtid="{D5CDD505-2E9C-101B-9397-08002B2CF9AE}" pid="15" name="WORDNUMPAGES">
    <vt:lpwstr>5</vt:lpwstr>
  </property>
  <property fmtid="{D5CDD505-2E9C-101B-9397-08002B2CF9AE}" pid="16" name="TYPE_ABS_DATE">
    <vt:lpwstr>380020130116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3895562;4779062:2</vt:lpwstr>
  </property>
  <property fmtid="{D5CDD505-2E9C-101B-9397-08002B2CF9AE}" pid="36" name="LAWLISTTMP1">
    <vt:lpwstr>4216/007.a;007.c</vt:lpwstr>
  </property>
  <property fmtid="{D5CDD505-2E9C-101B-9397-08002B2CF9AE}" pid="37" name="LAWLISTTMP2">
    <vt:lpwstr>70301</vt:lpwstr>
  </property>
</Properties>
</file>