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D0865" w:rsidRPr="00DA415C" w14:paraId="6AD7E7B0" w14:textId="77777777">
        <w:trPr>
          <w:trHeight w:hRule="exact" w:val="418"/>
          <w:jc w:val="center"/>
        </w:trPr>
        <w:tc>
          <w:tcPr>
            <w:tcW w:w="8721" w:type="dxa"/>
            <w:gridSpan w:val="2"/>
          </w:tcPr>
          <w:p w14:paraId="4AC10B36" w14:textId="77777777" w:rsidR="00AD0865" w:rsidRPr="00DA415C" w:rsidRDefault="00DA415C">
            <w:pPr>
              <w:pStyle w:val="a3"/>
              <w:jc w:val="center"/>
              <w:rPr>
                <w:rFonts w:ascii="Tahoma" w:hAnsi="Tahoma" w:cs="Tahoma"/>
                <w:color w:val="000080"/>
                <w:rtl/>
              </w:rPr>
            </w:pPr>
            <w:bookmarkStart w:id="0" w:name="LastJudge"/>
            <w:r w:rsidRPr="00DA415C">
              <w:rPr>
                <w:rFonts w:ascii="Tahoma" w:hAnsi="Tahoma" w:cs="Tahoma"/>
                <w:b/>
                <w:bCs/>
                <w:color w:val="000080"/>
                <w:rtl/>
              </w:rPr>
              <w:t>בית משפט השלום ברמלה</w:t>
            </w:r>
          </w:p>
        </w:tc>
      </w:tr>
      <w:tr w:rsidR="00AD0865" w:rsidRPr="00DA415C" w14:paraId="64458CE1" w14:textId="77777777">
        <w:trPr>
          <w:trHeight w:val="337"/>
          <w:jc w:val="center"/>
        </w:trPr>
        <w:tc>
          <w:tcPr>
            <w:tcW w:w="5058" w:type="dxa"/>
          </w:tcPr>
          <w:p w14:paraId="77E0394E" w14:textId="77777777" w:rsidR="00AD0865" w:rsidRPr="00DA415C" w:rsidRDefault="00DA415C">
            <w:pPr>
              <w:rPr>
                <w:rFonts w:cs="FrankRuehl"/>
                <w:sz w:val="28"/>
                <w:szCs w:val="28"/>
                <w:rtl/>
              </w:rPr>
            </w:pPr>
            <w:r w:rsidRPr="00DA415C">
              <w:rPr>
                <w:rFonts w:cs="FrankRuehl"/>
                <w:sz w:val="28"/>
                <w:szCs w:val="28"/>
                <w:rtl/>
              </w:rPr>
              <w:t>ת"פ</w:t>
            </w:r>
            <w:r w:rsidRPr="00DA415C">
              <w:rPr>
                <w:rFonts w:cs="FrankRuehl" w:hint="cs"/>
                <w:sz w:val="28"/>
                <w:szCs w:val="28"/>
                <w:rtl/>
              </w:rPr>
              <w:t xml:space="preserve"> </w:t>
            </w:r>
            <w:r w:rsidRPr="00DA415C">
              <w:rPr>
                <w:rFonts w:cs="FrankRuehl"/>
                <w:sz w:val="28"/>
                <w:szCs w:val="28"/>
                <w:rtl/>
              </w:rPr>
              <w:t>25146-11-12</w:t>
            </w:r>
            <w:r w:rsidRPr="00DA415C">
              <w:rPr>
                <w:rFonts w:cs="FrankRuehl" w:hint="cs"/>
                <w:sz w:val="28"/>
                <w:szCs w:val="28"/>
                <w:rtl/>
              </w:rPr>
              <w:t xml:space="preserve"> </w:t>
            </w:r>
            <w:r w:rsidRPr="00DA415C">
              <w:rPr>
                <w:rFonts w:cs="FrankRuehl"/>
                <w:sz w:val="28"/>
                <w:szCs w:val="28"/>
                <w:rtl/>
              </w:rPr>
              <w:t>פרקליטות מחוז מרכז נ' שאער(אסיר)</w:t>
            </w:r>
          </w:p>
          <w:p w14:paraId="7003549A" w14:textId="77777777" w:rsidR="00AD0865" w:rsidRPr="00DA415C" w:rsidRDefault="00AD0865">
            <w:pPr>
              <w:pStyle w:val="a3"/>
              <w:rPr>
                <w:rFonts w:cs="FrankRuehl"/>
                <w:sz w:val="28"/>
                <w:szCs w:val="28"/>
                <w:rtl/>
              </w:rPr>
            </w:pPr>
          </w:p>
        </w:tc>
        <w:tc>
          <w:tcPr>
            <w:tcW w:w="3663" w:type="dxa"/>
          </w:tcPr>
          <w:p w14:paraId="4AD18E1B" w14:textId="77777777" w:rsidR="00AD0865" w:rsidRPr="00DA415C" w:rsidRDefault="00AD0865">
            <w:pPr>
              <w:pStyle w:val="a3"/>
              <w:jc w:val="right"/>
              <w:rPr>
                <w:rFonts w:cs="FrankRuehl"/>
                <w:sz w:val="28"/>
                <w:szCs w:val="28"/>
                <w:rtl/>
              </w:rPr>
            </w:pPr>
          </w:p>
        </w:tc>
      </w:tr>
    </w:tbl>
    <w:p w14:paraId="5B3A833B" w14:textId="77777777" w:rsidR="00AD0865" w:rsidRPr="00DA415C" w:rsidRDefault="00DA415C" w:rsidP="005947FA">
      <w:pPr>
        <w:pStyle w:val="a3"/>
        <w:rPr>
          <w:rtl/>
        </w:rPr>
      </w:pPr>
      <w:r w:rsidRPr="00DA415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D0865" w:rsidRPr="00DA415C" w14:paraId="618272C3" w14:textId="77777777">
        <w:trPr>
          <w:trHeight w:val="295"/>
          <w:jc w:val="center"/>
        </w:trPr>
        <w:tc>
          <w:tcPr>
            <w:tcW w:w="923" w:type="dxa"/>
            <w:tcBorders>
              <w:top w:val="nil"/>
              <w:left w:val="nil"/>
              <w:bottom w:val="nil"/>
              <w:right w:val="nil"/>
            </w:tcBorders>
          </w:tcPr>
          <w:p w14:paraId="6EC9530F" w14:textId="77777777" w:rsidR="00AD0865" w:rsidRPr="00DA415C" w:rsidRDefault="00DA415C">
            <w:pPr>
              <w:jc w:val="both"/>
              <w:rPr>
                <w:rFonts w:ascii="Arial" w:hAnsi="Arial" w:cs="FrankRuehl"/>
                <w:sz w:val="28"/>
                <w:szCs w:val="28"/>
              </w:rPr>
            </w:pPr>
            <w:r w:rsidRPr="00DA415C">
              <w:rPr>
                <w:rFonts w:ascii="Arial" w:hAnsi="Arial" w:cs="FrankRuehl" w:hint="cs"/>
                <w:sz w:val="28"/>
                <w:szCs w:val="28"/>
                <w:rtl/>
              </w:rPr>
              <w:t>ב</w:t>
            </w:r>
            <w:r w:rsidRPr="00DA415C">
              <w:rPr>
                <w:rFonts w:ascii="Arial" w:hAnsi="Arial" w:cs="FrankRuehl"/>
                <w:sz w:val="28"/>
                <w:szCs w:val="28"/>
                <w:rtl/>
              </w:rPr>
              <w:t xml:space="preserve">פני </w:t>
            </w:r>
          </w:p>
        </w:tc>
        <w:tc>
          <w:tcPr>
            <w:tcW w:w="7897" w:type="dxa"/>
            <w:gridSpan w:val="2"/>
            <w:tcBorders>
              <w:top w:val="nil"/>
              <w:left w:val="nil"/>
              <w:bottom w:val="nil"/>
              <w:right w:val="nil"/>
            </w:tcBorders>
          </w:tcPr>
          <w:p w14:paraId="3C84647B" w14:textId="77777777" w:rsidR="00AD0865" w:rsidRPr="00DA415C" w:rsidRDefault="00DA415C">
            <w:pPr>
              <w:rPr>
                <w:rFonts w:ascii="Arial" w:hAnsi="Arial"/>
                <w:b/>
                <w:bCs/>
                <w:rtl/>
              </w:rPr>
            </w:pPr>
            <w:r w:rsidRPr="00DA415C">
              <w:rPr>
                <w:rFonts w:ascii="Arial" w:hAnsi="Arial" w:hint="cs"/>
                <w:b/>
                <w:bCs/>
                <w:rtl/>
              </w:rPr>
              <w:t>כב' ה</w:t>
            </w:r>
            <w:r w:rsidRPr="00DA415C">
              <w:rPr>
                <w:rFonts w:hint="cs"/>
                <w:rtl/>
              </w:rPr>
              <w:t>שופטת</w:t>
            </w:r>
            <w:r w:rsidRPr="00DA415C">
              <w:rPr>
                <w:rFonts w:ascii="Arial" w:hAnsi="Arial" w:hint="cs"/>
                <w:b/>
                <w:bCs/>
                <w:rtl/>
              </w:rPr>
              <w:t xml:space="preserve">  </w:t>
            </w:r>
            <w:r w:rsidRPr="00DA415C">
              <w:rPr>
                <w:rFonts w:hint="cs"/>
                <w:rtl/>
              </w:rPr>
              <w:t>רבקה גלט</w:t>
            </w:r>
          </w:p>
          <w:p w14:paraId="3E0F8A3E" w14:textId="77777777" w:rsidR="00AD0865" w:rsidRPr="00DA415C" w:rsidRDefault="00AD0865">
            <w:pPr>
              <w:rPr>
                <w:rtl/>
              </w:rPr>
            </w:pPr>
          </w:p>
          <w:p w14:paraId="753731E7" w14:textId="77777777" w:rsidR="00AD0865" w:rsidRPr="00DA415C" w:rsidRDefault="00AD0865">
            <w:pPr>
              <w:jc w:val="both"/>
              <w:rPr>
                <w:rFonts w:ascii="Arial" w:hAnsi="Arial" w:cs="FrankRuehl"/>
                <w:sz w:val="28"/>
                <w:szCs w:val="28"/>
              </w:rPr>
            </w:pPr>
          </w:p>
        </w:tc>
      </w:tr>
      <w:tr w:rsidR="00AD0865" w:rsidRPr="00DA415C" w14:paraId="37A95BD9" w14:textId="77777777">
        <w:trPr>
          <w:trHeight w:val="355"/>
          <w:jc w:val="center"/>
        </w:trPr>
        <w:tc>
          <w:tcPr>
            <w:tcW w:w="923" w:type="dxa"/>
            <w:tcBorders>
              <w:top w:val="nil"/>
              <w:left w:val="nil"/>
              <w:bottom w:val="nil"/>
              <w:right w:val="nil"/>
            </w:tcBorders>
          </w:tcPr>
          <w:p w14:paraId="647988D1" w14:textId="77777777" w:rsidR="00AD0865" w:rsidRPr="00DA415C" w:rsidRDefault="00DA415C">
            <w:pPr>
              <w:jc w:val="both"/>
              <w:rPr>
                <w:rFonts w:ascii="Arial" w:hAnsi="Arial" w:cs="FrankRuehl"/>
                <w:sz w:val="28"/>
                <w:szCs w:val="28"/>
              </w:rPr>
            </w:pPr>
            <w:bookmarkStart w:id="1" w:name="FirstAppellant"/>
            <w:r w:rsidRPr="00DA415C">
              <w:rPr>
                <w:rFonts w:ascii="Arial" w:hAnsi="Arial" w:cs="FrankRuehl" w:hint="cs"/>
                <w:sz w:val="28"/>
                <w:szCs w:val="28"/>
                <w:rtl/>
              </w:rPr>
              <w:t>בעניין:</w:t>
            </w:r>
          </w:p>
        </w:tc>
        <w:tc>
          <w:tcPr>
            <w:tcW w:w="4126" w:type="dxa"/>
            <w:tcBorders>
              <w:top w:val="nil"/>
              <w:left w:val="nil"/>
              <w:bottom w:val="nil"/>
              <w:right w:val="nil"/>
            </w:tcBorders>
          </w:tcPr>
          <w:p w14:paraId="25829BEF" w14:textId="77777777" w:rsidR="00AD0865" w:rsidRPr="00DA415C" w:rsidRDefault="00DA415C">
            <w:r w:rsidRPr="00DA415C">
              <w:rPr>
                <w:rFonts w:hint="cs"/>
                <w:rtl/>
              </w:rPr>
              <w:t>פרקליטות מחוז מרכז</w:t>
            </w:r>
          </w:p>
        </w:tc>
        <w:tc>
          <w:tcPr>
            <w:tcW w:w="3771" w:type="dxa"/>
            <w:tcBorders>
              <w:top w:val="nil"/>
              <w:left w:val="nil"/>
              <w:bottom w:val="nil"/>
              <w:right w:val="nil"/>
            </w:tcBorders>
          </w:tcPr>
          <w:p w14:paraId="1EA4E9C8" w14:textId="77777777" w:rsidR="00AD0865" w:rsidRPr="00DA415C" w:rsidRDefault="00AD0865">
            <w:pPr>
              <w:jc w:val="both"/>
              <w:rPr>
                <w:rFonts w:ascii="Arial" w:hAnsi="Arial" w:cs="FrankRuehl"/>
                <w:sz w:val="28"/>
                <w:szCs w:val="28"/>
              </w:rPr>
            </w:pPr>
          </w:p>
        </w:tc>
      </w:tr>
      <w:tr w:rsidR="00AD0865" w:rsidRPr="00DA415C" w14:paraId="4A4C8739" w14:textId="77777777">
        <w:trPr>
          <w:trHeight w:val="355"/>
          <w:jc w:val="center"/>
        </w:trPr>
        <w:tc>
          <w:tcPr>
            <w:tcW w:w="923" w:type="dxa"/>
            <w:tcBorders>
              <w:top w:val="nil"/>
              <w:left w:val="nil"/>
              <w:bottom w:val="nil"/>
              <w:right w:val="nil"/>
            </w:tcBorders>
          </w:tcPr>
          <w:p w14:paraId="77356487" w14:textId="77777777" w:rsidR="00AD0865" w:rsidRPr="00DA415C" w:rsidRDefault="00AD0865">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tcPr>
          <w:p w14:paraId="565E80EF" w14:textId="77777777" w:rsidR="00AD0865" w:rsidRPr="00DA415C" w:rsidRDefault="00DA415C">
            <w:pPr>
              <w:jc w:val="both"/>
              <w:rPr>
                <w:rtl/>
              </w:rPr>
            </w:pPr>
            <w:r w:rsidRPr="00DA415C">
              <w:rPr>
                <w:rFonts w:hint="cs"/>
                <w:rtl/>
              </w:rPr>
              <w:t xml:space="preserve">ע"י ב"כ, עו"ד רועי לוס </w:t>
            </w:r>
          </w:p>
        </w:tc>
        <w:tc>
          <w:tcPr>
            <w:tcW w:w="3771" w:type="dxa"/>
            <w:tcBorders>
              <w:top w:val="nil"/>
              <w:left w:val="nil"/>
              <w:bottom w:val="nil"/>
              <w:right w:val="nil"/>
            </w:tcBorders>
          </w:tcPr>
          <w:p w14:paraId="02852E44" w14:textId="77777777" w:rsidR="00AD0865" w:rsidRPr="00DA415C" w:rsidRDefault="00DA415C">
            <w:pPr>
              <w:jc w:val="right"/>
              <w:rPr>
                <w:rFonts w:ascii="Arial" w:hAnsi="Arial" w:cs="FrankRuehl"/>
                <w:sz w:val="28"/>
                <w:szCs w:val="28"/>
                <w:rtl/>
              </w:rPr>
            </w:pPr>
            <w:r w:rsidRPr="00DA415C">
              <w:rPr>
                <w:rFonts w:ascii="Arial" w:hAnsi="Arial" w:cs="FrankRuehl" w:hint="cs"/>
                <w:sz w:val="28"/>
                <w:szCs w:val="28"/>
                <w:rtl/>
              </w:rPr>
              <w:t>ה</w:t>
            </w:r>
            <w:r w:rsidRPr="00DA415C">
              <w:rPr>
                <w:rFonts w:hint="cs"/>
                <w:rtl/>
              </w:rPr>
              <w:t>מאשימה</w:t>
            </w:r>
          </w:p>
        </w:tc>
      </w:tr>
      <w:bookmarkEnd w:id="2"/>
      <w:tr w:rsidR="00AD0865" w:rsidRPr="00DA415C" w14:paraId="367EF267" w14:textId="77777777">
        <w:trPr>
          <w:trHeight w:val="355"/>
          <w:jc w:val="center"/>
        </w:trPr>
        <w:tc>
          <w:tcPr>
            <w:tcW w:w="923" w:type="dxa"/>
            <w:tcBorders>
              <w:top w:val="nil"/>
              <w:left w:val="nil"/>
              <w:bottom w:val="nil"/>
              <w:right w:val="nil"/>
            </w:tcBorders>
          </w:tcPr>
          <w:p w14:paraId="74EC691A" w14:textId="77777777" w:rsidR="00AD0865" w:rsidRPr="00DA415C" w:rsidRDefault="00AD0865">
            <w:pPr>
              <w:jc w:val="both"/>
              <w:rPr>
                <w:rFonts w:ascii="Arial" w:hAnsi="Arial" w:cs="FrankRuehl"/>
                <w:sz w:val="28"/>
                <w:szCs w:val="28"/>
                <w:rtl/>
              </w:rPr>
            </w:pPr>
          </w:p>
        </w:tc>
        <w:tc>
          <w:tcPr>
            <w:tcW w:w="7897" w:type="dxa"/>
            <w:gridSpan w:val="2"/>
            <w:tcBorders>
              <w:top w:val="nil"/>
              <w:left w:val="nil"/>
              <w:bottom w:val="nil"/>
              <w:right w:val="nil"/>
            </w:tcBorders>
          </w:tcPr>
          <w:p w14:paraId="2C8901A8" w14:textId="77777777" w:rsidR="00AD0865" w:rsidRPr="00DA415C" w:rsidRDefault="00AD0865">
            <w:pPr>
              <w:jc w:val="center"/>
              <w:rPr>
                <w:rFonts w:ascii="Arial" w:hAnsi="Arial" w:cs="FrankRuehl"/>
                <w:b/>
                <w:bCs/>
                <w:sz w:val="28"/>
                <w:szCs w:val="28"/>
                <w:rtl/>
              </w:rPr>
            </w:pPr>
          </w:p>
          <w:p w14:paraId="1F116393" w14:textId="77777777" w:rsidR="00AD0865" w:rsidRPr="00DA415C" w:rsidRDefault="00DA415C">
            <w:pPr>
              <w:jc w:val="center"/>
              <w:rPr>
                <w:rFonts w:ascii="Arial" w:hAnsi="Arial" w:cs="FrankRuehl"/>
                <w:b/>
                <w:bCs/>
                <w:sz w:val="28"/>
                <w:szCs w:val="28"/>
                <w:rtl/>
              </w:rPr>
            </w:pPr>
            <w:r w:rsidRPr="00DA415C">
              <w:rPr>
                <w:rFonts w:ascii="Arial" w:hAnsi="Arial" w:cs="FrankRuehl"/>
                <w:b/>
                <w:bCs/>
                <w:sz w:val="28"/>
                <w:szCs w:val="28"/>
                <w:rtl/>
              </w:rPr>
              <w:t>נגד</w:t>
            </w:r>
          </w:p>
          <w:p w14:paraId="7925B433" w14:textId="77777777" w:rsidR="00AD0865" w:rsidRPr="00DA415C" w:rsidRDefault="00AD0865">
            <w:pPr>
              <w:jc w:val="both"/>
              <w:rPr>
                <w:rFonts w:ascii="Arial" w:hAnsi="Arial" w:cs="FrankRuehl"/>
                <w:sz w:val="28"/>
                <w:szCs w:val="28"/>
              </w:rPr>
            </w:pPr>
          </w:p>
        </w:tc>
      </w:tr>
      <w:tr w:rsidR="00AD0865" w:rsidRPr="00DA415C" w14:paraId="037F489D" w14:textId="77777777">
        <w:trPr>
          <w:trHeight w:val="355"/>
          <w:jc w:val="center"/>
        </w:trPr>
        <w:tc>
          <w:tcPr>
            <w:tcW w:w="923" w:type="dxa"/>
            <w:tcBorders>
              <w:top w:val="nil"/>
              <w:left w:val="nil"/>
              <w:bottom w:val="nil"/>
              <w:right w:val="nil"/>
            </w:tcBorders>
          </w:tcPr>
          <w:p w14:paraId="3F262638" w14:textId="77777777" w:rsidR="00AD0865" w:rsidRPr="00DA415C" w:rsidRDefault="00AD0865">
            <w:pPr>
              <w:rPr>
                <w:rFonts w:ascii="Arial" w:hAnsi="Arial" w:cs="FrankRuehl"/>
                <w:sz w:val="28"/>
                <w:szCs w:val="28"/>
                <w:rtl/>
              </w:rPr>
            </w:pPr>
          </w:p>
        </w:tc>
        <w:tc>
          <w:tcPr>
            <w:tcW w:w="4126" w:type="dxa"/>
            <w:tcBorders>
              <w:top w:val="nil"/>
              <w:left w:val="nil"/>
              <w:bottom w:val="nil"/>
              <w:right w:val="nil"/>
            </w:tcBorders>
          </w:tcPr>
          <w:p w14:paraId="35951327" w14:textId="77777777" w:rsidR="00AD0865" w:rsidRPr="00DA415C" w:rsidRDefault="00DA415C">
            <w:pPr>
              <w:rPr>
                <w:rtl/>
              </w:rPr>
            </w:pPr>
            <w:r w:rsidRPr="00DA415C">
              <w:rPr>
                <w:rFonts w:hint="cs"/>
                <w:rtl/>
              </w:rPr>
              <w:t xml:space="preserve">אברהים שאער  - הובא על ידי שב"ס </w:t>
            </w:r>
          </w:p>
        </w:tc>
        <w:tc>
          <w:tcPr>
            <w:tcW w:w="3771" w:type="dxa"/>
            <w:tcBorders>
              <w:top w:val="nil"/>
              <w:left w:val="nil"/>
              <w:bottom w:val="nil"/>
              <w:right w:val="nil"/>
            </w:tcBorders>
          </w:tcPr>
          <w:p w14:paraId="330C8CB8" w14:textId="77777777" w:rsidR="00AD0865" w:rsidRPr="00DA415C" w:rsidRDefault="00AD0865">
            <w:pPr>
              <w:jc w:val="right"/>
              <w:rPr>
                <w:rFonts w:ascii="Arial" w:hAnsi="Arial" w:cs="FrankRuehl"/>
                <w:sz w:val="28"/>
                <w:szCs w:val="28"/>
              </w:rPr>
            </w:pPr>
          </w:p>
        </w:tc>
      </w:tr>
      <w:tr w:rsidR="00AD0865" w:rsidRPr="00DA415C" w14:paraId="003C3734" w14:textId="77777777">
        <w:trPr>
          <w:trHeight w:val="355"/>
          <w:jc w:val="center"/>
        </w:trPr>
        <w:tc>
          <w:tcPr>
            <w:tcW w:w="923" w:type="dxa"/>
            <w:tcBorders>
              <w:top w:val="nil"/>
              <w:left w:val="nil"/>
              <w:bottom w:val="nil"/>
              <w:right w:val="nil"/>
            </w:tcBorders>
          </w:tcPr>
          <w:p w14:paraId="45115360" w14:textId="77777777" w:rsidR="00AD0865" w:rsidRPr="00DA415C" w:rsidRDefault="00AD0865">
            <w:pPr>
              <w:jc w:val="both"/>
              <w:rPr>
                <w:rFonts w:ascii="Arial" w:hAnsi="Arial" w:cs="FrankRuehl"/>
                <w:sz w:val="28"/>
                <w:szCs w:val="28"/>
                <w:rtl/>
              </w:rPr>
            </w:pPr>
          </w:p>
        </w:tc>
        <w:tc>
          <w:tcPr>
            <w:tcW w:w="4126" w:type="dxa"/>
            <w:tcBorders>
              <w:top w:val="nil"/>
              <w:left w:val="nil"/>
              <w:bottom w:val="nil"/>
              <w:right w:val="nil"/>
            </w:tcBorders>
          </w:tcPr>
          <w:p w14:paraId="44B86763" w14:textId="77777777" w:rsidR="00AD0865" w:rsidRPr="00DA415C" w:rsidRDefault="00DA415C">
            <w:pPr>
              <w:jc w:val="both"/>
              <w:rPr>
                <w:rtl/>
              </w:rPr>
            </w:pPr>
            <w:r w:rsidRPr="00DA415C">
              <w:rPr>
                <w:rFonts w:hint="cs"/>
                <w:rtl/>
              </w:rPr>
              <w:t xml:space="preserve">ע"י ב"כ, עו"ד שי טובים </w:t>
            </w:r>
          </w:p>
        </w:tc>
        <w:tc>
          <w:tcPr>
            <w:tcW w:w="3771" w:type="dxa"/>
            <w:tcBorders>
              <w:top w:val="nil"/>
              <w:left w:val="nil"/>
              <w:bottom w:val="nil"/>
              <w:right w:val="nil"/>
            </w:tcBorders>
          </w:tcPr>
          <w:p w14:paraId="71630ED0" w14:textId="77777777" w:rsidR="00AD0865" w:rsidRPr="00DA415C" w:rsidRDefault="00DA415C">
            <w:pPr>
              <w:jc w:val="right"/>
              <w:rPr>
                <w:rFonts w:ascii="Arial" w:hAnsi="Arial" w:cs="FrankRuehl"/>
                <w:sz w:val="28"/>
                <w:szCs w:val="28"/>
              </w:rPr>
            </w:pPr>
            <w:r w:rsidRPr="00DA415C">
              <w:rPr>
                <w:rFonts w:ascii="Arial" w:hAnsi="Arial" w:cs="FrankRuehl" w:hint="cs"/>
                <w:sz w:val="28"/>
                <w:szCs w:val="28"/>
                <w:rtl/>
              </w:rPr>
              <w:t>ה</w:t>
            </w:r>
            <w:r w:rsidRPr="00DA415C">
              <w:rPr>
                <w:rFonts w:hint="cs"/>
                <w:rtl/>
              </w:rPr>
              <w:t>נאשם</w:t>
            </w:r>
          </w:p>
        </w:tc>
      </w:tr>
    </w:tbl>
    <w:p w14:paraId="211E8043" w14:textId="77777777" w:rsidR="00293BC9" w:rsidRDefault="00293BC9">
      <w:pPr>
        <w:rPr>
          <w:rtl/>
        </w:rPr>
      </w:pPr>
      <w:bookmarkStart w:id="3" w:name="LawTable"/>
      <w:bookmarkEnd w:id="3"/>
    </w:p>
    <w:p w14:paraId="2A2B50ED" w14:textId="77777777" w:rsidR="00293BC9" w:rsidRPr="00293BC9" w:rsidRDefault="00293BC9" w:rsidP="00293BC9">
      <w:pPr>
        <w:spacing w:after="120" w:line="240" w:lineRule="exact"/>
        <w:ind w:left="283" w:hanging="283"/>
        <w:jc w:val="both"/>
        <w:rPr>
          <w:rFonts w:ascii="FrankRuehl" w:hAnsi="FrankRuehl" w:cs="FrankRuehl"/>
          <w:rtl/>
        </w:rPr>
      </w:pPr>
    </w:p>
    <w:p w14:paraId="5ACC5A01" w14:textId="77777777" w:rsidR="00293BC9" w:rsidRPr="00293BC9" w:rsidRDefault="00293BC9" w:rsidP="00293BC9">
      <w:pPr>
        <w:spacing w:after="120" w:line="240" w:lineRule="exact"/>
        <w:ind w:left="283" w:hanging="283"/>
        <w:jc w:val="both"/>
        <w:rPr>
          <w:rFonts w:ascii="FrankRuehl" w:hAnsi="FrankRuehl" w:cs="FrankRuehl"/>
          <w:rtl/>
        </w:rPr>
      </w:pPr>
      <w:r w:rsidRPr="00293BC9">
        <w:rPr>
          <w:rFonts w:ascii="FrankRuehl" w:hAnsi="FrankRuehl" w:cs="FrankRuehl"/>
          <w:rtl/>
        </w:rPr>
        <w:t xml:space="preserve">חקיקה שאוזכרה: </w:t>
      </w:r>
    </w:p>
    <w:p w14:paraId="6CA5C442" w14:textId="77777777" w:rsidR="00293BC9" w:rsidRPr="00293BC9" w:rsidRDefault="00293BC9" w:rsidP="00293BC9">
      <w:pPr>
        <w:spacing w:after="120" w:line="240" w:lineRule="exact"/>
        <w:ind w:left="283" w:hanging="283"/>
        <w:jc w:val="both"/>
        <w:rPr>
          <w:rFonts w:ascii="FrankRuehl" w:hAnsi="FrankRuehl" w:cs="FrankRuehl"/>
          <w:color w:val="0000FF"/>
          <w:u w:val="single"/>
          <w:rtl/>
        </w:rPr>
      </w:pPr>
      <w:hyperlink r:id="rId7" w:history="1">
        <w:r w:rsidRPr="00293BC9">
          <w:rPr>
            <w:rStyle w:val="Hyperlink"/>
            <w:rFonts w:ascii="FrankRuehl" w:hAnsi="FrankRuehl" w:cs="FrankRuehl"/>
            <w:rtl/>
          </w:rPr>
          <w:t>פקודת הסמים המסוכנים [נוסח חדש], תשל"ג-1973</w:t>
        </w:r>
      </w:hyperlink>
      <w:r w:rsidRPr="00293BC9">
        <w:rPr>
          <w:rFonts w:ascii="FrankRuehl" w:hAnsi="FrankRuehl" w:cs="FrankRuehl"/>
          <w:color w:val="0000FF"/>
          <w:u w:val="single"/>
          <w:rtl/>
        </w:rPr>
        <w:t xml:space="preserve">: סע'  </w:t>
      </w:r>
      <w:hyperlink r:id="rId8" w:history="1">
        <w:r w:rsidRPr="00293BC9">
          <w:rPr>
            <w:rStyle w:val="Hyperlink"/>
            <w:rFonts w:ascii="FrankRuehl" w:hAnsi="FrankRuehl" w:cs="FrankRuehl"/>
          </w:rPr>
          <w:t>7(</w:t>
        </w:r>
        <w:r w:rsidRPr="00293BC9">
          <w:rPr>
            <w:rStyle w:val="Hyperlink"/>
            <w:rFonts w:ascii="FrankRuehl" w:hAnsi="FrankRuehl" w:cs="FrankRuehl"/>
            <w:rtl/>
          </w:rPr>
          <w:t>א</w:t>
        </w:r>
        <w:r w:rsidRPr="00293BC9">
          <w:rPr>
            <w:rStyle w:val="Hyperlink"/>
            <w:rFonts w:ascii="FrankRuehl" w:hAnsi="FrankRuehl" w:cs="FrankRuehl"/>
          </w:rPr>
          <w:t>)</w:t>
        </w:r>
      </w:hyperlink>
      <w:r w:rsidRPr="00293BC9">
        <w:rPr>
          <w:rFonts w:ascii="FrankRuehl" w:hAnsi="FrankRuehl" w:cs="FrankRuehl"/>
          <w:color w:val="0000FF"/>
          <w:u w:val="single"/>
          <w:rtl/>
        </w:rPr>
        <w:t xml:space="preserve">, </w:t>
      </w:r>
      <w:hyperlink r:id="rId9" w:history="1">
        <w:r w:rsidRPr="00293BC9">
          <w:rPr>
            <w:rStyle w:val="Hyperlink"/>
            <w:rFonts w:ascii="FrankRuehl" w:hAnsi="FrankRuehl" w:cs="FrankRuehl"/>
          </w:rPr>
          <w:t>(</w:t>
        </w:r>
        <w:r w:rsidRPr="00293BC9">
          <w:rPr>
            <w:rStyle w:val="Hyperlink"/>
            <w:rFonts w:ascii="FrankRuehl" w:hAnsi="FrankRuehl" w:cs="FrankRuehl"/>
            <w:rtl/>
          </w:rPr>
          <w:t>ג</w:t>
        </w:r>
        <w:r w:rsidRPr="00293BC9">
          <w:rPr>
            <w:rStyle w:val="Hyperlink"/>
            <w:rFonts w:ascii="FrankRuehl" w:hAnsi="FrankRuehl" w:cs="FrankRuehl"/>
          </w:rPr>
          <w:t>)</w:t>
        </w:r>
      </w:hyperlink>
      <w:r w:rsidRPr="00293BC9">
        <w:rPr>
          <w:rFonts w:ascii="FrankRuehl" w:hAnsi="FrankRuehl" w:cs="FrankRuehl"/>
          <w:color w:val="0000FF"/>
          <w:u w:val="single"/>
          <w:rtl/>
        </w:rPr>
        <w:t xml:space="preserve">, </w:t>
      </w:r>
      <w:hyperlink r:id="rId10" w:history="1">
        <w:r w:rsidRPr="00293BC9">
          <w:rPr>
            <w:rStyle w:val="Hyperlink"/>
            <w:rFonts w:ascii="FrankRuehl" w:hAnsi="FrankRuehl" w:cs="FrankRuehl"/>
          </w:rPr>
          <w:t>10</w:t>
        </w:r>
      </w:hyperlink>
    </w:p>
    <w:p w14:paraId="2E670765" w14:textId="77777777" w:rsidR="00293BC9" w:rsidRPr="00293BC9" w:rsidRDefault="00293BC9" w:rsidP="00293BC9">
      <w:pPr>
        <w:spacing w:after="120" w:line="240" w:lineRule="exact"/>
        <w:ind w:left="283" w:hanging="283"/>
        <w:jc w:val="both"/>
        <w:rPr>
          <w:rFonts w:ascii="FrankRuehl" w:hAnsi="FrankRuehl" w:cs="FrankRuehl"/>
          <w:rtl/>
        </w:rPr>
      </w:pPr>
    </w:p>
    <w:p w14:paraId="41938B6D" w14:textId="77777777" w:rsidR="00293BC9" w:rsidRPr="00293BC9" w:rsidRDefault="00293BC9">
      <w:pPr>
        <w:rPr>
          <w:rtl/>
        </w:rPr>
      </w:pPr>
      <w:bookmarkStart w:id="4" w:name="LawTable_End"/>
      <w:bookmarkEnd w:id="4"/>
    </w:p>
    <w:p w14:paraId="5458B75A" w14:textId="77777777" w:rsidR="002F60CA" w:rsidRPr="002F60CA" w:rsidRDefault="002F60CA">
      <w:pPr>
        <w:rPr>
          <w:rtl/>
        </w:rPr>
      </w:pPr>
    </w:p>
    <w:p w14:paraId="6A7EE0F8" w14:textId="77777777" w:rsidR="002F60CA" w:rsidRPr="002F60CA" w:rsidRDefault="002F60CA">
      <w:pPr>
        <w:rPr>
          <w:rtl/>
        </w:rPr>
      </w:pPr>
    </w:p>
    <w:p w14:paraId="20896BCD" w14:textId="77777777" w:rsidR="00AD0865" w:rsidRPr="002F60CA" w:rsidRDefault="00AD086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0865" w14:paraId="3B38CC8F" w14:textId="77777777">
        <w:trPr>
          <w:trHeight w:val="355"/>
          <w:jc w:val="center"/>
        </w:trPr>
        <w:tc>
          <w:tcPr>
            <w:tcW w:w="8820" w:type="dxa"/>
            <w:tcBorders>
              <w:top w:val="nil"/>
              <w:left w:val="nil"/>
              <w:bottom w:val="nil"/>
              <w:right w:val="nil"/>
            </w:tcBorders>
          </w:tcPr>
          <w:p w14:paraId="52F96BEA" w14:textId="77777777" w:rsidR="00DA415C" w:rsidRPr="00DA415C" w:rsidRDefault="00DA415C" w:rsidP="00DA415C">
            <w:pPr>
              <w:jc w:val="center"/>
              <w:rPr>
                <w:rFonts w:ascii="Arial" w:hAnsi="Arial" w:cs="FrankRuehl"/>
                <w:b/>
                <w:bCs/>
                <w:sz w:val="32"/>
                <w:szCs w:val="32"/>
                <w:u w:val="single"/>
                <w:rtl/>
              </w:rPr>
            </w:pPr>
            <w:bookmarkStart w:id="5" w:name="PsakDin" w:colFirst="0" w:colLast="0"/>
            <w:bookmarkEnd w:id="0"/>
            <w:r w:rsidRPr="00DA415C">
              <w:rPr>
                <w:rFonts w:ascii="Arial" w:hAnsi="Arial" w:cs="FrankRuehl"/>
                <w:b/>
                <w:bCs/>
                <w:sz w:val="32"/>
                <w:szCs w:val="32"/>
                <w:u w:val="single"/>
                <w:rtl/>
              </w:rPr>
              <w:t>גזר דין</w:t>
            </w:r>
          </w:p>
          <w:p w14:paraId="45ADE50C" w14:textId="77777777" w:rsidR="00AD0865" w:rsidRPr="00DA415C" w:rsidRDefault="00AD0865" w:rsidP="00DA415C">
            <w:pPr>
              <w:jc w:val="center"/>
              <w:rPr>
                <w:rFonts w:ascii="Arial" w:hAnsi="Arial" w:cs="FrankRuehl"/>
                <w:bCs/>
                <w:sz w:val="32"/>
                <w:szCs w:val="32"/>
                <w:u w:val="single"/>
                <w:rtl/>
              </w:rPr>
            </w:pPr>
          </w:p>
        </w:tc>
      </w:tr>
      <w:bookmarkEnd w:id="5"/>
    </w:tbl>
    <w:p w14:paraId="0D0C6391" w14:textId="77777777" w:rsidR="00AD0865" w:rsidRDefault="00AD0865">
      <w:pPr>
        <w:rPr>
          <w:rFonts w:ascii="Arial" w:hAnsi="Arial"/>
          <w:rtl/>
        </w:rPr>
      </w:pPr>
    </w:p>
    <w:p w14:paraId="2F546E72" w14:textId="77777777" w:rsidR="00AD0865" w:rsidRDefault="00AD0865">
      <w:pPr>
        <w:rPr>
          <w:rFonts w:ascii="Arial" w:hAnsi="Arial"/>
          <w:rtl/>
        </w:rPr>
      </w:pPr>
    </w:p>
    <w:p w14:paraId="551DCACD" w14:textId="77777777" w:rsidR="00AD0865" w:rsidRDefault="00AD0865">
      <w:pPr>
        <w:rPr>
          <w:rtl/>
        </w:rPr>
      </w:pPr>
    </w:p>
    <w:p w14:paraId="72FA0DEF" w14:textId="77777777" w:rsidR="00AD0865" w:rsidRDefault="00DA415C">
      <w:pPr>
        <w:spacing w:line="360" w:lineRule="auto"/>
        <w:jc w:val="both"/>
        <w:rPr>
          <w:rtl/>
        </w:rPr>
      </w:pPr>
      <w:bookmarkStart w:id="6" w:name="ABSTRACT_START"/>
      <w:bookmarkEnd w:id="6"/>
      <w:r>
        <w:rPr>
          <w:rtl/>
        </w:rPr>
        <w:t xml:space="preserve">הנאשם, יליד 1994, הורשע על פי הודאתו בעובדות כתב האישום המתוקן, בעבירות של החזקת סם מסוכן שלא לצריכה עצמית לפי </w:t>
      </w:r>
      <w:hyperlink r:id="rId11" w:history="1">
        <w:r w:rsidR="00293BC9" w:rsidRPr="00293BC9">
          <w:rPr>
            <w:rStyle w:val="Hyperlink"/>
            <w:rFonts w:cs="David"/>
            <w:rtl/>
          </w:rPr>
          <w:t>סעיפים 7(א)</w:t>
        </w:r>
      </w:hyperlink>
      <w:r>
        <w:rPr>
          <w:rtl/>
        </w:rPr>
        <w:t xml:space="preserve"> ו- </w:t>
      </w:r>
      <w:hyperlink r:id="rId12" w:history="1">
        <w:r w:rsidR="00293BC9" w:rsidRPr="00293BC9">
          <w:rPr>
            <w:rStyle w:val="Hyperlink"/>
            <w:rFonts w:cs="David"/>
            <w:rtl/>
          </w:rPr>
          <w:t>(ג)</w:t>
        </w:r>
      </w:hyperlink>
      <w:r>
        <w:rPr>
          <w:rtl/>
        </w:rPr>
        <w:t xml:space="preserve"> סיפא ל</w:t>
      </w:r>
      <w:hyperlink r:id="rId13" w:history="1">
        <w:r w:rsidR="002F60CA" w:rsidRPr="002F60CA">
          <w:rPr>
            <w:rStyle w:val="Hyperlink"/>
            <w:rFonts w:cs="David"/>
            <w:rtl/>
          </w:rPr>
          <w:t>פקודת הסמים המסוכנים</w:t>
        </w:r>
      </w:hyperlink>
      <w:r>
        <w:rPr>
          <w:rtl/>
        </w:rPr>
        <w:t xml:space="preserve"> [נוסח חדש] התשל"ג -1973, וכן והחזקת כלים המשמשים להכנת סם לפי </w:t>
      </w:r>
      <w:hyperlink r:id="rId14" w:history="1">
        <w:r w:rsidR="00293BC9" w:rsidRPr="00293BC9">
          <w:rPr>
            <w:rStyle w:val="Hyperlink"/>
            <w:rFonts w:cs="David"/>
            <w:rtl/>
          </w:rPr>
          <w:t>סעיף 10</w:t>
        </w:r>
      </w:hyperlink>
      <w:r>
        <w:rPr>
          <w:rtl/>
        </w:rPr>
        <w:t xml:space="preserve"> רישא, לפקודה.</w:t>
      </w:r>
    </w:p>
    <w:p w14:paraId="7DF58680" w14:textId="77777777" w:rsidR="00AD0865" w:rsidRDefault="00DA415C">
      <w:pPr>
        <w:spacing w:line="360" w:lineRule="auto"/>
        <w:jc w:val="both"/>
        <w:rPr>
          <w:rtl/>
        </w:rPr>
      </w:pPr>
      <w:bookmarkStart w:id="7" w:name="ABSTRACT_END"/>
      <w:bookmarkEnd w:id="7"/>
      <w:r>
        <w:rPr>
          <w:rtl/>
        </w:rPr>
        <w:t xml:space="preserve"> </w:t>
      </w:r>
    </w:p>
    <w:p w14:paraId="4F35E64B" w14:textId="77777777" w:rsidR="00AD0865" w:rsidRDefault="00DA415C">
      <w:pPr>
        <w:spacing w:line="360" w:lineRule="auto"/>
        <w:jc w:val="both"/>
        <w:rPr>
          <w:rtl/>
        </w:rPr>
      </w:pPr>
      <w:r>
        <w:rPr>
          <w:rtl/>
        </w:rPr>
        <w:t>כתב האישום המתוקן הוגש במסגרת הסדר טיעון, שלא כלל הסכמה לעניין העונש.</w:t>
      </w:r>
    </w:p>
    <w:p w14:paraId="61D0A695" w14:textId="77777777" w:rsidR="00AD0865" w:rsidRDefault="00AD0865">
      <w:pPr>
        <w:spacing w:line="360" w:lineRule="auto"/>
        <w:jc w:val="both"/>
        <w:rPr>
          <w:rtl/>
        </w:rPr>
      </w:pPr>
    </w:p>
    <w:p w14:paraId="1C938C14" w14:textId="77777777" w:rsidR="00AD0865" w:rsidRDefault="00DA415C">
      <w:pPr>
        <w:spacing w:line="360" w:lineRule="auto"/>
        <w:jc w:val="both"/>
        <w:rPr>
          <w:rtl/>
        </w:rPr>
      </w:pPr>
      <w:r>
        <w:rPr>
          <w:rtl/>
        </w:rPr>
        <w:t xml:space="preserve">העובדות בהן הודה הנאשם הן אלה: ביום 4.11.12, בסמוך לשעה 11:00, בחצר הצמודה לבית ברחוב גלעד 9 בלוד, החזיק  כ- </w:t>
      </w:r>
      <w:smartTag w:uri="urn:schemas-microsoft-com:office:smarttags" w:element="metricconverter">
        <w:smartTagPr>
          <w:attr w:name="ProductID" w:val="18 גרם"/>
        </w:smartTagPr>
        <w:r>
          <w:rPr>
            <w:rtl/>
          </w:rPr>
          <w:t>18 גרם</w:t>
        </w:r>
      </w:smartTag>
      <w:r>
        <w:rPr>
          <w:rtl/>
        </w:rPr>
        <w:t xml:space="preserve"> נטו של סם מסוג קוקאין ב- 120 אריזות וכ- </w:t>
      </w:r>
      <w:smartTag w:uri="urn:schemas-microsoft-com:office:smarttags" w:element="metricconverter">
        <w:smartTagPr>
          <w:attr w:name="ProductID" w:val="55 גרם"/>
        </w:smartTagPr>
        <w:r>
          <w:rPr>
            <w:rtl/>
          </w:rPr>
          <w:t>55 גרם</w:t>
        </w:r>
      </w:smartTag>
      <w:r>
        <w:rPr>
          <w:rtl/>
        </w:rPr>
        <w:t xml:space="preserve"> נטו של סם מסוג הרואין ב- 71 אריזות (11 אריזות הכילו סם בכמות של </w:t>
      </w:r>
      <w:smartTag w:uri="urn:schemas-microsoft-com:office:smarttags" w:element="metricconverter">
        <w:smartTagPr>
          <w:attr w:name="ProductID" w:val="8.63 גרם"/>
        </w:smartTagPr>
        <w:r>
          <w:rPr>
            <w:rtl/>
          </w:rPr>
          <w:t>8.63 גרם</w:t>
        </w:r>
      </w:smartTag>
      <w:r>
        <w:rPr>
          <w:rtl/>
        </w:rPr>
        <w:t xml:space="preserve"> לערך ו-60 אריזות נוספות הכילו סם בכמות של </w:t>
      </w:r>
      <w:smartTag w:uri="urn:schemas-microsoft-com:office:smarttags" w:element="metricconverter">
        <w:smartTagPr>
          <w:attr w:name="ProductID" w:val="46.4 גרם"/>
        </w:smartTagPr>
        <w:r>
          <w:rPr>
            <w:rtl/>
          </w:rPr>
          <w:t>46.4 גרם</w:t>
        </w:r>
      </w:smartTag>
      <w:r>
        <w:rPr>
          <w:rtl/>
        </w:rPr>
        <w:t xml:space="preserve"> לערך), אשר הוסתרו במקומות שונים בחצר. כמו כן, הנאשם החזיק בחצר משקל אלקטרוני, המשמש לשקילת הסמים המסוכנים. </w:t>
      </w:r>
    </w:p>
    <w:p w14:paraId="6371AEF5" w14:textId="77777777" w:rsidR="00AD0865" w:rsidRDefault="00AD0865">
      <w:pPr>
        <w:spacing w:line="360" w:lineRule="auto"/>
        <w:jc w:val="both"/>
        <w:rPr>
          <w:rtl/>
        </w:rPr>
      </w:pPr>
    </w:p>
    <w:p w14:paraId="1B51E916" w14:textId="77777777" w:rsidR="00AD0865" w:rsidRDefault="00DA415C">
      <w:pPr>
        <w:spacing w:line="360" w:lineRule="auto"/>
        <w:jc w:val="both"/>
        <w:rPr>
          <w:rtl/>
        </w:rPr>
      </w:pPr>
      <w:r>
        <w:rPr>
          <w:rtl/>
        </w:rPr>
        <w:t>בד בבד עם הגשת כתב האישום נתבקש מעצרו של הנאשם, והוא עצור מאז עד לתום ההליכים בעניינו.</w:t>
      </w:r>
    </w:p>
    <w:p w14:paraId="3067C30A" w14:textId="77777777" w:rsidR="00AD0865" w:rsidRDefault="00AD0865">
      <w:pPr>
        <w:spacing w:line="360" w:lineRule="auto"/>
        <w:jc w:val="both"/>
        <w:rPr>
          <w:rtl/>
        </w:rPr>
      </w:pPr>
    </w:p>
    <w:p w14:paraId="17B22C81" w14:textId="77777777" w:rsidR="00AD0865" w:rsidRDefault="00DA415C">
      <w:pPr>
        <w:spacing w:line="360" w:lineRule="auto"/>
        <w:jc w:val="both"/>
        <w:rPr>
          <w:rtl/>
        </w:rPr>
      </w:pPr>
      <w:r>
        <w:rPr>
          <w:rtl/>
        </w:rPr>
        <w:t xml:space="preserve">לנוכח גילו הצעיר של הנאשם,  נערך בעניינו תסקיר חובה של שרות המבחן. </w:t>
      </w:r>
    </w:p>
    <w:p w14:paraId="29620A7C" w14:textId="77777777" w:rsidR="00AD0865" w:rsidRDefault="00AD0865">
      <w:pPr>
        <w:spacing w:line="360" w:lineRule="auto"/>
        <w:jc w:val="both"/>
        <w:rPr>
          <w:rtl/>
        </w:rPr>
      </w:pPr>
    </w:p>
    <w:p w14:paraId="313904AC" w14:textId="77777777" w:rsidR="00AD0865" w:rsidRDefault="00DA415C">
      <w:pPr>
        <w:spacing w:line="360" w:lineRule="auto"/>
        <w:jc w:val="both"/>
        <w:rPr>
          <w:rtl/>
        </w:rPr>
      </w:pPr>
      <w:r>
        <w:rPr>
          <w:rtl/>
        </w:rPr>
        <w:t>התסקיר מיום 27.6.13, מתאר את תולדות חייו של הנאשם שהוא בן בכור להוריו, אשר להם 8 ילדים. לנאשם אין כל עבר פלילי, ועד למעצרו עבד יחד עם אביו בחברת קייטרינג. בנוגע לעבירה התקשה הנאשם לבחון את הבעייתיות שבהתנהלותו, לא גילה צורך בעריכת שינוי כלשהו ולא הביע נכונות לעזרה טיפולית. הנאשם אף הכחיש בפני שרות המבחן את ביצוע העבירות. לפיכך נמנע השרות ממתן המלצה בעניינו.</w:t>
      </w:r>
    </w:p>
    <w:p w14:paraId="73751B37" w14:textId="77777777" w:rsidR="00AD0865" w:rsidRDefault="00AD0865">
      <w:pPr>
        <w:spacing w:line="360" w:lineRule="auto"/>
        <w:jc w:val="both"/>
        <w:rPr>
          <w:rtl/>
        </w:rPr>
      </w:pPr>
    </w:p>
    <w:p w14:paraId="6EA1F9EC" w14:textId="77777777" w:rsidR="00AD0865" w:rsidRDefault="00DA415C">
      <w:pPr>
        <w:spacing w:line="360" w:lineRule="auto"/>
        <w:jc w:val="both"/>
        <w:rPr>
          <w:rtl/>
        </w:rPr>
      </w:pPr>
      <w:r>
        <w:rPr>
          <w:rtl/>
        </w:rPr>
        <w:t>ב"כ הנאשם טען כי לדעתו אירעה תקלה תקשורתית כלשהי בין הנאשם לבין קצין המבחן, שכן לא היתה לנאשם כוונה להכחיש את העבירות, אף כי מסר לפי תומו שהסמים היו שייכים לאחר. נטען כי יומיים לפני פגישת הנאשם עם קצין המבחן נרצח בן דודו וייתכן שהיתה לכך השפעה עליו באופן שהתפרש כאי נטילת אחריות. לפיכך נתבקשתי להורות על עריכת תסקיר משלים, וכך הוריתי.</w:t>
      </w:r>
    </w:p>
    <w:p w14:paraId="56FDD722" w14:textId="77777777" w:rsidR="00AD0865" w:rsidRDefault="00AD0865">
      <w:pPr>
        <w:spacing w:line="360" w:lineRule="auto"/>
        <w:jc w:val="both"/>
        <w:rPr>
          <w:rtl/>
        </w:rPr>
      </w:pPr>
    </w:p>
    <w:p w14:paraId="63330BB1" w14:textId="77777777" w:rsidR="00AD0865" w:rsidRDefault="00DA415C">
      <w:pPr>
        <w:spacing w:line="360" w:lineRule="auto"/>
        <w:jc w:val="both"/>
        <w:rPr>
          <w:rtl/>
        </w:rPr>
      </w:pPr>
      <w:r>
        <w:rPr>
          <w:rtl/>
        </w:rPr>
        <w:t>בתסקיר מיום 17.9.13, נכתב כי הנאשם הדגיש שהוא מודה בפרטי האישום והביע חרטה, אך יחד עם זאת התקשה בבדיקה עצמית לעניין התנהלותו הבעייתית. בנוסף, הנאשם ביטא קושי נוכח התמשכות מעצרו והרחקתו מבני משפחתו הממעטים לבקרו. צוין כי התחזקה ההתרשמות  שהנאשם אינו בשל להתייחס לקשריו החברתיים הבעייתיים, ונטילת האחריות הינה הצהרתית בלבד. ההערכה היא כי קיימת רמת מסוכנות להישנות הסתבכויות עם החוק בעתיד, והשרות שוב נמנע ממתן המלצה.</w:t>
      </w:r>
    </w:p>
    <w:p w14:paraId="3854650F" w14:textId="77777777" w:rsidR="00AD0865" w:rsidRDefault="00AD0865">
      <w:pPr>
        <w:spacing w:line="360" w:lineRule="auto"/>
        <w:jc w:val="both"/>
        <w:rPr>
          <w:rtl/>
        </w:rPr>
      </w:pPr>
    </w:p>
    <w:p w14:paraId="18B5CF89" w14:textId="77777777" w:rsidR="00AD0865" w:rsidRDefault="00DA415C">
      <w:pPr>
        <w:spacing w:line="360" w:lineRule="auto"/>
        <w:jc w:val="both"/>
        <w:rPr>
          <w:rtl/>
        </w:rPr>
      </w:pPr>
      <w:r>
        <w:rPr>
          <w:rtl/>
        </w:rPr>
        <w:t>בהמשך לאמור, שב ב"כ הנאשם וטען לקיומו של פער בלתי מוסבר בין נטילת האחריות שבאה לידי ביטוי בשיחותיו עם הנאשם, לבין האמור בתסקיר. הועלתה הטענה כי יכול שקשיי שפה הובילו לאותו פער ונטען כי ראוי להורות על מתן תסקיר משלים נוסף, שייערך על ידי קצין מבחן דובר השפה הערבית.</w:t>
      </w:r>
    </w:p>
    <w:p w14:paraId="11E78181" w14:textId="77777777" w:rsidR="00AD0865" w:rsidRDefault="00AD0865">
      <w:pPr>
        <w:spacing w:line="360" w:lineRule="auto"/>
        <w:jc w:val="both"/>
        <w:rPr>
          <w:rtl/>
        </w:rPr>
      </w:pPr>
    </w:p>
    <w:p w14:paraId="795FF752" w14:textId="77777777" w:rsidR="00AD0865" w:rsidRDefault="00DA415C">
      <w:pPr>
        <w:spacing w:line="360" w:lineRule="auto"/>
        <w:jc w:val="both"/>
        <w:rPr>
          <w:rtl/>
        </w:rPr>
      </w:pPr>
      <w:r>
        <w:rPr>
          <w:rtl/>
        </w:rPr>
        <w:t xml:space="preserve">בעקבות האמור, הוגש תסקיר שלישי, אשר בו שב שרות המבחן על עמדתו הקודמת, לאחר פגישה נוספת עם הנאשם. נכתב כי קשייו של הנאשם לא נובעים מקשיי שפה וכי התמשכות המעצר לא הביאה לשינוי בנכונותו להעמיק הבדיקה העצמית. הנאשם ביטא יחס חשדני כלפי השרות, וממשיך למזער את חלקו בעבירות. ההערכה היא כי חזרתו של  הנאשם לסביבת מגוריו הטבעית מגבירה את הסיכון להישנות של התנהגות עבריינית. ההמלצה היא להטיל ענישה קונקרטית של מאסר בפועל, </w:t>
      </w:r>
      <w:r>
        <w:rPr>
          <w:rtl/>
        </w:rPr>
        <w:lastRenderedPageBreak/>
        <w:t>אך נכתב כי לחשיפה ממושכת של הנאשם לאוכלוסיית האסירים עלולה להיות השפעה רגרסיבית ארוכת טווח.</w:t>
      </w:r>
    </w:p>
    <w:p w14:paraId="719FED3D" w14:textId="77777777" w:rsidR="00AD0865" w:rsidRDefault="00AD0865">
      <w:pPr>
        <w:spacing w:line="360" w:lineRule="auto"/>
        <w:jc w:val="both"/>
        <w:rPr>
          <w:rtl/>
        </w:rPr>
      </w:pPr>
    </w:p>
    <w:p w14:paraId="1F5D1F18" w14:textId="77777777" w:rsidR="00AD0865" w:rsidRDefault="00DA415C">
      <w:pPr>
        <w:spacing w:line="360" w:lineRule="auto"/>
        <w:jc w:val="both"/>
        <w:rPr>
          <w:rtl/>
        </w:rPr>
      </w:pPr>
      <w:r>
        <w:rPr>
          <w:rtl/>
        </w:rPr>
        <w:t>ב"כ התביעה טען לחומרת העבירות, וחשיבות האינטרס המוגן על ידן. נטען כי נסיבות ביצוע העבירות הן חמורות במיוחד, שהרי הנאשם החזיק והחביא בחצר כמות גדולה של סמים מסוכנים, מסוגים שונים: הרואין וקוקאין. לטענתו, עצם הטמנת חבילות הסם, הכמות הגדולה שנתפסה, סוגי הסמים, הנחשבים לסמים "קשים", והחזקת המשקל האלקטרוני בחצר יש בהם כדי ללמד על בקיאות, לא מבוטלת, שמגלה הנאשם בתחום הסמים ועל כך שמטרתה של היערכות זו נועדה בסופו של יום לאפשר את הפצת הסם, זאת בניגוד לטענתו של הנאשם כי החזיק את הסמים עבורו ועבור אחרים. עוד טען ב"כ התביעה, כי יש להשית על הנאשם עונש חמור, על אף גילו הצעיר והעדר עבר פלילי, בשל החומרה הנודעת לעבירות הסמים, ובשל העדר נטילת אחריות ממשית. נטען כי נסיבה לחומרה נוספת בעניינו של הנאשם נעוצה בכך שלא שיתף פעולה עם חוקריו ולא מסר את המקור ממנו הגיעו לידיו הסמים. בהעדר המלצה מטעם שרות המבחן, מתחם הענישה ההולם נע בין 24 חודשי מאסר לבין 48 חודשי מאסר, והעונש הראוי לנאשם הוא 36 חודשי מאסר, מאסר על תנאי וקנס.  מטעם התביעה הוגשה אסופת פסיקה.</w:t>
      </w:r>
    </w:p>
    <w:p w14:paraId="527E9EC7" w14:textId="77777777" w:rsidR="00AD0865" w:rsidRDefault="00AD0865">
      <w:pPr>
        <w:spacing w:line="360" w:lineRule="auto"/>
        <w:jc w:val="both"/>
        <w:rPr>
          <w:rtl/>
        </w:rPr>
      </w:pPr>
    </w:p>
    <w:p w14:paraId="5E9E27EF" w14:textId="77777777" w:rsidR="00AD0865" w:rsidRDefault="00DA415C">
      <w:pPr>
        <w:spacing w:line="360" w:lineRule="auto"/>
        <w:jc w:val="both"/>
        <w:rPr>
          <w:rtl/>
        </w:rPr>
      </w:pPr>
      <w:r>
        <w:rPr>
          <w:rtl/>
        </w:rPr>
        <w:t xml:space="preserve">ב"כ הנאשם טען כי הנאשם שייך לשכבת הגיל של "בגירים צעירים" כפי שהוכרה בפסיקה, שכן בעת ביצוע העבירה היה בן 18.5. עובדה זו מובילה למסקנה כי יש ליתן לשיקולי  השיקום מעמד של בכורה. עוד נטען, כי העדר המלצת שירות המבחן להליך טיפולי-שיקומי בעניינו של הנאשם לא אמורה להציב את הנאשם ברף האמצע- עליון של מתחם הענישה. נסיבותיו האישיות של הנאשם הן קשות שכן הוריו גרושים והוא גדל ללא דמות אב. לפיכך, לטענת ב"כ הנאשם, המתחם ההולם בענייננו נע בין 18 חודשי מאסר לבין 36 חודשי מאסר.  </w:t>
      </w:r>
    </w:p>
    <w:p w14:paraId="746EEE63" w14:textId="77777777" w:rsidR="00AD0865" w:rsidRDefault="00AD0865">
      <w:pPr>
        <w:spacing w:line="360" w:lineRule="auto"/>
        <w:jc w:val="both"/>
        <w:rPr>
          <w:rtl/>
        </w:rPr>
      </w:pPr>
    </w:p>
    <w:p w14:paraId="5EBC41C0" w14:textId="77777777" w:rsidR="00AD0865" w:rsidRDefault="00DA415C">
      <w:pPr>
        <w:spacing w:line="360" w:lineRule="auto"/>
        <w:jc w:val="both"/>
        <w:rPr>
          <w:b/>
          <w:bCs/>
          <w:u w:val="single"/>
          <w:rtl/>
        </w:rPr>
      </w:pPr>
      <w:r>
        <w:rPr>
          <w:b/>
          <w:bCs/>
          <w:u w:val="single"/>
          <w:rtl/>
        </w:rPr>
        <w:t>מתחם העונש ההולם</w:t>
      </w:r>
    </w:p>
    <w:p w14:paraId="77335144" w14:textId="77777777" w:rsidR="00AD0865" w:rsidRDefault="00AD0865">
      <w:pPr>
        <w:spacing w:line="360" w:lineRule="auto"/>
        <w:jc w:val="both"/>
        <w:rPr>
          <w:rtl/>
        </w:rPr>
      </w:pPr>
    </w:p>
    <w:p w14:paraId="06C19AD6" w14:textId="77777777" w:rsidR="00AD0865" w:rsidRDefault="00DA415C">
      <w:pPr>
        <w:spacing w:line="360" w:lineRule="auto"/>
        <w:jc w:val="both"/>
        <w:rPr>
          <w:rtl/>
        </w:rPr>
      </w:pPr>
      <w:r>
        <w:rPr>
          <w:rtl/>
        </w:rPr>
        <w:t>אין צורך להכביר מילים אודות חומרתן היתרה של עבירות הסמים, אשר מעבר לפגיעתן הישירה באלו הבאים במגע ישיר עם הסם, טמונה בהן פגיעה ארוכת טווח בחברה כולה, הניזוקה מידי סוחרי הסמים והמכורים להם, באופנים שונים.</w:t>
      </w:r>
    </w:p>
    <w:p w14:paraId="4C5DC468" w14:textId="77777777" w:rsidR="00AD0865" w:rsidRDefault="00AD0865">
      <w:pPr>
        <w:spacing w:line="360" w:lineRule="auto"/>
        <w:jc w:val="both"/>
        <w:rPr>
          <w:rtl/>
        </w:rPr>
      </w:pPr>
    </w:p>
    <w:p w14:paraId="44449A41" w14:textId="77777777" w:rsidR="00AD0865" w:rsidRDefault="00DA415C">
      <w:pPr>
        <w:spacing w:line="360" w:lineRule="auto"/>
        <w:jc w:val="both"/>
        <w:rPr>
          <w:rtl/>
        </w:rPr>
      </w:pPr>
      <w:r>
        <w:rPr>
          <w:rtl/>
        </w:rPr>
        <w:t>לנוכח החומרה הרבה הטמונה בעבירות אלה, נפסק לא אחת כי בבוא בית המשפט לגזור את העונש בגינן, עליו להעמיד את האינטרס הציבורי במרכז שיקוליו. ב</w:t>
      </w:r>
      <w:hyperlink r:id="rId15" w:history="1">
        <w:r w:rsidR="002F60CA" w:rsidRPr="002F60CA">
          <w:rPr>
            <w:rStyle w:val="Hyperlink"/>
            <w:rFonts w:cs="David"/>
            <w:rtl/>
          </w:rPr>
          <w:t>ע"פ 5741/11</w:t>
        </w:r>
      </w:hyperlink>
      <w:r>
        <w:rPr>
          <w:rtl/>
        </w:rPr>
        <w:t xml:space="preserve"> סוארכה נ' מד"י (20.1.13), אמר בית המשפט העליון: </w:t>
      </w:r>
    </w:p>
    <w:p w14:paraId="16DE8C9A" w14:textId="77777777" w:rsidR="00AD0865" w:rsidRDefault="00AD0865">
      <w:pPr>
        <w:ind w:left="566"/>
        <w:rPr>
          <w:b/>
          <w:bCs/>
          <w:sz w:val="22"/>
          <w:szCs w:val="22"/>
          <w:rtl/>
        </w:rPr>
      </w:pPr>
    </w:p>
    <w:p w14:paraId="72C4B361" w14:textId="77777777" w:rsidR="00AD0865" w:rsidRDefault="00DA415C">
      <w:pPr>
        <w:ind w:left="566" w:right="540"/>
        <w:jc w:val="both"/>
        <w:rPr>
          <w:b/>
          <w:bCs/>
          <w:sz w:val="22"/>
          <w:szCs w:val="22"/>
          <w:rtl/>
        </w:rPr>
      </w:pPr>
      <w:r>
        <w:rPr>
          <w:b/>
          <w:bCs/>
          <w:sz w:val="22"/>
          <w:szCs w:val="22"/>
          <w:rtl/>
        </w:rPr>
        <w:t>לא אחת עמד בית משפט זה על כך ש"בעבירות סמים נסוגים השיקולים האישיים של העבריין מפני שיקולי הנזק הקשה שהשימוש בסם מביא על המשתמשים בו" (</w:t>
      </w:r>
      <w:hyperlink r:id="rId16" w:history="1">
        <w:r w:rsidR="002F60CA" w:rsidRPr="002F60CA">
          <w:rPr>
            <w:rStyle w:val="Hyperlink"/>
            <w:b/>
            <w:bCs/>
            <w:sz w:val="22"/>
            <w:szCs w:val="22"/>
            <w:rtl/>
          </w:rPr>
          <w:t>ע"פ 6029/03</w:t>
        </w:r>
      </w:hyperlink>
      <w:r w:rsidRPr="00601EEE">
        <w:rPr>
          <w:rFonts w:cs="Times New Roman"/>
          <w:b/>
          <w:bCs/>
          <w:color w:val="000000"/>
          <w:sz w:val="22"/>
          <w:szCs w:val="22"/>
          <w:rtl/>
        </w:rPr>
        <w:t xml:space="preserve"> מדינת ישראל נ' שמאי, פ''ד נח</w:t>
      </w:r>
      <w:r>
        <w:rPr>
          <w:b/>
          <w:bCs/>
          <w:sz w:val="22"/>
          <w:szCs w:val="22"/>
          <w:rtl/>
        </w:rPr>
        <w:t>(2) 734). כך גם בענייננו. הסכנה הטמונה במאות אלפי מנות סם מסוג הירואין היא בגדר "צונאמי" בפלילים, ועל הענישה לתת לכך ביטוי.</w:t>
      </w:r>
    </w:p>
    <w:p w14:paraId="7F227C5B" w14:textId="77777777" w:rsidR="00AD0865" w:rsidRDefault="00AD0865">
      <w:pPr>
        <w:ind w:left="566" w:right="540"/>
        <w:jc w:val="both"/>
        <w:rPr>
          <w:b/>
          <w:bCs/>
          <w:sz w:val="22"/>
          <w:szCs w:val="22"/>
          <w:rtl/>
        </w:rPr>
      </w:pPr>
    </w:p>
    <w:p w14:paraId="6909B374" w14:textId="77777777" w:rsidR="00AD0865" w:rsidRDefault="00AD0865">
      <w:pPr>
        <w:spacing w:line="360" w:lineRule="auto"/>
        <w:jc w:val="both"/>
        <w:rPr>
          <w:rtl/>
        </w:rPr>
      </w:pPr>
    </w:p>
    <w:p w14:paraId="343667D8" w14:textId="77777777" w:rsidR="00AD0865" w:rsidRDefault="00DA415C">
      <w:pPr>
        <w:spacing w:line="360" w:lineRule="auto"/>
        <w:jc w:val="both"/>
        <w:rPr>
          <w:rtl/>
        </w:rPr>
      </w:pPr>
      <w:r>
        <w:rPr>
          <w:rtl/>
        </w:rPr>
        <w:t>חומרה יתרה מיוחסת לעבירות של החזקת סמים, כשהמדובר בהחזקה של סמים ממספר סוגים שונים, המחולקים למנות, כפי שאירע בענייננו. אופן זה של ביצוע העבירה, בצירוף העובדה שנתפס במקום גם משקל אלקטרוני, יש בו כדי ללמד על כוונה של ממש להפיץ את הסם, ועל כן יש לראות את נסיבות ביצוע העבירה כקרובות ביותר לחומרת עבירת הסחר עצמה (</w:t>
      </w:r>
      <w:hyperlink r:id="rId17" w:history="1">
        <w:r w:rsidR="002F60CA" w:rsidRPr="002F60CA">
          <w:rPr>
            <w:rStyle w:val="Hyperlink"/>
            <w:rFonts w:cs="David"/>
            <w:rtl/>
          </w:rPr>
          <w:t>ת.פ (ת"א) 40013/08</w:t>
        </w:r>
      </w:hyperlink>
      <w:r>
        <w:rPr>
          <w:rtl/>
        </w:rPr>
        <w:t xml:space="preserve"> מד"י נ' גיל (21.9.08)</w:t>
      </w:r>
    </w:p>
    <w:p w14:paraId="263AA93B" w14:textId="77777777" w:rsidR="00AD0865" w:rsidRDefault="00AD0865">
      <w:pPr>
        <w:spacing w:line="360" w:lineRule="auto"/>
        <w:jc w:val="both"/>
        <w:rPr>
          <w:rtl/>
        </w:rPr>
      </w:pPr>
    </w:p>
    <w:p w14:paraId="337AF528" w14:textId="77777777" w:rsidR="00AD0865" w:rsidRDefault="00DA415C">
      <w:pPr>
        <w:spacing w:line="360" w:lineRule="auto"/>
        <w:jc w:val="both"/>
        <w:rPr>
          <w:rtl/>
        </w:rPr>
      </w:pPr>
      <w:r>
        <w:rPr>
          <w:rtl/>
        </w:rPr>
        <w:t>מסקירת פסיקתו של בית המשפט העליון ניתן ללמוד בבירור כי מגמת הענישה בגין עבירות של החזקת סמים שלא לצריכה עצמית, בנסיבות הדומות לענייננו מבחינת כמויות הסם, חלוקתו למנות, ונסיבותיו של הנאשם, היא מחמירה. בדרך כלל, מטיל בית המשפט עונשי מאסר למשך מספר שנים:</w:t>
      </w:r>
    </w:p>
    <w:p w14:paraId="0F1BC644" w14:textId="77777777" w:rsidR="00AD0865" w:rsidRDefault="00AD0865">
      <w:pPr>
        <w:spacing w:line="360" w:lineRule="auto"/>
        <w:jc w:val="both"/>
        <w:rPr>
          <w:rtl/>
        </w:rPr>
      </w:pPr>
    </w:p>
    <w:p w14:paraId="3791E42A" w14:textId="77777777" w:rsidR="00AD0865" w:rsidRDefault="00DA415C">
      <w:pPr>
        <w:spacing w:line="360" w:lineRule="auto"/>
        <w:jc w:val="both"/>
        <w:rPr>
          <w:rtl/>
        </w:rPr>
      </w:pPr>
      <w:r>
        <w:rPr>
          <w:rtl/>
        </w:rPr>
        <w:t>ב</w:t>
      </w:r>
      <w:hyperlink r:id="rId18" w:history="1">
        <w:r w:rsidR="002F60CA" w:rsidRPr="002F60CA">
          <w:rPr>
            <w:rStyle w:val="Hyperlink"/>
            <w:rFonts w:cs="David"/>
            <w:rtl/>
          </w:rPr>
          <w:t>ע"פ 5374/12</w:t>
        </w:r>
      </w:hyperlink>
      <w:r>
        <w:rPr>
          <w:rtl/>
        </w:rPr>
        <w:t xml:space="preserve"> הנ"ל, הורשע הנאשם שהוא אב לשני ילדים קטנים, בהחזקת שלוש אריזות שבהן 60 אריזות של קוקאין במשקל כולל של </w:t>
      </w:r>
      <w:smartTag w:uri="urn:schemas-microsoft-com:office:smarttags" w:element="metricconverter">
        <w:smartTagPr>
          <w:attr w:name="ProductID" w:val="43 גרם"/>
        </w:smartTagPr>
        <w:r>
          <w:rPr>
            <w:rtl/>
          </w:rPr>
          <w:t>43 גרם</w:t>
        </w:r>
      </w:smartTag>
      <w:r>
        <w:rPr>
          <w:rtl/>
        </w:rPr>
        <w:t>. בבית המשפט המחוזי, נגזרו עליו 36 חודשי מאסר בפועל. הנאשם עירער על חומרת העונש, וטען לנסיבות חיים קשות. בית המשפט העליון דחה את הערעור וקבע כי העונש אינו חורג ממדיניות הענישה הנוהגת.</w:t>
      </w:r>
    </w:p>
    <w:p w14:paraId="72EAE157" w14:textId="77777777" w:rsidR="00AD0865" w:rsidRDefault="00AD0865">
      <w:pPr>
        <w:spacing w:line="360" w:lineRule="auto"/>
        <w:jc w:val="both"/>
        <w:rPr>
          <w:rtl/>
        </w:rPr>
      </w:pPr>
    </w:p>
    <w:p w14:paraId="37D3CEC0" w14:textId="77777777" w:rsidR="00AD0865" w:rsidRDefault="00DA415C">
      <w:pPr>
        <w:spacing w:line="360" w:lineRule="auto"/>
        <w:jc w:val="both"/>
        <w:rPr>
          <w:rtl/>
        </w:rPr>
      </w:pPr>
      <w:r>
        <w:rPr>
          <w:rtl/>
        </w:rPr>
        <w:t>ב</w:t>
      </w:r>
      <w:hyperlink r:id="rId19" w:history="1">
        <w:r w:rsidR="002F60CA" w:rsidRPr="002F60CA">
          <w:rPr>
            <w:rStyle w:val="Hyperlink"/>
            <w:rFonts w:cs="David"/>
            <w:rtl/>
          </w:rPr>
          <w:t>ע"פ 810/11</w:t>
        </w:r>
      </w:hyperlink>
      <w:r>
        <w:rPr>
          <w:rtl/>
        </w:rPr>
        <w:t xml:space="preserve"> בורגרקר נ' מד"י (30.5.11), הורשע הנאשם שהיה צעיר בגילו, בהחזקת הירואין במשקל של </w:t>
      </w:r>
      <w:smartTag w:uri="urn:schemas-microsoft-com:office:smarttags" w:element="metricconverter">
        <w:smartTagPr>
          <w:attr w:name="ProductID" w:val="59 גרם"/>
        </w:smartTagPr>
        <w:r>
          <w:rPr>
            <w:rtl/>
          </w:rPr>
          <w:t>59 גרם</w:t>
        </w:r>
      </w:smartTag>
      <w:r>
        <w:rPr>
          <w:rtl/>
        </w:rPr>
        <w:t>. בבית המשפט המחוזי נגזרו עליו 36 חודשי מאסר בפועל, וערעורו נדחה, למרות הטענה כי מדובר היה במעידה חד פעמית. בית המשפט העליון הפנה לתוכן אמביוולנטי שהופיע בתסקיר שהוגש.</w:t>
      </w:r>
    </w:p>
    <w:p w14:paraId="53AF773D" w14:textId="77777777" w:rsidR="00AD0865" w:rsidRDefault="00AD0865">
      <w:pPr>
        <w:spacing w:line="360" w:lineRule="auto"/>
        <w:jc w:val="both"/>
        <w:rPr>
          <w:rtl/>
        </w:rPr>
      </w:pPr>
    </w:p>
    <w:p w14:paraId="0D7E30B0" w14:textId="77777777" w:rsidR="00AD0865" w:rsidRDefault="00DA415C">
      <w:pPr>
        <w:spacing w:line="360" w:lineRule="auto"/>
        <w:jc w:val="both"/>
        <w:rPr>
          <w:rtl/>
        </w:rPr>
      </w:pPr>
      <w:r>
        <w:rPr>
          <w:rtl/>
        </w:rPr>
        <w:t>ב</w:t>
      </w:r>
      <w:hyperlink r:id="rId20" w:history="1">
        <w:r w:rsidR="002F60CA" w:rsidRPr="002F60CA">
          <w:rPr>
            <w:rStyle w:val="Hyperlink"/>
            <w:rFonts w:cs="David"/>
            <w:rtl/>
          </w:rPr>
          <w:t>רע"פ 2060/07</w:t>
        </w:r>
      </w:hyperlink>
      <w:r>
        <w:rPr>
          <w:rtl/>
        </w:rPr>
        <w:t xml:space="preserve"> אבו רקייק נ' מד"י (20.5.07), הורשע הנאשם בהחזקת הירואין במשקל </w:t>
      </w:r>
      <w:smartTag w:uri="urn:schemas-microsoft-com:office:smarttags" w:element="metricconverter">
        <w:smartTagPr>
          <w:attr w:name="ProductID" w:val="38.15 גרם"/>
        </w:smartTagPr>
        <w:r>
          <w:rPr>
            <w:rtl/>
          </w:rPr>
          <w:t>38.15 גרם</w:t>
        </w:r>
      </w:smartTag>
      <w:r>
        <w:rPr>
          <w:rtl/>
        </w:rPr>
        <w:t>, המחולקים לשתי אריזות. הנאשם הינו צעיר לימים וחסר כל עבר פלילי. בבית משפט השלום נגזרו עליו 12 חודשי מאסר, אך המדינה ערערה על קולת העונש. בית המשפט המחוזי החליט להחמיר את העונש והעמידו על 30 חודשי מאסר. ערעורו של הנאשם לבית המשפט העליון, נדחה. נקבע כי העונש שהוטל אינו חמור לנוכח העובדה שהעונש הקצוב לעבירה על פי החוק הוא 20 שנות מאסר.</w:t>
      </w:r>
    </w:p>
    <w:p w14:paraId="3D1E7507" w14:textId="77777777" w:rsidR="00AD0865" w:rsidRDefault="00AD0865">
      <w:pPr>
        <w:spacing w:line="360" w:lineRule="auto"/>
        <w:jc w:val="both"/>
        <w:rPr>
          <w:rtl/>
        </w:rPr>
      </w:pPr>
    </w:p>
    <w:p w14:paraId="547C6402" w14:textId="77777777" w:rsidR="00AD0865" w:rsidRDefault="00DA415C">
      <w:pPr>
        <w:spacing w:line="360" w:lineRule="auto"/>
        <w:jc w:val="both"/>
        <w:rPr>
          <w:rtl/>
        </w:rPr>
      </w:pPr>
      <w:r>
        <w:rPr>
          <w:rtl/>
        </w:rPr>
        <w:t>סקירה נוספת בעניין אורך עונשי המאסר, ניתן לראות בגזר דינו של כב' השופט אבו שחאדה, ב</w:t>
      </w:r>
      <w:hyperlink r:id="rId21" w:history="1">
        <w:r w:rsidR="002F60CA" w:rsidRPr="002F60CA">
          <w:rPr>
            <w:rStyle w:val="Hyperlink"/>
            <w:rFonts w:cs="David"/>
            <w:rtl/>
          </w:rPr>
          <w:t>ת.פ 24143-01-11</w:t>
        </w:r>
      </w:hyperlink>
      <w:r>
        <w:rPr>
          <w:rtl/>
        </w:rPr>
        <w:t xml:space="preserve"> מד"י נ' זייתון (9.7.12), שם היה מדובר בנסיבות דומות לענייננו, והושתו על הנאשמים עונשי מאסר למשך 36 חודשים ולמשך 28 חודשים, וכן ב</w:t>
      </w:r>
      <w:hyperlink r:id="rId22" w:history="1">
        <w:r w:rsidR="002F60CA" w:rsidRPr="002F60CA">
          <w:rPr>
            <w:rStyle w:val="Hyperlink"/>
            <w:rFonts w:cs="David"/>
            <w:rtl/>
          </w:rPr>
          <w:t>ת.פ 39619-11-10</w:t>
        </w:r>
      </w:hyperlink>
      <w:r>
        <w:rPr>
          <w:rtl/>
        </w:rPr>
        <w:t xml:space="preserve"> מד"י נ' קובר (16.4.12). עיון באותן סקירות מלמד כי שעה שהמדובר בנאשמים שהם בעלי עבר פלילי או שגילם אינו צעיר, הוטלו עונשי מאסר ארוכים באופן משמעותי משנגזר במקרים שציינתי לעיל.</w:t>
      </w:r>
    </w:p>
    <w:p w14:paraId="43159218" w14:textId="77777777" w:rsidR="00AD0865" w:rsidRDefault="00AD0865">
      <w:pPr>
        <w:spacing w:line="360" w:lineRule="auto"/>
        <w:jc w:val="both"/>
        <w:rPr>
          <w:rtl/>
        </w:rPr>
      </w:pPr>
    </w:p>
    <w:p w14:paraId="2D9275BE" w14:textId="77777777" w:rsidR="00AD0865" w:rsidRDefault="00DA415C">
      <w:pPr>
        <w:spacing w:line="360" w:lineRule="auto"/>
        <w:jc w:val="both"/>
        <w:rPr>
          <w:rtl/>
        </w:rPr>
      </w:pPr>
      <w:r>
        <w:rPr>
          <w:rtl/>
        </w:rPr>
        <w:t xml:space="preserve">ב"כ הנאשם הגיש לעיוני שלושה גזרי דין שניתנו בבית משפט השלום, ואשר מחזקים לשיטתו את טיעוניו בדבר המתחם ההולם. לאחר עיון, דעתי היא כי לא ניתן ללמוד מאותם מקרים על תקפותו של המתחם שהציג ב"כ הנאשם בטיעוניו, ואף לא ניתן להקיש מהם  לענייננו: </w:t>
      </w:r>
    </w:p>
    <w:p w14:paraId="66BBB763" w14:textId="77777777" w:rsidR="00AD0865" w:rsidRDefault="00DA415C">
      <w:pPr>
        <w:spacing w:line="360" w:lineRule="auto"/>
        <w:jc w:val="both"/>
        <w:rPr>
          <w:rtl/>
        </w:rPr>
      </w:pPr>
      <w:r>
        <w:rPr>
          <w:rtl/>
        </w:rPr>
        <w:t>ב</w:t>
      </w:r>
      <w:r w:rsidRPr="00601EEE">
        <w:rPr>
          <w:color w:val="000000"/>
          <w:rtl/>
        </w:rPr>
        <w:t>ת.פ 3440-06</w:t>
      </w:r>
      <w:r>
        <w:rPr>
          <w:rtl/>
        </w:rPr>
        <w:t xml:space="preserve"> מד"י נ' כהן (31.12.09) המדובר היה בנאשם המצוי בתהליך שיקום ממושך בחסות שרות המבחן. בנוסף, הודגש בגזר הדין, כי לא נתפסו בידו מספר סוגי סמים, כי אם קוקאין בלבד. על הנאשם הוטלו 6 חודשי מאסר בעבודות שרות, וכן עונשים נלווים.</w:t>
      </w:r>
    </w:p>
    <w:p w14:paraId="4A77481A" w14:textId="77777777" w:rsidR="00AD0865" w:rsidRDefault="00DA415C">
      <w:pPr>
        <w:spacing w:line="360" w:lineRule="auto"/>
        <w:jc w:val="both"/>
        <w:rPr>
          <w:rtl/>
        </w:rPr>
      </w:pPr>
      <w:r>
        <w:rPr>
          <w:rtl/>
        </w:rPr>
        <w:t>ב</w:t>
      </w:r>
      <w:hyperlink r:id="rId23" w:history="1">
        <w:r w:rsidR="002F60CA" w:rsidRPr="002F60CA">
          <w:rPr>
            <w:rStyle w:val="Hyperlink"/>
            <w:rFonts w:cs="David"/>
            <w:rtl/>
          </w:rPr>
          <w:t>ת.פ 25819-12-10</w:t>
        </w:r>
      </w:hyperlink>
      <w:r>
        <w:rPr>
          <w:rtl/>
        </w:rPr>
        <w:t xml:space="preserve"> מד"י נ' קומרני (25.3.12), המדובר היה בכמות סם קטנה באופן משמעותי מזו שבפניי (</w:t>
      </w:r>
      <w:smartTag w:uri="urn:schemas-microsoft-com:office:smarttags" w:element="metricconverter">
        <w:smartTagPr>
          <w:attr w:name="ProductID" w:val="15 גרם"/>
        </w:smartTagPr>
        <w:r>
          <w:rPr>
            <w:rtl/>
          </w:rPr>
          <w:t>15 גרם</w:t>
        </w:r>
      </w:smartTag>
      <w:r>
        <w:rPr>
          <w:rtl/>
        </w:rPr>
        <w:t>), ובנאשמת שעברה דרך שיקומית מרשימה, כדברי בית המשפט. הוטלו עליה מאסר על תנאי ושל"צ.</w:t>
      </w:r>
    </w:p>
    <w:p w14:paraId="5D15DFF1" w14:textId="77777777" w:rsidR="00AD0865" w:rsidRDefault="00DA415C">
      <w:pPr>
        <w:spacing w:line="360" w:lineRule="auto"/>
        <w:jc w:val="both"/>
        <w:rPr>
          <w:rtl/>
        </w:rPr>
      </w:pPr>
      <w:r>
        <w:rPr>
          <w:rtl/>
        </w:rPr>
        <w:t>ב</w:t>
      </w:r>
      <w:hyperlink r:id="rId24" w:history="1">
        <w:r w:rsidR="002F60CA" w:rsidRPr="002F60CA">
          <w:rPr>
            <w:rStyle w:val="Hyperlink"/>
            <w:rFonts w:cs="David"/>
            <w:rtl/>
          </w:rPr>
          <w:t>ת.פ 39619-11-10</w:t>
        </w:r>
      </w:hyperlink>
      <w:r>
        <w:rPr>
          <w:rtl/>
        </w:rPr>
        <w:t xml:space="preserve"> מד"י נ' קובר (16.4.12), המדובר היה בהחזקת </w:t>
      </w:r>
      <w:smartTag w:uri="urn:schemas-microsoft-com:office:smarttags" w:element="metricconverter">
        <w:smartTagPr>
          <w:attr w:name="ProductID" w:val="37 גרם"/>
        </w:smartTagPr>
        <w:r>
          <w:rPr>
            <w:rtl/>
          </w:rPr>
          <w:t>37 גרם</w:t>
        </w:r>
      </w:smartTag>
      <w:r>
        <w:rPr>
          <w:rtl/>
        </w:rPr>
        <w:t xml:space="preserve"> קוקאין בלבד. בנוסף, המדובר היה בנאשם המצוי בתהליך שיקום. למרות זאת, הוטלו עליו 14 חודשי מאסר בפועל. </w:t>
      </w:r>
    </w:p>
    <w:p w14:paraId="2B3CF9DE" w14:textId="77777777" w:rsidR="00AD0865" w:rsidRDefault="00DA415C">
      <w:pPr>
        <w:spacing w:line="360" w:lineRule="auto"/>
        <w:jc w:val="both"/>
        <w:rPr>
          <w:rtl/>
        </w:rPr>
      </w:pPr>
      <w:r>
        <w:rPr>
          <w:rtl/>
        </w:rPr>
        <w:t>לדעתי, גזרי הדין שהוצגו על ידי ב"כ הנאשם יכולים ללמד כי במקרים המתאימים וככל שאין המדובר בנסיבות חמורות של העבירה, קיימת נכונות מצד בית המשפט להקל עם נאשמים המצויים בתהליך שיקום ממשי. ואולם, למרבה הצער, אין זה המצב בענייננו, שהרי נסיבות העבירה חמורות יותר, והנאשם אינו מצוי בתהליך שיקומי כלשהו.</w:t>
      </w:r>
    </w:p>
    <w:p w14:paraId="5D4A80E7" w14:textId="77777777" w:rsidR="00AD0865" w:rsidRDefault="00AD0865">
      <w:pPr>
        <w:spacing w:line="360" w:lineRule="auto"/>
        <w:jc w:val="both"/>
        <w:rPr>
          <w:rtl/>
        </w:rPr>
      </w:pPr>
    </w:p>
    <w:p w14:paraId="0E401428" w14:textId="77777777" w:rsidR="00AD0865" w:rsidRDefault="00DA415C">
      <w:pPr>
        <w:spacing w:line="360" w:lineRule="auto"/>
        <w:jc w:val="both"/>
        <w:rPr>
          <w:rtl/>
        </w:rPr>
      </w:pPr>
      <w:r>
        <w:rPr>
          <w:rtl/>
        </w:rPr>
        <w:t>מעבר לכל האמור לעיל, בענייננו מתקיימת נסיבה נוספת שיש לשקלה לחומרה, והיא סירובו של הנאשם לשתף פעולה ולחשוף כיצד הגיעו הסמים לידיו, לבד מאמירתו הלקונית לפיה הם שייכים לאחר. ב</w:t>
      </w:r>
      <w:hyperlink r:id="rId25" w:history="1">
        <w:r w:rsidR="002F60CA" w:rsidRPr="002F60CA">
          <w:rPr>
            <w:rStyle w:val="Hyperlink"/>
            <w:rFonts w:cs="David"/>
            <w:rtl/>
          </w:rPr>
          <w:t>ע"פ 5374/12</w:t>
        </w:r>
      </w:hyperlink>
      <w:r>
        <w:rPr>
          <w:rtl/>
        </w:rPr>
        <w:t xml:space="preserve"> אברג'יל נ' מד"י (9.1.13) נאמר מפי כב' השופט מלצר:</w:t>
      </w:r>
    </w:p>
    <w:p w14:paraId="4B520E22" w14:textId="77777777" w:rsidR="00AD0865" w:rsidRDefault="00AD0865">
      <w:pPr>
        <w:ind w:left="566" w:right="540"/>
        <w:jc w:val="both"/>
        <w:rPr>
          <w:b/>
          <w:bCs/>
          <w:spacing w:val="10"/>
          <w:sz w:val="22"/>
          <w:szCs w:val="22"/>
          <w:rtl/>
        </w:rPr>
      </w:pPr>
    </w:p>
    <w:p w14:paraId="25F512C2" w14:textId="77777777" w:rsidR="00AD0865" w:rsidRDefault="00DA415C">
      <w:pPr>
        <w:ind w:left="566" w:right="540"/>
        <w:jc w:val="both"/>
        <w:rPr>
          <w:b/>
          <w:bCs/>
          <w:sz w:val="22"/>
          <w:szCs w:val="22"/>
          <w:u w:val="single"/>
          <w:rtl/>
        </w:rPr>
      </w:pPr>
      <w:r>
        <w:rPr>
          <w:b/>
          <w:bCs/>
          <w:spacing w:val="10"/>
          <w:sz w:val="22"/>
          <w:szCs w:val="22"/>
          <w:rtl/>
        </w:rPr>
        <w:t xml:space="preserve">נראה, כי העונש </w:t>
      </w:r>
      <w:r>
        <w:rPr>
          <w:rStyle w:val="Hyperlink"/>
          <w:b/>
          <w:bCs/>
          <w:sz w:val="22"/>
          <w:szCs w:val="22"/>
          <w:rtl/>
        </w:rPr>
        <w:t>שהושת</w:t>
      </w:r>
      <w:r>
        <w:rPr>
          <w:b/>
          <w:bCs/>
          <w:spacing w:val="10"/>
          <w:sz w:val="22"/>
          <w:szCs w:val="22"/>
          <w:rtl/>
        </w:rPr>
        <w:t xml:space="preserve"> על המערער איננו חורג ממדיניות הענישה המקובלת בעבירות מהסוג שבהן הורשע. זאת ועוד: בעניינו של המערער ישנן מספר נסיבות לחומרה (כגון: סוג הסם, כמות הסם, </w:t>
      </w:r>
      <w:r>
        <w:rPr>
          <w:b/>
          <w:bCs/>
          <w:spacing w:val="10"/>
          <w:sz w:val="22"/>
          <w:szCs w:val="22"/>
          <w:u w:val="single"/>
          <w:rtl/>
        </w:rPr>
        <w:t>והעובדה כי הוא מסרב לשתף פעולה ולחשוף את נתיב הסם).</w:t>
      </w:r>
    </w:p>
    <w:p w14:paraId="45DD5F3D" w14:textId="77777777" w:rsidR="00AD0865" w:rsidRDefault="00AD0865">
      <w:pPr>
        <w:ind w:left="566" w:right="540"/>
        <w:jc w:val="both"/>
        <w:rPr>
          <w:b/>
          <w:bCs/>
          <w:sz w:val="22"/>
          <w:szCs w:val="22"/>
          <w:u w:val="single"/>
          <w:rtl/>
        </w:rPr>
      </w:pPr>
    </w:p>
    <w:p w14:paraId="589B7AEE" w14:textId="77777777" w:rsidR="00AD0865" w:rsidRDefault="00AD0865">
      <w:pPr>
        <w:spacing w:line="360" w:lineRule="auto"/>
        <w:jc w:val="both"/>
        <w:rPr>
          <w:rtl/>
        </w:rPr>
      </w:pPr>
    </w:p>
    <w:p w14:paraId="5FC7D925" w14:textId="77777777" w:rsidR="00AD0865" w:rsidRDefault="00DA415C">
      <w:pPr>
        <w:spacing w:line="360" w:lineRule="auto"/>
        <w:jc w:val="both"/>
        <w:rPr>
          <w:rtl/>
        </w:rPr>
      </w:pPr>
      <w:r>
        <w:rPr>
          <w:rtl/>
        </w:rPr>
        <w:t>לנוכח כל האמור, אני קובעת כי המתחם ההולם את העבירות שבפניי נע בין 24 עד 48 חודשי מאסר בפועל.</w:t>
      </w:r>
    </w:p>
    <w:p w14:paraId="10E254BC" w14:textId="77777777" w:rsidR="00AD0865" w:rsidRDefault="00AD0865">
      <w:pPr>
        <w:spacing w:line="360" w:lineRule="auto"/>
        <w:jc w:val="both"/>
        <w:rPr>
          <w:rtl/>
        </w:rPr>
      </w:pPr>
    </w:p>
    <w:p w14:paraId="55D9602D" w14:textId="77777777" w:rsidR="00AD0865" w:rsidRDefault="00DA415C">
      <w:pPr>
        <w:spacing w:line="360" w:lineRule="auto"/>
        <w:jc w:val="both"/>
        <w:rPr>
          <w:b/>
          <w:bCs/>
          <w:u w:val="single"/>
          <w:rtl/>
        </w:rPr>
      </w:pPr>
      <w:r>
        <w:rPr>
          <w:b/>
          <w:bCs/>
          <w:u w:val="single"/>
          <w:rtl/>
        </w:rPr>
        <w:t>העונש המתאים לנאשם</w:t>
      </w:r>
    </w:p>
    <w:p w14:paraId="0F4B7AD0" w14:textId="77777777" w:rsidR="00AD0865" w:rsidRDefault="00AD0865">
      <w:pPr>
        <w:spacing w:line="360" w:lineRule="auto"/>
        <w:jc w:val="both"/>
        <w:rPr>
          <w:b/>
          <w:bCs/>
          <w:u w:val="single"/>
          <w:rtl/>
        </w:rPr>
      </w:pPr>
    </w:p>
    <w:p w14:paraId="5DB33695" w14:textId="77777777" w:rsidR="00AD0865" w:rsidRDefault="00DA415C">
      <w:pPr>
        <w:spacing w:line="360" w:lineRule="auto"/>
        <w:jc w:val="both"/>
        <w:rPr>
          <w:rtl/>
        </w:rPr>
      </w:pPr>
      <w:r>
        <w:rPr>
          <w:rtl/>
        </w:rPr>
        <w:t>לזכותו של הנאשם תישקל העובדה שהוא חסר עבר פלילי וזוהי הסתבכותו הראשונה. יש להניח כי בנסיבות אלה, השהייה במעצר היא קשה ביותר עבור הנאשם, כפי שאמנם מסר לקצין המבחן.</w:t>
      </w:r>
    </w:p>
    <w:p w14:paraId="3F41D4BC" w14:textId="77777777" w:rsidR="00AD0865" w:rsidRDefault="00AD0865">
      <w:pPr>
        <w:spacing w:line="360" w:lineRule="auto"/>
        <w:jc w:val="both"/>
        <w:rPr>
          <w:rtl/>
        </w:rPr>
      </w:pPr>
    </w:p>
    <w:p w14:paraId="5B8B0BA2" w14:textId="77777777" w:rsidR="00AD0865" w:rsidRDefault="00DA415C">
      <w:pPr>
        <w:spacing w:line="360" w:lineRule="auto"/>
        <w:jc w:val="both"/>
        <w:rPr>
          <w:rtl/>
        </w:rPr>
      </w:pPr>
      <w:r>
        <w:rPr>
          <w:rtl/>
        </w:rPr>
        <w:t>בעניין נסיבותיו האישיות של הנאשם, אני רואה לנכון לציין כי בניגוד לטענות בא כוחו לפיהן התגרשו הורי הנאשם בהיותו ילד, הרי אין הדבר עולה כלל וכלל מן האמור בתסקירי שרות המבחן. להיפך, בתסקירים נאמר כי הנאשם הציג את משפחתו כיציבה ותומכת, לצד היעדרו של האב מן הבית למשך שעות ארוכות לצרכי פרנסה. יחד עם זאת, אקח בחשבון את הערכת שרות המבחן כי משפחתו של הנאשם לא היוותה לאמיתו של דבר מסגרת תומכת עבורו.</w:t>
      </w:r>
    </w:p>
    <w:p w14:paraId="004A2FCE" w14:textId="77777777" w:rsidR="00AD0865" w:rsidRDefault="00AD0865">
      <w:pPr>
        <w:spacing w:line="360" w:lineRule="auto"/>
        <w:jc w:val="both"/>
        <w:rPr>
          <w:rtl/>
        </w:rPr>
      </w:pPr>
    </w:p>
    <w:p w14:paraId="39189F2B" w14:textId="77777777" w:rsidR="00AD0865" w:rsidRDefault="00DA415C">
      <w:pPr>
        <w:spacing w:line="360" w:lineRule="auto"/>
        <w:jc w:val="both"/>
        <w:rPr>
          <w:rtl/>
        </w:rPr>
      </w:pPr>
      <w:r>
        <w:rPr>
          <w:rtl/>
        </w:rPr>
        <w:t>למרבה הצער, בעניינו של הנאשם לא מתקיימים שיקולי שיקום שיש להעדיפם, לנוכח האמור בתסקירי שרות המבחן, אלא להיפך- קיימת מסוכנות להישנות העבירות.</w:t>
      </w:r>
    </w:p>
    <w:p w14:paraId="009F0A58" w14:textId="77777777" w:rsidR="00AD0865" w:rsidRDefault="00AD0865">
      <w:pPr>
        <w:spacing w:line="360" w:lineRule="auto"/>
        <w:jc w:val="both"/>
        <w:rPr>
          <w:rtl/>
        </w:rPr>
      </w:pPr>
    </w:p>
    <w:p w14:paraId="705C8C09" w14:textId="77777777" w:rsidR="00AD0865" w:rsidRDefault="00DA415C">
      <w:pPr>
        <w:spacing w:line="360" w:lineRule="auto"/>
        <w:jc w:val="both"/>
        <w:rPr>
          <w:rtl/>
        </w:rPr>
      </w:pPr>
      <w:r>
        <w:rPr>
          <w:rtl/>
        </w:rPr>
        <w:t xml:space="preserve">ב"כ הנאשם טען כי עצם היותו של הנאשם "בגיר צעיר", מקימה שיקול שיקומי בעניינו, ובשל כך יש להקל בעונשו, באופן משמעותי. </w:t>
      </w:r>
    </w:p>
    <w:p w14:paraId="29752CB5" w14:textId="77777777" w:rsidR="00AD0865" w:rsidRDefault="00AD0865">
      <w:pPr>
        <w:spacing w:line="360" w:lineRule="auto"/>
        <w:jc w:val="both"/>
        <w:rPr>
          <w:rtl/>
        </w:rPr>
      </w:pPr>
    </w:p>
    <w:p w14:paraId="0F40EF4D" w14:textId="77777777" w:rsidR="00AD0865" w:rsidRDefault="00DA415C">
      <w:pPr>
        <w:spacing w:line="360" w:lineRule="auto"/>
        <w:jc w:val="both"/>
        <w:rPr>
          <w:rtl/>
        </w:rPr>
      </w:pPr>
      <w:r>
        <w:rPr>
          <w:rtl/>
        </w:rPr>
        <w:t>אכן, כפי שנקבע ב</w:t>
      </w:r>
      <w:hyperlink r:id="rId26" w:history="1">
        <w:r w:rsidR="002F60CA" w:rsidRPr="002F60CA">
          <w:rPr>
            <w:rStyle w:val="Hyperlink"/>
            <w:rFonts w:cs="David"/>
            <w:rtl/>
          </w:rPr>
          <w:t>ע"פ 7781/12</w:t>
        </w:r>
      </w:hyperlink>
      <w:r>
        <w:rPr>
          <w:rtl/>
        </w:rPr>
        <w:t xml:space="preserve"> פלוני נ' מד"י (3.6.13), מאסר מאחורי סורג ובריח, פוגע בסיכויו של בגיר צעיר להמשיך בתהליך ההתבגרות ובכך מקבע דפוסים פסיכולוגיים וקוגנטיביים. לפיכך, על בית המשפט בקבעו את עונשו של בגיר צעיר לייחס לגילו משקל משמעותי. יחד עם זאת, לאחר הקביעות האמורות החליט בית המשפט העליון, באותו עניין, להקל בעונשו של הנאשם במידה מסוימת בלבד, והפחית אותו מ-22 חודשי מאסר, ל-18 חודשי מאסר, למרות העדר עבר פלילי, וקיומו של פוטנציאל שיקומי כעולה מתסקיר שרות המבחן.</w:t>
      </w:r>
    </w:p>
    <w:p w14:paraId="492924C1" w14:textId="77777777" w:rsidR="00AD0865" w:rsidRDefault="00AD0865">
      <w:pPr>
        <w:spacing w:line="360" w:lineRule="auto"/>
        <w:jc w:val="both"/>
        <w:rPr>
          <w:rtl/>
        </w:rPr>
      </w:pPr>
    </w:p>
    <w:p w14:paraId="4A73DA67" w14:textId="77777777" w:rsidR="00AD0865" w:rsidRDefault="00DA415C">
      <w:pPr>
        <w:spacing w:line="360" w:lineRule="auto"/>
        <w:jc w:val="both"/>
        <w:rPr>
          <w:rtl/>
        </w:rPr>
      </w:pPr>
      <w:r>
        <w:rPr>
          <w:rtl/>
        </w:rPr>
        <w:t>אין ספק בליבי כי השהייה במאסר ממושך, היא בעלת פוטנציאל פוגעני כלפי הנאשם, ואולם למולה ניצבים חומרת העבירות והעדר תהליך שיקומי. במצב זה, אני סבורה כי הבכורה צריכה להינתן לאינטרס הציבורי הדורש ענישה משמעותית מאחורי סורג ובריח. יחד עם זאת, בקביעת משך המאסר, אתחשב בגילו הצעיר של הנאשם, שהיה קרוב לקטינות בעת ביצוע העבירות.</w:t>
      </w:r>
    </w:p>
    <w:p w14:paraId="598E7689" w14:textId="77777777" w:rsidR="00AD0865" w:rsidRDefault="00AD0865">
      <w:pPr>
        <w:spacing w:line="360" w:lineRule="auto"/>
        <w:jc w:val="both"/>
        <w:rPr>
          <w:rtl/>
        </w:rPr>
      </w:pPr>
    </w:p>
    <w:p w14:paraId="49664CCC" w14:textId="77777777" w:rsidR="00AD0865" w:rsidRDefault="00DA415C">
      <w:pPr>
        <w:spacing w:line="360" w:lineRule="auto"/>
        <w:jc w:val="both"/>
        <w:rPr>
          <w:rtl/>
        </w:rPr>
      </w:pPr>
      <w:r>
        <w:rPr>
          <w:rtl/>
        </w:rPr>
        <w:t>אשר על כן, אני גוזרת על הנאשם את העונשים הבאים:</w:t>
      </w:r>
    </w:p>
    <w:p w14:paraId="749CFE94" w14:textId="77777777" w:rsidR="00AD0865" w:rsidRDefault="00AD0865">
      <w:pPr>
        <w:spacing w:line="360" w:lineRule="auto"/>
        <w:jc w:val="both"/>
        <w:rPr>
          <w:rtl/>
        </w:rPr>
      </w:pPr>
    </w:p>
    <w:p w14:paraId="45DF771D" w14:textId="77777777" w:rsidR="00AD0865" w:rsidRDefault="00DA415C">
      <w:pPr>
        <w:numPr>
          <w:ilvl w:val="0"/>
          <w:numId w:val="1"/>
        </w:numPr>
        <w:spacing w:line="360" w:lineRule="auto"/>
        <w:jc w:val="both"/>
        <w:rPr>
          <w:rtl/>
        </w:rPr>
      </w:pPr>
      <w:r>
        <w:rPr>
          <w:rtl/>
        </w:rPr>
        <w:t>30 חודשי מאסר בפועל, החל מיום מעצרו</w:t>
      </w:r>
      <w:r>
        <w:rPr>
          <w:rFonts w:hint="cs"/>
          <w:rtl/>
        </w:rPr>
        <w:t>, 4.11.12.</w:t>
      </w:r>
    </w:p>
    <w:p w14:paraId="28E97D69" w14:textId="77777777" w:rsidR="00AD0865" w:rsidRDefault="00DA415C">
      <w:pPr>
        <w:numPr>
          <w:ilvl w:val="0"/>
          <w:numId w:val="1"/>
        </w:numPr>
        <w:spacing w:line="360" w:lineRule="auto"/>
        <w:jc w:val="both"/>
      </w:pPr>
      <w:r>
        <w:rPr>
          <w:rtl/>
        </w:rPr>
        <w:t>10 חודשי מאסר על תנאי למשך שלוש שנים משחרורו, והתנאי הוא שלא יעבור עבירות סמים מסוג פשע.</w:t>
      </w:r>
    </w:p>
    <w:p w14:paraId="207CF1E0" w14:textId="77777777" w:rsidR="00AD0865" w:rsidRDefault="00DA415C">
      <w:pPr>
        <w:numPr>
          <w:ilvl w:val="0"/>
          <w:numId w:val="1"/>
        </w:numPr>
        <w:spacing w:line="360" w:lineRule="auto"/>
        <w:jc w:val="both"/>
      </w:pPr>
      <w:r>
        <w:rPr>
          <w:rtl/>
        </w:rPr>
        <w:t>3 חודשי מאסר על תנאי למשך שלוש שנים משחרורו והתנאי הוא שלא יעבור עבירות סמים מסוג עוון.</w:t>
      </w:r>
    </w:p>
    <w:p w14:paraId="7457D1D9" w14:textId="77777777" w:rsidR="00AD0865" w:rsidRDefault="00DA415C">
      <w:pPr>
        <w:numPr>
          <w:ilvl w:val="0"/>
          <w:numId w:val="1"/>
        </w:numPr>
        <w:spacing w:line="360" w:lineRule="auto"/>
        <w:jc w:val="both"/>
      </w:pPr>
      <w:r>
        <w:rPr>
          <w:rtl/>
        </w:rPr>
        <w:t>קנס כספי בסך 2000 ₪, או 10 ימי מאסר תמורתם. הקנס ישולם ב-4 תשלומים חודשיים שווים ורצופים החל מיום 1.6.14.</w:t>
      </w:r>
    </w:p>
    <w:p w14:paraId="681A69DD" w14:textId="77777777" w:rsidR="00AD0865" w:rsidRDefault="00DA415C">
      <w:pPr>
        <w:numPr>
          <w:ilvl w:val="0"/>
          <w:numId w:val="1"/>
        </w:numPr>
        <w:spacing w:line="360" w:lineRule="auto"/>
        <w:jc w:val="both"/>
      </w:pPr>
      <w:r>
        <w:rPr>
          <w:rtl/>
        </w:rPr>
        <w:t>6 חודשי פסילה בפועל מלהחזיק ברישיון נהיגה מיום שחרורו. מובהר לנאשם כי עליו להפקיד רישיונו או למסור הצהרה, בסמוך לפני מועד תחילת הפסילה.</w:t>
      </w:r>
    </w:p>
    <w:p w14:paraId="585C4330" w14:textId="77777777" w:rsidR="00AD0865" w:rsidRDefault="00DA415C">
      <w:pPr>
        <w:numPr>
          <w:ilvl w:val="0"/>
          <w:numId w:val="1"/>
        </w:numPr>
        <w:spacing w:line="360" w:lineRule="auto"/>
        <w:jc w:val="both"/>
        <w:rPr>
          <w:rtl/>
        </w:rPr>
      </w:pPr>
      <w:r>
        <w:rPr>
          <w:rtl/>
        </w:rPr>
        <w:t>6 חודשי פסילה על תנאי למשך שנתיים משחרורו, והתנאי הוא שלא יבצע עבירות סמים.</w:t>
      </w:r>
    </w:p>
    <w:p w14:paraId="668A6499" w14:textId="77777777" w:rsidR="00AD0865" w:rsidRDefault="00AD0865">
      <w:pPr>
        <w:spacing w:line="360" w:lineRule="auto"/>
        <w:jc w:val="both"/>
        <w:rPr>
          <w:rtl/>
        </w:rPr>
      </w:pPr>
    </w:p>
    <w:p w14:paraId="66422B74" w14:textId="77777777" w:rsidR="00AD0865" w:rsidRDefault="00DA415C">
      <w:pPr>
        <w:spacing w:line="360" w:lineRule="auto"/>
        <w:jc w:val="both"/>
        <w:rPr>
          <w:rtl/>
        </w:rPr>
      </w:pPr>
      <w:r>
        <w:rPr>
          <w:rtl/>
        </w:rPr>
        <w:t xml:space="preserve"> </w:t>
      </w:r>
    </w:p>
    <w:p w14:paraId="1389F43C" w14:textId="77777777" w:rsidR="00AD0865" w:rsidRDefault="00DA415C">
      <w:pPr>
        <w:spacing w:line="360" w:lineRule="auto"/>
        <w:jc w:val="both"/>
        <w:rPr>
          <w:rtl/>
        </w:rPr>
      </w:pPr>
      <w:r>
        <w:rPr>
          <w:rtl/>
        </w:rPr>
        <w:t>הסמים יושמדו.</w:t>
      </w:r>
    </w:p>
    <w:p w14:paraId="2E6B5546" w14:textId="77777777" w:rsidR="00AD0865" w:rsidRDefault="00DA415C">
      <w:pPr>
        <w:spacing w:line="360" w:lineRule="auto"/>
        <w:jc w:val="both"/>
        <w:rPr>
          <w:rtl/>
        </w:rPr>
      </w:pPr>
      <w:r>
        <w:rPr>
          <w:rFonts w:hint="cs"/>
          <w:rtl/>
        </w:rPr>
        <w:t xml:space="preserve">יתר המוצגים יוחזרו לבעליהם או יחולטו בהתאם לסמכויות המשטרה. </w:t>
      </w:r>
    </w:p>
    <w:p w14:paraId="66B33019" w14:textId="77777777" w:rsidR="00AD0865" w:rsidRDefault="00AD0865">
      <w:pPr>
        <w:spacing w:line="360" w:lineRule="auto"/>
        <w:jc w:val="both"/>
        <w:rPr>
          <w:rtl/>
        </w:rPr>
      </w:pPr>
    </w:p>
    <w:p w14:paraId="03492ED7" w14:textId="77777777" w:rsidR="00AD0865" w:rsidRDefault="00DA415C">
      <w:pPr>
        <w:spacing w:line="360" w:lineRule="auto"/>
        <w:jc w:val="both"/>
        <w:rPr>
          <w:rtl/>
        </w:rPr>
      </w:pPr>
      <w:r>
        <w:rPr>
          <w:rFonts w:hint="cs"/>
          <w:rtl/>
        </w:rPr>
        <w:t xml:space="preserve">זכות ערעור לבית המשפט המחוזי תוך 45 ימים. </w:t>
      </w:r>
    </w:p>
    <w:p w14:paraId="299695F8" w14:textId="77777777" w:rsidR="00AD0865" w:rsidRDefault="00AD0865">
      <w:pPr>
        <w:rPr>
          <w:rtl/>
        </w:rPr>
      </w:pPr>
    </w:p>
    <w:p w14:paraId="110416DA" w14:textId="77777777" w:rsidR="00AD0865" w:rsidRDefault="00AD0865">
      <w:pPr>
        <w:rPr>
          <w:rtl/>
        </w:rPr>
      </w:pPr>
    </w:p>
    <w:p w14:paraId="64ED65CF" w14:textId="77777777" w:rsidR="00AD0865" w:rsidRDefault="00AD0865">
      <w:pPr>
        <w:rPr>
          <w:rtl/>
        </w:rPr>
      </w:pPr>
    </w:p>
    <w:p w14:paraId="0267B462" w14:textId="77777777" w:rsidR="00AD0865" w:rsidRDefault="00AD0865">
      <w:pPr>
        <w:rPr>
          <w:rtl/>
        </w:rPr>
      </w:pPr>
    </w:p>
    <w:p w14:paraId="5F7FC294" w14:textId="77777777" w:rsidR="00AD0865" w:rsidRPr="00DA415C" w:rsidRDefault="00DA415C">
      <w:pPr>
        <w:rPr>
          <w:color w:val="FFFFFF"/>
          <w:sz w:val="2"/>
          <w:szCs w:val="2"/>
          <w:rtl/>
        </w:rPr>
      </w:pPr>
      <w:r w:rsidRPr="00DA415C">
        <w:rPr>
          <w:color w:val="FFFFFF"/>
          <w:sz w:val="2"/>
          <w:szCs w:val="2"/>
          <w:rtl/>
        </w:rPr>
        <w:t>5129371</w:t>
      </w:r>
    </w:p>
    <w:p w14:paraId="4358A3B3" w14:textId="77777777" w:rsidR="00AD0865" w:rsidRDefault="00DA415C">
      <w:pPr>
        <w:rPr>
          <w:rFonts w:cs="FrankRuehl"/>
          <w:sz w:val="28"/>
          <w:szCs w:val="28"/>
          <w:rtl/>
        </w:rPr>
      </w:pPr>
      <w:r w:rsidRPr="00DA415C">
        <w:rPr>
          <w:rFonts w:ascii="Arial" w:hAnsi="Arial"/>
          <w:color w:val="FFFFFF"/>
          <w:sz w:val="2"/>
          <w:szCs w:val="2"/>
          <w:rtl/>
        </w:rPr>
        <w:t>54678313</w:t>
      </w:r>
      <w:r>
        <w:rPr>
          <w:rFonts w:ascii="Arial" w:hAnsi="Arial"/>
          <w:rtl/>
        </w:rPr>
        <w:t xml:space="preserve">ניתן היום,  י"ח כסלו תשע"ד, 21 נובמבר 2013, בנוכחותהצדדים. </w:t>
      </w:r>
    </w:p>
    <w:p w14:paraId="3A8CE524" w14:textId="77777777" w:rsidR="00AD0865" w:rsidRDefault="00DA415C">
      <w:pPr>
        <w:jc w:val="center"/>
        <w:rPr>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A3F6B1F" w14:textId="77777777" w:rsidR="00AD0865" w:rsidRDefault="00AD0865">
      <w:pPr>
        <w:jc w:val="center"/>
        <w:rPr>
          <w:rFonts w:ascii="Arial" w:hAnsi="Arial" w:cs="FrankRuehl"/>
          <w:sz w:val="28"/>
          <w:szCs w:val="28"/>
          <w:rtl/>
        </w:rPr>
      </w:pPr>
    </w:p>
    <w:p w14:paraId="7DFD6451" w14:textId="77777777" w:rsidR="00AD0865" w:rsidRDefault="00AD0865">
      <w:pPr>
        <w:rPr>
          <w:rFonts w:cs="FrankRuehl"/>
          <w:sz w:val="28"/>
          <w:szCs w:val="28"/>
          <w:rtl/>
        </w:rPr>
      </w:pPr>
    </w:p>
    <w:p w14:paraId="7CFE7261" w14:textId="77777777" w:rsidR="00AD0865" w:rsidRPr="005947FA" w:rsidRDefault="005947FA">
      <w:pPr>
        <w:pStyle w:val="a3"/>
        <w:jc w:val="center"/>
        <w:rPr>
          <w:color w:val="FFFFFF"/>
          <w:sz w:val="2"/>
          <w:szCs w:val="2"/>
          <w:rtl/>
        </w:rPr>
      </w:pPr>
      <w:r w:rsidRPr="005947FA">
        <w:rPr>
          <w:color w:val="FFFFFF"/>
          <w:sz w:val="2"/>
          <w:szCs w:val="2"/>
          <w:rtl/>
        </w:rPr>
        <w:t>5129371</w:t>
      </w:r>
    </w:p>
    <w:p w14:paraId="4876F64A" w14:textId="77777777" w:rsidR="00DA415C" w:rsidRPr="005947FA" w:rsidRDefault="005947FA" w:rsidP="00DA415C">
      <w:pPr>
        <w:keepNext/>
        <w:rPr>
          <w:rFonts w:ascii="David" w:hAnsi="David"/>
          <w:color w:val="FFFFFF"/>
          <w:sz w:val="2"/>
          <w:szCs w:val="2"/>
          <w:rtl/>
        </w:rPr>
      </w:pPr>
      <w:r w:rsidRPr="005947FA">
        <w:rPr>
          <w:rFonts w:ascii="David" w:hAnsi="David"/>
          <w:color w:val="FFFFFF"/>
          <w:sz w:val="2"/>
          <w:szCs w:val="2"/>
          <w:rtl/>
        </w:rPr>
        <w:t>54678313</w:t>
      </w:r>
    </w:p>
    <w:p w14:paraId="16D342E3" w14:textId="77777777" w:rsidR="00DA415C" w:rsidRDefault="00DA415C" w:rsidP="00DA415C">
      <w:pPr>
        <w:rPr>
          <w:rtl/>
        </w:rPr>
      </w:pPr>
    </w:p>
    <w:p w14:paraId="41B9B550" w14:textId="77777777" w:rsidR="00DA415C" w:rsidRDefault="00DA415C" w:rsidP="00DA415C">
      <w:pPr>
        <w:jc w:val="center"/>
        <w:rPr>
          <w:color w:val="0000FF"/>
          <w:u w:val="single"/>
        </w:rPr>
      </w:pPr>
      <w:r w:rsidRPr="00601EEE">
        <w:rPr>
          <w:color w:val="000000"/>
          <w:rtl/>
        </w:rPr>
        <w:t>בעניין עריכה ושינויים במסמכי פסיקה, חקיקה ועוד באתר נבו – הקש כאן</w:t>
      </w:r>
    </w:p>
    <w:p w14:paraId="0C6D9668" w14:textId="77777777" w:rsidR="005947FA" w:rsidRPr="005947FA" w:rsidRDefault="005947FA" w:rsidP="005947FA">
      <w:pPr>
        <w:keepNext/>
        <w:rPr>
          <w:rFonts w:ascii="David" w:hAnsi="David"/>
          <w:color w:val="000000"/>
          <w:sz w:val="22"/>
          <w:szCs w:val="22"/>
          <w:rtl/>
        </w:rPr>
      </w:pPr>
    </w:p>
    <w:p w14:paraId="632FCD2D" w14:textId="77777777" w:rsidR="005947FA" w:rsidRPr="005947FA" w:rsidRDefault="005947FA" w:rsidP="005947FA">
      <w:pPr>
        <w:keepNext/>
        <w:rPr>
          <w:rFonts w:ascii="David" w:hAnsi="David"/>
          <w:color w:val="000000"/>
          <w:sz w:val="22"/>
          <w:szCs w:val="22"/>
          <w:rtl/>
        </w:rPr>
      </w:pPr>
      <w:r w:rsidRPr="005947FA">
        <w:rPr>
          <w:rFonts w:ascii="David" w:hAnsi="David"/>
          <w:color w:val="000000"/>
          <w:sz w:val="22"/>
          <w:szCs w:val="22"/>
          <w:rtl/>
        </w:rPr>
        <w:t>רבקה גלט 54678313-/</w:t>
      </w:r>
    </w:p>
    <w:p w14:paraId="3BDF166F" w14:textId="77777777" w:rsidR="00AD0865" w:rsidRPr="00DA415C" w:rsidRDefault="005947FA" w:rsidP="005947FA">
      <w:pPr>
        <w:rPr>
          <w:color w:val="0000FF"/>
          <w:u w:val="single"/>
        </w:rPr>
      </w:pPr>
      <w:r w:rsidRPr="005947FA">
        <w:rPr>
          <w:color w:val="000000"/>
          <w:u w:val="single"/>
          <w:rtl/>
        </w:rPr>
        <w:t>נוסח מסמך זה כפוף לשינויי ניסוח ועריכה</w:t>
      </w:r>
    </w:p>
    <w:sectPr w:rsidR="00AD0865" w:rsidRPr="00DA415C" w:rsidSect="005947F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1FAD8" w14:textId="77777777" w:rsidR="006C798A" w:rsidRPr="00B32FE0" w:rsidRDefault="006C798A">
      <w:pPr>
        <w:rPr>
          <w:rFonts w:cs="Arial"/>
          <w:szCs w:val="20"/>
        </w:rPr>
      </w:pPr>
      <w:r>
        <w:separator/>
      </w:r>
    </w:p>
  </w:endnote>
  <w:endnote w:type="continuationSeparator" w:id="0">
    <w:p w14:paraId="0DF303BD" w14:textId="77777777" w:rsidR="006C798A" w:rsidRPr="00B32FE0" w:rsidRDefault="006C798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E7EE" w14:textId="77777777" w:rsidR="008C6301" w:rsidRDefault="008C6301" w:rsidP="005947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7F061F7" w14:textId="77777777" w:rsidR="008C6301" w:rsidRPr="005947FA" w:rsidRDefault="008C6301" w:rsidP="005947FA">
    <w:pPr>
      <w:pStyle w:val="a4"/>
      <w:pBdr>
        <w:top w:val="single" w:sz="4" w:space="1" w:color="auto"/>
        <w:between w:val="single" w:sz="4" w:space="0" w:color="auto"/>
      </w:pBdr>
      <w:spacing w:after="60"/>
      <w:jc w:val="center"/>
      <w:rPr>
        <w:rFonts w:ascii="FrankRuehl" w:hAnsi="FrankRuehl" w:cs="FrankRuehl"/>
        <w:color w:val="000000"/>
      </w:rPr>
    </w:pPr>
    <w:r w:rsidRPr="005947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28CC" w14:textId="77777777" w:rsidR="008C6301" w:rsidRDefault="008C6301" w:rsidP="005947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69A1">
      <w:rPr>
        <w:rFonts w:ascii="FrankRuehl" w:hAnsi="FrankRuehl" w:cs="FrankRuehl"/>
        <w:noProof/>
        <w:rtl/>
      </w:rPr>
      <w:t>1</w:t>
    </w:r>
    <w:r>
      <w:rPr>
        <w:rFonts w:ascii="FrankRuehl" w:hAnsi="FrankRuehl" w:cs="FrankRuehl"/>
        <w:rtl/>
      </w:rPr>
      <w:fldChar w:fldCharType="end"/>
    </w:r>
  </w:p>
  <w:p w14:paraId="523ACC03" w14:textId="77777777" w:rsidR="008C6301" w:rsidRPr="005947FA" w:rsidRDefault="008C6301" w:rsidP="005947FA">
    <w:pPr>
      <w:pStyle w:val="a4"/>
      <w:pBdr>
        <w:top w:val="single" w:sz="4" w:space="1" w:color="auto"/>
        <w:between w:val="single" w:sz="4" w:space="0" w:color="auto"/>
      </w:pBdr>
      <w:spacing w:after="60"/>
      <w:jc w:val="center"/>
      <w:rPr>
        <w:rFonts w:ascii="FrankRuehl" w:hAnsi="FrankRuehl" w:cs="FrankRuehl"/>
        <w:color w:val="000000"/>
      </w:rPr>
    </w:pPr>
    <w:r w:rsidRPr="005947FA">
      <w:rPr>
        <w:rFonts w:ascii="FrankRuehl" w:hAnsi="FrankRuehl" w:cs="FrankRuehl"/>
        <w:color w:val="000000"/>
      </w:rPr>
      <w:pict w14:anchorId="174FD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A6FE8" w14:textId="77777777" w:rsidR="006C798A" w:rsidRPr="00B32FE0" w:rsidRDefault="006C798A">
      <w:pPr>
        <w:rPr>
          <w:rFonts w:cs="Arial"/>
          <w:szCs w:val="20"/>
        </w:rPr>
      </w:pPr>
      <w:r>
        <w:separator/>
      </w:r>
    </w:p>
  </w:footnote>
  <w:footnote w:type="continuationSeparator" w:id="0">
    <w:p w14:paraId="4F596AA9" w14:textId="77777777" w:rsidR="006C798A" w:rsidRPr="00B32FE0" w:rsidRDefault="006C798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38AE7" w14:textId="77777777" w:rsidR="008C6301" w:rsidRPr="005947FA" w:rsidRDefault="008C6301" w:rsidP="005947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25146-11-12</w:t>
    </w:r>
    <w:r>
      <w:rPr>
        <w:rFonts w:ascii="David" w:hAnsi="David"/>
        <w:color w:val="000000"/>
        <w:sz w:val="22"/>
        <w:szCs w:val="22"/>
        <w:rtl/>
      </w:rPr>
      <w:tab/>
      <w:t xml:space="preserve"> פרקליטות מחוז מרכז נ' אברהים שאער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C3BFF" w14:textId="77777777" w:rsidR="008C6301" w:rsidRPr="005947FA" w:rsidRDefault="008C6301" w:rsidP="005947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25146-11-12</w:t>
    </w:r>
    <w:r>
      <w:rPr>
        <w:rFonts w:ascii="David" w:hAnsi="David"/>
        <w:color w:val="000000"/>
        <w:sz w:val="22"/>
        <w:szCs w:val="22"/>
        <w:rtl/>
      </w:rPr>
      <w:tab/>
      <w:t xml:space="preserve"> פרקליטות מחוז מרכז נ' אברהים שאער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16C75"/>
    <w:multiLevelType w:val="hybridMultilevel"/>
    <w:tmpl w:val="83524F26"/>
    <w:lvl w:ilvl="0" w:tplc="DA86DFBA">
      <w:start w:val="1"/>
      <w:numFmt w:val="hebrew1"/>
      <w:lvlText w:val="%1."/>
      <w:lvlJc w:val="left"/>
      <w:pPr>
        <w:tabs>
          <w:tab w:val="num" w:pos="810"/>
        </w:tabs>
        <w:ind w:left="810" w:hanging="45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2312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0865"/>
    <w:rsid w:val="00190E96"/>
    <w:rsid w:val="00293BC9"/>
    <w:rsid w:val="002B60A7"/>
    <w:rsid w:val="002F60CA"/>
    <w:rsid w:val="005947FA"/>
    <w:rsid w:val="00601EEE"/>
    <w:rsid w:val="006C4262"/>
    <w:rsid w:val="006C798A"/>
    <w:rsid w:val="008C6301"/>
    <w:rsid w:val="009869A1"/>
    <w:rsid w:val="00AD0865"/>
    <w:rsid w:val="00D95D8F"/>
    <w:rsid w:val="00DA415C"/>
    <w:rsid w:val="00EF3A96"/>
    <w:rsid w:val="00F71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E56F3D7"/>
  <w15:chartTrackingRefBased/>
  <w15:docId w15:val="{2BEB8940-F556-4D5F-A019-0A3D1F78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08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D0865"/>
    <w:pPr>
      <w:tabs>
        <w:tab w:val="center" w:pos="4153"/>
        <w:tab w:val="right" w:pos="8306"/>
      </w:tabs>
    </w:pPr>
  </w:style>
  <w:style w:type="paragraph" w:styleId="a4">
    <w:name w:val="footer"/>
    <w:basedOn w:val="a"/>
    <w:rsid w:val="00AD0865"/>
    <w:pPr>
      <w:tabs>
        <w:tab w:val="center" w:pos="4153"/>
        <w:tab w:val="right" w:pos="8306"/>
      </w:tabs>
    </w:pPr>
  </w:style>
  <w:style w:type="character" w:styleId="a5">
    <w:name w:val="page number"/>
    <w:basedOn w:val="a0"/>
    <w:rsid w:val="00AD0865"/>
  </w:style>
  <w:style w:type="character" w:styleId="Hyperlink">
    <w:name w:val="Hyperlink"/>
    <w:rsid w:val="00AD086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590128" TargetMode="External"/><Relationship Id="rId26" Type="http://schemas.openxmlformats.org/officeDocument/2006/relationships/hyperlink" Target="http://www.nevo.co.il/case/6248029" TargetMode="External"/><Relationship Id="rId3" Type="http://schemas.openxmlformats.org/officeDocument/2006/relationships/settings" Target="settings.xml"/><Relationship Id="rId21" Type="http://schemas.openxmlformats.org/officeDocument/2006/relationships/hyperlink" Target="http://www.nevo.co.il/case/274434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256563" TargetMode="External"/><Relationship Id="rId25" Type="http://schemas.openxmlformats.org/officeDocument/2006/relationships/hyperlink" Target="http://www.nevo.co.il/case/5590128" TargetMode="Externa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580902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422123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030418" TargetMode="External"/><Relationship Id="rId23" Type="http://schemas.openxmlformats.org/officeDocument/2006/relationships/hyperlink" Target="http://www.nevo.co.il/case/4865875" TargetMode="External"/><Relationship Id="rId28" Type="http://schemas.openxmlformats.org/officeDocument/2006/relationships/header" Target="header2.xml"/><Relationship Id="rId10" Type="http://schemas.openxmlformats.org/officeDocument/2006/relationships/hyperlink" Target="http://www.nevo.co.il/law/4216/10" TargetMode="External"/><Relationship Id="rId19" Type="http://schemas.openxmlformats.org/officeDocument/2006/relationships/hyperlink" Target="http://www.nevo.co.il/case/572729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422123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2088</Words>
  <Characters>10444</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12507</CharactersWithSpaces>
  <SharedDoc>false</SharedDoc>
  <HLinks>
    <vt:vector size="120" baseType="variant">
      <vt:variant>
        <vt:i4>3866748</vt:i4>
      </vt:variant>
      <vt:variant>
        <vt:i4>57</vt:i4>
      </vt:variant>
      <vt:variant>
        <vt:i4>0</vt:i4>
      </vt:variant>
      <vt:variant>
        <vt:i4>5</vt:i4>
      </vt:variant>
      <vt:variant>
        <vt:lpwstr>http://www.nevo.co.il/case/6248029</vt:lpwstr>
      </vt:variant>
      <vt:variant>
        <vt:lpwstr/>
      </vt:variant>
      <vt:variant>
        <vt:i4>3473523</vt:i4>
      </vt:variant>
      <vt:variant>
        <vt:i4>54</vt:i4>
      </vt:variant>
      <vt:variant>
        <vt:i4>0</vt:i4>
      </vt:variant>
      <vt:variant>
        <vt:i4>5</vt:i4>
      </vt:variant>
      <vt:variant>
        <vt:lpwstr>http://www.nevo.co.il/case/5590128</vt:lpwstr>
      </vt:variant>
      <vt:variant>
        <vt:lpwstr/>
      </vt:variant>
      <vt:variant>
        <vt:i4>3145844</vt:i4>
      </vt:variant>
      <vt:variant>
        <vt:i4>51</vt:i4>
      </vt:variant>
      <vt:variant>
        <vt:i4>0</vt:i4>
      </vt:variant>
      <vt:variant>
        <vt:i4>5</vt:i4>
      </vt:variant>
      <vt:variant>
        <vt:lpwstr>http://www.nevo.co.il/case/4221234</vt:lpwstr>
      </vt:variant>
      <vt:variant>
        <vt:lpwstr/>
      </vt:variant>
      <vt:variant>
        <vt:i4>4128894</vt:i4>
      </vt:variant>
      <vt:variant>
        <vt:i4>48</vt:i4>
      </vt:variant>
      <vt:variant>
        <vt:i4>0</vt:i4>
      </vt:variant>
      <vt:variant>
        <vt:i4>5</vt:i4>
      </vt:variant>
      <vt:variant>
        <vt:lpwstr>http://www.nevo.co.il/case/4865875</vt:lpwstr>
      </vt:variant>
      <vt:variant>
        <vt:lpwstr/>
      </vt:variant>
      <vt:variant>
        <vt:i4>3145844</vt:i4>
      </vt:variant>
      <vt:variant>
        <vt:i4>45</vt:i4>
      </vt:variant>
      <vt:variant>
        <vt:i4>0</vt:i4>
      </vt:variant>
      <vt:variant>
        <vt:i4>5</vt:i4>
      </vt:variant>
      <vt:variant>
        <vt:lpwstr>http://www.nevo.co.il/case/4221234</vt:lpwstr>
      </vt:variant>
      <vt:variant>
        <vt:lpwstr/>
      </vt:variant>
      <vt:variant>
        <vt:i4>3211379</vt:i4>
      </vt:variant>
      <vt:variant>
        <vt:i4>42</vt:i4>
      </vt:variant>
      <vt:variant>
        <vt:i4>0</vt:i4>
      </vt:variant>
      <vt:variant>
        <vt:i4>5</vt:i4>
      </vt:variant>
      <vt:variant>
        <vt:lpwstr>http://www.nevo.co.il/case/2744344</vt:lpwstr>
      </vt:variant>
      <vt:variant>
        <vt:lpwstr/>
      </vt:variant>
      <vt:variant>
        <vt:i4>3932279</vt:i4>
      </vt:variant>
      <vt:variant>
        <vt:i4>39</vt:i4>
      </vt:variant>
      <vt:variant>
        <vt:i4>0</vt:i4>
      </vt:variant>
      <vt:variant>
        <vt:i4>5</vt:i4>
      </vt:variant>
      <vt:variant>
        <vt:lpwstr>http://www.nevo.co.il/case/5809029</vt:lpwstr>
      </vt:variant>
      <vt:variant>
        <vt:lpwstr/>
      </vt:variant>
      <vt:variant>
        <vt:i4>3145853</vt:i4>
      </vt:variant>
      <vt:variant>
        <vt:i4>36</vt:i4>
      </vt:variant>
      <vt:variant>
        <vt:i4>0</vt:i4>
      </vt:variant>
      <vt:variant>
        <vt:i4>5</vt:i4>
      </vt:variant>
      <vt:variant>
        <vt:lpwstr>http://www.nevo.co.il/case/5727295</vt:lpwstr>
      </vt:variant>
      <vt:variant>
        <vt:lpwstr/>
      </vt:variant>
      <vt:variant>
        <vt:i4>3473523</vt:i4>
      </vt:variant>
      <vt:variant>
        <vt:i4>33</vt:i4>
      </vt:variant>
      <vt:variant>
        <vt:i4>0</vt:i4>
      </vt:variant>
      <vt:variant>
        <vt:i4>5</vt:i4>
      </vt:variant>
      <vt:variant>
        <vt:lpwstr>http://www.nevo.co.il/case/5590128</vt:lpwstr>
      </vt:variant>
      <vt:variant>
        <vt:lpwstr/>
      </vt:variant>
      <vt:variant>
        <vt:i4>3211382</vt:i4>
      </vt:variant>
      <vt:variant>
        <vt:i4>30</vt:i4>
      </vt:variant>
      <vt:variant>
        <vt:i4>0</vt:i4>
      </vt:variant>
      <vt:variant>
        <vt:i4>5</vt:i4>
      </vt:variant>
      <vt:variant>
        <vt:lpwstr>http://www.nevo.co.il/case/2256563</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3735669</vt:i4>
      </vt:variant>
      <vt:variant>
        <vt:i4>24</vt:i4>
      </vt:variant>
      <vt:variant>
        <vt:i4>0</vt:i4>
      </vt:variant>
      <vt:variant>
        <vt:i4>5</vt:i4>
      </vt:variant>
      <vt:variant>
        <vt:lpwstr>http://www.nevo.co.il/case/6030418</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25146</vt:lpwstr>
  </property>
  <property fmtid="{D5CDD505-2E9C-101B-9397-08002B2CF9AE}" pid="6" name="NEWPARTB">
    <vt:lpwstr>11</vt:lpwstr>
  </property>
  <property fmtid="{D5CDD505-2E9C-101B-9397-08002B2CF9AE}" pid="7" name="NEWPARTC">
    <vt:lpwstr>12</vt:lpwstr>
  </property>
  <property fmtid="{D5CDD505-2E9C-101B-9397-08002B2CF9AE}" pid="8" name="APPELLANT">
    <vt:lpwstr>פרקליטות מחוז מרכז</vt:lpwstr>
  </property>
  <property fmtid="{D5CDD505-2E9C-101B-9397-08002B2CF9AE}" pid="9" name="APPELLEE">
    <vt:lpwstr>אברהים שאער</vt:lpwstr>
  </property>
  <property fmtid="{D5CDD505-2E9C-101B-9397-08002B2CF9AE}" pid="10" name="LAWYER">
    <vt:lpwstr>רועי לוס;שי טובים</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20131121</vt:lpwstr>
  </property>
  <property fmtid="{D5CDD505-2E9C-101B-9397-08002B2CF9AE}" pid="14" name="TYPE_N_DATE">
    <vt:lpwstr>38020131121</vt:lpwstr>
  </property>
  <property fmtid="{D5CDD505-2E9C-101B-9397-08002B2CF9AE}" pid="15" name="WORDNUMPAGES">
    <vt:lpwstr>7</vt:lpwstr>
  </property>
  <property fmtid="{D5CDD505-2E9C-101B-9397-08002B2CF9AE}" pid="16" name="TYPE_ABS_DATE">
    <vt:lpwstr>380020131121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6030418;5786821;2256563;5590128:2;5727295;5809029;2744344;4221234:2;4865875;6248029</vt:lpwstr>
  </property>
  <property fmtid="{D5CDD505-2E9C-101B-9397-08002B2CF9AE}" pid="36" name="CASENOTES1">
    <vt:lpwstr>ProcID=209&amp;PartA=3440&amp;PartC=06</vt:lpwstr>
  </property>
  <property fmtid="{D5CDD505-2E9C-101B-9397-08002B2CF9AE}" pid="37" name="LAWLISTTMP1">
    <vt:lpwstr>4216/007.a;007.c;010</vt:lpwstr>
  </property>
</Properties>
</file>