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547131" w:rsidRPr="004858E4" w14:paraId="00CE5FDB" w14:textId="77777777">
        <w:trPr>
          <w:trHeight w:hRule="exact" w:val="418"/>
          <w:jc w:val="center"/>
        </w:trPr>
        <w:tc>
          <w:tcPr>
            <w:tcW w:w="8721" w:type="dxa"/>
            <w:gridSpan w:val="2"/>
          </w:tcPr>
          <w:p w14:paraId="008EC955" w14:textId="77777777" w:rsidR="00547131" w:rsidRPr="004858E4" w:rsidRDefault="004858E4">
            <w:pPr>
              <w:pStyle w:val="a3"/>
              <w:jc w:val="center"/>
              <w:rPr>
                <w:rFonts w:ascii="Tahoma" w:hAnsi="Tahoma" w:cs="Tahoma"/>
                <w:color w:val="000080"/>
                <w:rtl/>
              </w:rPr>
            </w:pPr>
            <w:r w:rsidRPr="004858E4">
              <w:rPr>
                <w:rFonts w:ascii="Tahoma" w:hAnsi="Tahoma" w:cs="Tahoma"/>
                <w:b/>
                <w:bCs/>
                <w:color w:val="000080"/>
                <w:rtl/>
              </w:rPr>
              <w:t>בית משפט השלום בתל אביב - יפו</w:t>
            </w:r>
          </w:p>
        </w:tc>
      </w:tr>
      <w:tr w:rsidR="00547131" w:rsidRPr="004858E4" w14:paraId="7310D956" w14:textId="77777777">
        <w:trPr>
          <w:trHeight w:val="337"/>
          <w:jc w:val="center"/>
        </w:trPr>
        <w:tc>
          <w:tcPr>
            <w:tcW w:w="5047" w:type="dxa"/>
          </w:tcPr>
          <w:p w14:paraId="083FFADA" w14:textId="77777777" w:rsidR="00547131" w:rsidRPr="004858E4" w:rsidRDefault="00547131">
            <w:pPr>
              <w:pStyle w:val="a3"/>
              <w:rPr>
                <w:rFonts w:cs="FrankRuehl"/>
                <w:sz w:val="28"/>
                <w:szCs w:val="28"/>
                <w:rtl/>
              </w:rPr>
            </w:pPr>
          </w:p>
        </w:tc>
        <w:tc>
          <w:tcPr>
            <w:tcW w:w="3674" w:type="dxa"/>
          </w:tcPr>
          <w:p w14:paraId="19873534" w14:textId="77777777" w:rsidR="00547131" w:rsidRPr="004858E4" w:rsidRDefault="00547131">
            <w:pPr>
              <w:pStyle w:val="a3"/>
              <w:jc w:val="right"/>
              <w:rPr>
                <w:rFonts w:cs="FrankRuehl"/>
                <w:sz w:val="28"/>
                <w:szCs w:val="28"/>
                <w:rtl/>
              </w:rPr>
            </w:pPr>
          </w:p>
        </w:tc>
      </w:tr>
      <w:tr w:rsidR="00547131" w:rsidRPr="004858E4" w14:paraId="787BF831" w14:textId="77777777">
        <w:trPr>
          <w:trHeight w:val="337"/>
          <w:jc w:val="center"/>
        </w:trPr>
        <w:tc>
          <w:tcPr>
            <w:tcW w:w="8721" w:type="dxa"/>
            <w:gridSpan w:val="2"/>
          </w:tcPr>
          <w:p w14:paraId="686EA9FB" w14:textId="77777777" w:rsidR="00547131" w:rsidRPr="004858E4" w:rsidRDefault="004858E4">
            <w:pPr>
              <w:rPr>
                <w:b/>
                <w:bCs/>
              </w:rPr>
            </w:pPr>
            <w:r w:rsidRPr="004858E4">
              <w:rPr>
                <w:b/>
                <w:bCs/>
                <w:rtl/>
              </w:rPr>
              <w:t>ת"פ</w:t>
            </w:r>
            <w:r w:rsidRPr="004858E4">
              <w:rPr>
                <w:rFonts w:hint="cs"/>
                <w:b/>
                <w:bCs/>
                <w:rtl/>
              </w:rPr>
              <w:t xml:space="preserve"> </w:t>
            </w:r>
            <w:r w:rsidRPr="004858E4">
              <w:rPr>
                <w:b/>
                <w:bCs/>
                <w:rtl/>
              </w:rPr>
              <w:t>29401-11-12</w:t>
            </w:r>
            <w:r w:rsidRPr="004858E4">
              <w:rPr>
                <w:rFonts w:hint="cs"/>
                <w:b/>
                <w:bCs/>
                <w:rtl/>
              </w:rPr>
              <w:t xml:space="preserve"> </w:t>
            </w:r>
            <w:r w:rsidRPr="004858E4">
              <w:rPr>
                <w:b/>
                <w:bCs/>
                <w:rtl/>
              </w:rPr>
              <w:t>מדינת ישראל נ' לוין</w:t>
            </w:r>
            <w:r w:rsidRPr="004858E4">
              <w:rPr>
                <w:rFonts w:hint="cs"/>
                <w:b/>
                <w:bCs/>
                <w:rtl/>
              </w:rPr>
              <w:t xml:space="preserve"> </w:t>
            </w:r>
            <w:r w:rsidRPr="004858E4">
              <w:rPr>
                <w:b/>
                <w:bCs/>
                <w:rtl/>
              </w:rPr>
              <w:t>(עציר)</w:t>
            </w:r>
          </w:p>
        </w:tc>
      </w:tr>
    </w:tbl>
    <w:p w14:paraId="46ED733A" w14:textId="77777777" w:rsidR="00547131" w:rsidRPr="004858E4" w:rsidRDefault="004858E4">
      <w:pPr>
        <w:pStyle w:val="a3"/>
      </w:pPr>
      <w:r w:rsidRPr="004858E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547131" w:rsidRPr="004858E4" w14:paraId="7F82801E" w14:textId="77777777">
        <w:trPr>
          <w:trHeight w:val="295"/>
          <w:jc w:val="center"/>
        </w:trPr>
        <w:tc>
          <w:tcPr>
            <w:tcW w:w="743" w:type="dxa"/>
            <w:tcBorders>
              <w:top w:val="nil"/>
              <w:left w:val="nil"/>
              <w:bottom w:val="nil"/>
              <w:right w:val="nil"/>
            </w:tcBorders>
          </w:tcPr>
          <w:p w14:paraId="1E6A42A0" w14:textId="77777777" w:rsidR="00547131" w:rsidRPr="004858E4" w:rsidRDefault="004858E4">
            <w:pPr>
              <w:jc w:val="both"/>
              <w:rPr>
                <w:rFonts w:ascii="Arial" w:hAnsi="Arial"/>
                <w:b/>
                <w:bCs/>
                <w:sz w:val="26"/>
                <w:szCs w:val="26"/>
              </w:rPr>
            </w:pPr>
            <w:r w:rsidRPr="004858E4">
              <w:rPr>
                <w:rFonts w:ascii="Arial" w:hAnsi="Arial" w:hint="cs"/>
                <w:b/>
                <w:bCs/>
                <w:sz w:val="26"/>
                <w:szCs w:val="26"/>
                <w:rtl/>
              </w:rPr>
              <w:t>ב</w:t>
            </w:r>
            <w:r w:rsidRPr="004858E4">
              <w:rPr>
                <w:rFonts w:ascii="Arial" w:hAnsi="Arial"/>
                <w:b/>
                <w:bCs/>
                <w:sz w:val="26"/>
                <w:szCs w:val="26"/>
                <w:rtl/>
              </w:rPr>
              <w:t xml:space="preserve">פני </w:t>
            </w:r>
          </w:p>
        </w:tc>
        <w:tc>
          <w:tcPr>
            <w:tcW w:w="8077" w:type="dxa"/>
            <w:tcBorders>
              <w:top w:val="nil"/>
              <w:left w:val="nil"/>
              <w:bottom w:val="nil"/>
              <w:right w:val="nil"/>
            </w:tcBorders>
          </w:tcPr>
          <w:p w14:paraId="6D8AC3B2" w14:textId="77777777" w:rsidR="00547131" w:rsidRPr="004858E4" w:rsidRDefault="004858E4">
            <w:pPr>
              <w:rPr>
                <w:rFonts w:ascii="Arial" w:hAnsi="Arial"/>
                <w:b/>
                <w:bCs/>
                <w:sz w:val="26"/>
                <w:szCs w:val="26"/>
                <w:highlight w:val="yellow"/>
              </w:rPr>
            </w:pPr>
            <w:r w:rsidRPr="004858E4">
              <w:rPr>
                <w:rFonts w:ascii="Arial" w:hAnsi="Arial" w:hint="cs"/>
                <w:b/>
                <w:bCs/>
                <w:sz w:val="26"/>
                <w:szCs w:val="26"/>
                <w:rtl/>
              </w:rPr>
              <w:t xml:space="preserve">כב' </w:t>
            </w:r>
            <w:r w:rsidRPr="004858E4">
              <w:rPr>
                <w:rFonts w:hint="cs"/>
                <w:rtl/>
              </w:rPr>
              <w:t>השופט בני שגיא, סגן נשיאה</w:t>
            </w:r>
          </w:p>
        </w:tc>
      </w:tr>
    </w:tbl>
    <w:p w14:paraId="4C79F3DC" w14:textId="77777777" w:rsidR="00547131" w:rsidRPr="004858E4" w:rsidRDefault="00547131">
      <w:pPr>
        <w:rPr>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3969"/>
        <w:gridCol w:w="3632"/>
      </w:tblGrid>
      <w:tr w:rsidR="00547131" w:rsidRPr="004858E4" w14:paraId="7C908E39" w14:textId="77777777">
        <w:trPr>
          <w:trHeight w:val="355"/>
          <w:jc w:val="center"/>
        </w:trPr>
        <w:tc>
          <w:tcPr>
            <w:tcW w:w="1219" w:type="dxa"/>
            <w:tcBorders>
              <w:top w:val="nil"/>
              <w:left w:val="nil"/>
              <w:bottom w:val="nil"/>
              <w:right w:val="nil"/>
            </w:tcBorders>
          </w:tcPr>
          <w:p w14:paraId="7D8D2D96" w14:textId="77777777" w:rsidR="00547131" w:rsidRPr="004858E4" w:rsidRDefault="00547131">
            <w:pPr>
              <w:jc w:val="both"/>
              <w:rPr>
                <w:rFonts w:ascii="Arial" w:hAnsi="Arial" w:cs="FrankRuehl"/>
                <w:b/>
                <w:bCs/>
                <w:sz w:val="28"/>
                <w:szCs w:val="28"/>
                <w:rtl/>
              </w:rPr>
            </w:pPr>
            <w:bookmarkStart w:id="1" w:name="FirstAppellant"/>
          </w:p>
          <w:p w14:paraId="2C1ADE90" w14:textId="77777777" w:rsidR="00547131" w:rsidRPr="004858E4" w:rsidRDefault="004858E4">
            <w:pPr>
              <w:jc w:val="both"/>
              <w:rPr>
                <w:rFonts w:ascii="Arial" w:hAnsi="Arial"/>
                <w:b/>
                <w:bCs/>
              </w:rPr>
            </w:pPr>
            <w:r w:rsidRPr="004858E4">
              <w:rPr>
                <w:rFonts w:ascii="Arial" w:hAnsi="Arial" w:hint="cs"/>
                <w:b/>
                <w:bCs/>
                <w:rtl/>
              </w:rPr>
              <w:t>ה</w:t>
            </w:r>
            <w:r w:rsidRPr="004858E4">
              <w:rPr>
                <w:rFonts w:hint="cs"/>
                <w:rtl/>
              </w:rPr>
              <w:t>מאשימה</w:t>
            </w:r>
            <w:r w:rsidRPr="004858E4">
              <w:rPr>
                <w:rFonts w:ascii="Arial" w:hAnsi="Arial" w:hint="cs"/>
                <w:b/>
                <w:bCs/>
                <w:rtl/>
              </w:rPr>
              <w:t>:</w:t>
            </w:r>
          </w:p>
        </w:tc>
        <w:tc>
          <w:tcPr>
            <w:tcW w:w="3969" w:type="dxa"/>
            <w:tcBorders>
              <w:top w:val="nil"/>
              <w:left w:val="nil"/>
              <w:bottom w:val="nil"/>
              <w:right w:val="nil"/>
            </w:tcBorders>
          </w:tcPr>
          <w:p w14:paraId="1DD8F296" w14:textId="77777777" w:rsidR="00547131" w:rsidRPr="004858E4" w:rsidRDefault="00547131">
            <w:pPr>
              <w:jc w:val="both"/>
              <w:rPr>
                <w:rFonts w:ascii="Arial" w:hAnsi="Arial"/>
                <w:b/>
                <w:bCs/>
                <w:sz w:val="26"/>
                <w:szCs w:val="26"/>
                <w:rtl/>
              </w:rPr>
            </w:pPr>
          </w:p>
          <w:p w14:paraId="26DF27C8" w14:textId="77777777" w:rsidR="00547131" w:rsidRPr="004858E4" w:rsidRDefault="004858E4">
            <w:pPr>
              <w:ind w:left="720"/>
              <w:jc w:val="both"/>
              <w:rPr>
                <w:rFonts w:ascii="Arial" w:hAnsi="Arial"/>
                <w:b/>
                <w:bCs/>
                <w:rtl/>
              </w:rPr>
            </w:pPr>
            <w:r w:rsidRPr="004858E4">
              <w:rPr>
                <w:rFonts w:hint="cs"/>
                <w:b/>
                <w:bCs/>
                <w:rtl/>
              </w:rPr>
              <w:t>מדינת ישראל – משטרת ישראל</w:t>
            </w:r>
          </w:p>
          <w:p w14:paraId="5A05DB7A" w14:textId="77777777" w:rsidR="00547131" w:rsidRPr="004858E4" w:rsidRDefault="00547131">
            <w:pPr>
              <w:ind w:left="720"/>
              <w:jc w:val="both"/>
              <w:rPr>
                <w:rFonts w:ascii="Arial" w:hAnsi="Arial"/>
                <w:b/>
                <w:bCs/>
              </w:rPr>
            </w:pPr>
          </w:p>
        </w:tc>
        <w:tc>
          <w:tcPr>
            <w:tcW w:w="3632" w:type="dxa"/>
            <w:tcBorders>
              <w:top w:val="nil"/>
              <w:left w:val="nil"/>
              <w:bottom w:val="nil"/>
              <w:right w:val="nil"/>
            </w:tcBorders>
          </w:tcPr>
          <w:p w14:paraId="2DC1BD86" w14:textId="77777777" w:rsidR="00547131" w:rsidRPr="004858E4" w:rsidRDefault="00547131">
            <w:pPr>
              <w:jc w:val="both"/>
              <w:rPr>
                <w:rFonts w:ascii="Arial" w:hAnsi="Arial"/>
                <w:b/>
                <w:bCs/>
                <w:sz w:val="26"/>
                <w:szCs w:val="26"/>
              </w:rPr>
            </w:pPr>
          </w:p>
        </w:tc>
      </w:tr>
      <w:tr w:rsidR="00547131" w:rsidRPr="004858E4" w14:paraId="511B074E" w14:textId="77777777">
        <w:trPr>
          <w:trHeight w:val="355"/>
          <w:jc w:val="center"/>
        </w:trPr>
        <w:tc>
          <w:tcPr>
            <w:tcW w:w="1219" w:type="dxa"/>
            <w:tcBorders>
              <w:top w:val="nil"/>
              <w:left w:val="nil"/>
              <w:bottom w:val="nil"/>
              <w:right w:val="nil"/>
            </w:tcBorders>
          </w:tcPr>
          <w:p w14:paraId="50AD2B06" w14:textId="77777777" w:rsidR="00547131" w:rsidRPr="004858E4" w:rsidRDefault="00547131">
            <w:pPr>
              <w:jc w:val="both"/>
              <w:rPr>
                <w:rFonts w:ascii="Arial" w:hAnsi="Arial" w:cs="FrankRuehl"/>
                <w:b/>
                <w:bCs/>
                <w:sz w:val="28"/>
                <w:szCs w:val="28"/>
                <w:rtl/>
              </w:rPr>
            </w:pPr>
            <w:bookmarkStart w:id="2" w:name="FirstLawyer"/>
            <w:bookmarkEnd w:id="1"/>
          </w:p>
        </w:tc>
        <w:tc>
          <w:tcPr>
            <w:tcW w:w="3969" w:type="dxa"/>
            <w:tcBorders>
              <w:top w:val="nil"/>
              <w:left w:val="nil"/>
              <w:bottom w:val="nil"/>
              <w:right w:val="nil"/>
            </w:tcBorders>
            <w:vAlign w:val="center"/>
          </w:tcPr>
          <w:p w14:paraId="1E586B02" w14:textId="77777777" w:rsidR="00547131" w:rsidRPr="004858E4" w:rsidRDefault="004858E4">
            <w:pPr>
              <w:ind w:left="720"/>
              <w:rPr>
                <w:rtl/>
              </w:rPr>
            </w:pPr>
            <w:r w:rsidRPr="004858E4">
              <w:rPr>
                <w:rFonts w:hint="cs"/>
                <w:rtl/>
              </w:rPr>
              <w:t>ע"י ב"כ עו"ד אבי שגב</w:t>
            </w:r>
          </w:p>
        </w:tc>
        <w:tc>
          <w:tcPr>
            <w:tcW w:w="3632" w:type="dxa"/>
            <w:tcBorders>
              <w:top w:val="nil"/>
              <w:left w:val="nil"/>
              <w:bottom w:val="nil"/>
              <w:right w:val="nil"/>
            </w:tcBorders>
          </w:tcPr>
          <w:p w14:paraId="410DFFCC" w14:textId="77777777" w:rsidR="00547131" w:rsidRPr="004858E4" w:rsidRDefault="00547131">
            <w:pPr>
              <w:jc w:val="right"/>
              <w:rPr>
                <w:rFonts w:ascii="Arial" w:hAnsi="Arial"/>
                <w:b/>
                <w:bCs/>
                <w:sz w:val="26"/>
                <w:szCs w:val="26"/>
                <w:rtl/>
              </w:rPr>
            </w:pPr>
          </w:p>
        </w:tc>
      </w:tr>
      <w:bookmarkEnd w:id="2"/>
      <w:tr w:rsidR="00547131" w:rsidRPr="004858E4" w14:paraId="36397899" w14:textId="77777777">
        <w:trPr>
          <w:trHeight w:val="355"/>
          <w:jc w:val="center"/>
        </w:trPr>
        <w:tc>
          <w:tcPr>
            <w:tcW w:w="1219" w:type="dxa"/>
            <w:tcBorders>
              <w:top w:val="nil"/>
              <w:left w:val="nil"/>
              <w:bottom w:val="nil"/>
              <w:right w:val="nil"/>
            </w:tcBorders>
          </w:tcPr>
          <w:p w14:paraId="14F41F25" w14:textId="77777777" w:rsidR="00547131" w:rsidRPr="004858E4" w:rsidRDefault="00547131">
            <w:pPr>
              <w:jc w:val="both"/>
              <w:rPr>
                <w:rFonts w:ascii="Arial" w:hAnsi="Arial" w:cs="FrankRuehl"/>
                <w:b/>
                <w:bCs/>
                <w:sz w:val="28"/>
                <w:szCs w:val="28"/>
                <w:rtl/>
              </w:rPr>
            </w:pPr>
          </w:p>
        </w:tc>
        <w:tc>
          <w:tcPr>
            <w:tcW w:w="7601" w:type="dxa"/>
            <w:gridSpan w:val="2"/>
            <w:tcBorders>
              <w:top w:val="nil"/>
              <w:left w:val="nil"/>
              <w:bottom w:val="nil"/>
              <w:right w:val="nil"/>
            </w:tcBorders>
          </w:tcPr>
          <w:p w14:paraId="745B7FD1" w14:textId="77777777" w:rsidR="00547131" w:rsidRPr="004858E4" w:rsidRDefault="00547131">
            <w:pPr>
              <w:jc w:val="center"/>
              <w:rPr>
                <w:rFonts w:ascii="Arial" w:hAnsi="Arial"/>
                <w:b/>
                <w:bCs/>
                <w:sz w:val="26"/>
                <w:szCs w:val="26"/>
                <w:rtl/>
              </w:rPr>
            </w:pPr>
          </w:p>
          <w:p w14:paraId="754369A9" w14:textId="77777777" w:rsidR="00547131" w:rsidRPr="004858E4" w:rsidRDefault="004858E4">
            <w:pPr>
              <w:jc w:val="center"/>
              <w:rPr>
                <w:rFonts w:ascii="Arial" w:hAnsi="Arial"/>
                <w:b/>
                <w:bCs/>
                <w:sz w:val="26"/>
                <w:szCs w:val="26"/>
              </w:rPr>
            </w:pPr>
            <w:r w:rsidRPr="004858E4">
              <w:rPr>
                <w:rFonts w:ascii="Arial" w:hAnsi="Arial"/>
                <w:b/>
                <w:bCs/>
                <w:sz w:val="26"/>
                <w:szCs w:val="26"/>
                <w:rtl/>
              </w:rPr>
              <w:t>נגד</w:t>
            </w:r>
          </w:p>
        </w:tc>
      </w:tr>
      <w:tr w:rsidR="00547131" w:rsidRPr="004858E4" w14:paraId="1CBFCE05" w14:textId="77777777">
        <w:trPr>
          <w:trHeight w:val="355"/>
          <w:jc w:val="center"/>
        </w:trPr>
        <w:tc>
          <w:tcPr>
            <w:tcW w:w="1219" w:type="dxa"/>
            <w:tcBorders>
              <w:top w:val="nil"/>
              <w:left w:val="nil"/>
              <w:bottom w:val="nil"/>
              <w:right w:val="nil"/>
            </w:tcBorders>
          </w:tcPr>
          <w:p w14:paraId="55D45754" w14:textId="77777777" w:rsidR="00547131" w:rsidRPr="004858E4" w:rsidRDefault="004858E4">
            <w:pPr>
              <w:jc w:val="both"/>
              <w:rPr>
                <w:rFonts w:ascii="Arial" w:hAnsi="Arial"/>
                <w:b/>
                <w:bCs/>
                <w:rtl/>
              </w:rPr>
            </w:pPr>
            <w:r w:rsidRPr="004858E4">
              <w:rPr>
                <w:rFonts w:ascii="Arial" w:hAnsi="Arial" w:hint="cs"/>
                <w:b/>
                <w:bCs/>
                <w:rtl/>
              </w:rPr>
              <w:t>ה</w:t>
            </w:r>
            <w:r w:rsidRPr="004858E4">
              <w:rPr>
                <w:rFonts w:hint="cs"/>
                <w:rtl/>
              </w:rPr>
              <w:t>נאשם</w:t>
            </w:r>
            <w:r w:rsidRPr="004858E4">
              <w:rPr>
                <w:rFonts w:ascii="Arial" w:hAnsi="Arial" w:hint="cs"/>
                <w:b/>
                <w:bCs/>
                <w:rtl/>
              </w:rPr>
              <w:t>:</w:t>
            </w:r>
          </w:p>
        </w:tc>
        <w:tc>
          <w:tcPr>
            <w:tcW w:w="3969" w:type="dxa"/>
            <w:tcBorders>
              <w:top w:val="nil"/>
              <w:left w:val="nil"/>
              <w:bottom w:val="nil"/>
              <w:right w:val="nil"/>
            </w:tcBorders>
          </w:tcPr>
          <w:p w14:paraId="4E2711DF" w14:textId="77777777" w:rsidR="00547131" w:rsidRPr="004858E4" w:rsidRDefault="004858E4">
            <w:pPr>
              <w:ind w:left="720"/>
              <w:jc w:val="both"/>
              <w:rPr>
                <w:b/>
                <w:bCs/>
                <w:rtl/>
              </w:rPr>
            </w:pPr>
            <w:r w:rsidRPr="004858E4">
              <w:rPr>
                <w:rFonts w:hint="cs"/>
                <w:rtl/>
              </w:rPr>
              <w:t>רונן לוין (עציר)</w:t>
            </w:r>
          </w:p>
          <w:p w14:paraId="4BE5887B" w14:textId="77777777" w:rsidR="00547131" w:rsidRPr="004858E4" w:rsidRDefault="00547131">
            <w:pPr>
              <w:ind w:left="720"/>
              <w:jc w:val="both"/>
              <w:rPr>
                <w:b/>
                <w:bCs/>
                <w:rtl/>
              </w:rPr>
            </w:pPr>
          </w:p>
        </w:tc>
        <w:tc>
          <w:tcPr>
            <w:tcW w:w="3632" w:type="dxa"/>
            <w:tcBorders>
              <w:top w:val="nil"/>
              <w:left w:val="nil"/>
              <w:bottom w:val="nil"/>
              <w:right w:val="nil"/>
            </w:tcBorders>
          </w:tcPr>
          <w:p w14:paraId="3FB1A2D0" w14:textId="77777777" w:rsidR="00547131" w:rsidRPr="004858E4" w:rsidRDefault="00547131">
            <w:pPr>
              <w:jc w:val="right"/>
              <w:rPr>
                <w:rFonts w:ascii="Arial" w:hAnsi="Arial"/>
                <w:b/>
                <w:bCs/>
                <w:sz w:val="26"/>
                <w:szCs w:val="26"/>
              </w:rPr>
            </w:pPr>
          </w:p>
        </w:tc>
      </w:tr>
      <w:tr w:rsidR="00547131" w:rsidRPr="004858E4" w14:paraId="1278F52F" w14:textId="77777777">
        <w:trPr>
          <w:trHeight w:val="355"/>
          <w:jc w:val="center"/>
        </w:trPr>
        <w:tc>
          <w:tcPr>
            <w:tcW w:w="1219" w:type="dxa"/>
            <w:tcBorders>
              <w:top w:val="nil"/>
              <w:left w:val="nil"/>
              <w:bottom w:val="nil"/>
              <w:right w:val="nil"/>
            </w:tcBorders>
          </w:tcPr>
          <w:p w14:paraId="054F6219" w14:textId="77777777" w:rsidR="00547131" w:rsidRPr="004858E4" w:rsidRDefault="00547131">
            <w:pPr>
              <w:jc w:val="both"/>
              <w:rPr>
                <w:rFonts w:ascii="Arial" w:hAnsi="Arial" w:cs="FrankRuehl"/>
                <w:b/>
                <w:bCs/>
                <w:sz w:val="28"/>
                <w:szCs w:val="28"/>
                <w:rtl/>
              </w:rPr>
            </w:pPr>
          </w:p>
        </w:tc>
        <w:tc>
          <w:tcPr>
            <w:tcW w:w="3969" w:type="dxa"/>
            <w:tcBorders>
              <w:top w:val="nil"/>
              <w:left w:val="nil"/>
              <w:bottom w:val="nil"/>
              <w:right w:val="nil"/>
            </w:tcBorders>
            <w:vAlign w:val="center"/>
          </w:tcPr>
          <w:p w14:paraId="5173091C" w14:textId="77777777" w:rsidR="00547131" w:rsidRPr="004858E4" w:rsidRDefault="004858E4">
            <w:pPr>
              <w:ind w:left="720"/>
              <w:rPr>
                <w:rtl/>
              </w:rPr>
            </w:pPr>
            <w:r w:rsidRPr="004858E4">
              <w:rPr>
                <w:rFonts w:hint="cs"/>
                <w:rtl/>
              </w:rPr>
              <w:t>ע"י ב"כ עו"ד יוסי זילברברג</w:t>
            </w:r>
          </w:p>
        </w:tc>
        <w:tc>
          <w:tcPr>
            <w:tcW w:w="3632" w:type="dxa"/>
            <w:tcBorders>
              <w:top w:val="nil"/>
              <w:left w:val="nil"/>
              <w:bottom w:val="nil"/>
              <w:right w:val="nil"/>
            </w:tcBorders>
          </w:tcPr>
          <w:p w14:paraId="45316192" w14:textId="77777777" w:rsidR="00547131" w:rsidRPr="004858E4" w:rsidRDefault="00547131">
            <w:pPr>
              <w:jc w:val="right"/>
              <w:rPr>
                <w:rFonts w:ascii="Arial" w:hAnsi="Arial"/>
                <w:b/>
                <w:bCs/>
                <w:sz w:val="26"/>
                <w:szCs w:val="26"/>
              </w:rPr>
            </w:pPr>
          </w:p>
        </w:tc>
      </w:tr>
    </w:tbl>
    <w:p w14:paraId="4562C911" w14:textId="77777777" w:rsidR="00C60CFE" w:rsidRDefault="00C60CFE">
      <w:pPr>
        <w:rPr>
          <w:rtl/>
        </w:rPr>
      </w:pPr>
      <w:bookmarkStart w:id="3" w:name="LawTable"/>
      <w:bookmarkEnd w:id="3"/>
    </w:p>
    <w:p w14:paraId="79C86578" w14:textId="77777777" w:rsidR="00C60CFE" w:rsidRPr="00C60CFE" w:rsidRDefault="00C60CFE" w:rsidP="00C60CFE">
      <w:pPr>
        <w:spacing w:after="120" w:line="240" w:lineRule="exact"/>
        <w:ind w:left="283" w:hanging="283"/>
        <w:jc w:val="both"/>
        <w:rPr>
          <w:rFonts w:ascii="FrankRuehl" w:hAnsi="FrankRuehl" w:cs="FrankRuehl"/>
          <w:rtl/>
        </w:rPr>
      </w:pPr>
    </w:p>
    <w:p w14:paraId="17E993B3" w14:textId="77777777" w:rsidR="00C60CFE" w:rsidRPr="00C60CFE" w:rsidRDefault="00C60CFE" w:rsidP="00C60CFE">
      <w:pPr>
        <w:spacing w:after="120" w:line="240" w:lineRule="exact"/>
        <w:ind w:left="283" w:hanging="283"/>
        <w:jc w:val="both"/>
        <w:rPr>
          <w:rFonts w:ascii="FrankRuehl" w:hAnsi="FrankRuehl" w:cs="FrankRuehl"/>
          <w:rtl/>
        </w:rPr>
      </w:pPr>
      <w:r w:rsidRPr="00C60CFE">
        <w:rPr>
          <w:rFonts w:ascii="FrankRuehl" w:hAnsi="FrankRuehl" w:cs="FrankRuehl" w:hint="eastAsia"/>
          <w:rtl/>
        </w:rPr>
        <w:t>חקיקה</w:t>
      </w:r>
      <w:r w:rsidRPr="00C60CFE">
        <w:rPr>
          <w:rFonts w:ascii="FrankRuehl" w:hAnsi="FrankRuehl" w:cs="FrankRuehl"/>
          <w:rtl/>
        </w:rPr>
        <w:t xml:space="preserve"> </w:t>
      </w:r>
      <w:r w:rsidRPr="00C60CFE">
        <w:rPr>
          <w:rFonts w:ascii="FrankRuehl" w:hAnsi="FrankRuehl" w:cs="FrankRuehl" w:hint="eastAsia"/>
          <w:rtl/>
        </w:rPr>
        <w:t>שאוזכרה</w:t>
      </w:r>
      <w:r w:rsidRPr="00C60CFE">
        <w:rPr>
          <w:rFonts w:ascii="FrankRuehl" w:hAnsi="FrankRuehl" w:cs="FrankRuehl"/>
          <w:rtl/>
        </w:rPr>
        <w:t xml:space="preserve">: </w:t>
      </w:r>
    </w:p>
    <w:p w14:paraId="76D3EB1A" w14:textId="77777777" w:rsidR="00C60CFE" w:rsidRPr="00C60CFE" w:rsidRDefault="00C60CFE" w:rsidP="00C60CFE">
      <w:pPr>
        <w:spacing w:after="120" w:line="240" w:lineRule="exact"/>
        <w:ind w:left="283" w:hanging="283"/>
        <w:jc w:val="both"/>
        <w:rPr>
          <w:rFonts w:ascii="FrankRuehl" w:hAnsi="FrankRuehl" w:cs="FrankRuehl"/>
          <w:color w:val="0000FF"/>
          <w:u w:val="single"/>
          <w:rtl/>
        </w:rPr>
      </w:pPr>
      <w:hyperlink r:id="rId6" w:history="1">
        <w:r w:rsidRPr="00C60CFE">
          <w:rPr>
            <w:rStyle w:val="Hyperlink"/>
            <w:rFonts w:ascii="FrankRuehl" w:hAnsi="FrankRuehl" w:cs="FrankRuehl" w:hint="eastAsia"/>
            <w:rtl/>
          </w:rPr>
          <w:t>חוק</w:t>
        </w:r>
        <w:r w:rsidRPr="00C60CFE">
          <w:rPr>
            <w:rStyle w:val="Hyperlink"/>
            <w:rFonts w:ascii="FrankRuehl" w:hAnsi="FrankRuehl" w:cs="FrankRuehl"/>
            <w:rtl/>
          </w:rPr>
          <w:t xml:space="preserve"> </w:t>
        </w:r>
        <w:r w:rsidRPr="00C60CFE">
          <w:rPr>
            <w:rStyle w:val="Hyperlink"/>
            <w:rFonts w:ascii="FrankRuehl" w:hAnsi="FrankRuehl" w:cs="FrankRuehl" w:hint="eastAsia"/>
            <w:rtl/>
          </w:rPr>
          <w:t>העונשין</w:t>
        </w:r>
        <w:r w:rsidRPr="00C60CFE">
          <w:rPr>
            <w:rStyle w:val="Hyperlink"/>
            <w:rFonts w:ascii="FrankRuehl" w:hAnsi="FrankRuehl" w:cs="FrankRuehl"/>
            <w:rtl/>
          </w:rPr>
          <w:t xml:space="preserve">, </w:t>
        </w:r>
        <w:r w:rsidRPr="00C60CFE">
          <w:rPr>
            <w:rStyle w:val="Hyperlink"/>
            <w:rFonts w:ascii="FrankRuehl" w:hAnsi="FrankRuehl" w:cs="FrankRuehl" w:hint="eastAsia"/>
            <w:rtl/>
          </w:rPr>
          <w:t>תשל</w:t>
        </w:r>
        <w:r w:rsidRPr="00C60CFE">
          <w:rPr>
            <w:rStyle w:val="Hyperlink"/>
            <w:rFonts w:ascii="FrankRuehl" w:hAnsi="FrankRuehl" w:cs="FrankRuehl"/>
            <w:rtl/>
          </w:rPr>
          <w:t>"</w:t>
        </w:r>
        <w:r w:rsidRPr="00C60CFE">
          <w:rPr>
            <w:rStyle w:val="Hyperlink"/>
            <w:rFonts w:ascii="FrankRuehl" w:hAnsi="FrankRuehl" w:cs="FrankRuehl" w:hint="eastAsia"/>
            <w:rtl/>
          </w:rPr>
          <w:t>ז</w:t>
        </w:r>
        <w:r w:rsidRPr="00C60CFE">
          <w:rPr>
            <w:rStyle w:val="Hyperlink"/>
            <w:rFonts w:ascii="FrankRuehl" w:hAnsi="FrankRuehl" w:cs="FrankRuehl"/>
            <w:rtl/>
          </w:rPr>
          <w:t>-1977</w:t>
        </w:r>
      </w:hyperlink>
      <w:r w:rsidRPr="00C60CFE">
        <w:rPr>
          <w:rFonts w:ascii="FrankRuehl" w:hAnsi="FrankRuehl" w:cs="FrankRuehl"/>
          <w:color w:val="0000FF"/>
          <w:u w:val="single"/>
          <w:rtl/>
        </w:rPr>
        <w:t xml:space="preserve">: </w:t>
      </w:r>
      <w:r w:rsidRPr="00C60CFE">
        <w:rPr>
          <w:rFonts w:ascii="FrankRuehl" w:hAnsi="FrankRuehl" w:cs="FrankRuehl" w:hint="eastAsia"/>
          <w:color w:val="0000FF"/>
          <w:u w:val="single"/>
          <w:rtl/>
        </w:rPr>
        <w:t>סע</w:t>
      </w:r>
      <w:r w:rsidRPr="00C60CFE">
        <w:rPr>
          <w:rFonts w:ascii="FrankRuehl" w:hAnsi="FrankRuehl" w:cs="FrankRuehl"/>
          <w:color w:val="0000FF"/>
          <w:u w:val="single"/>
          <w:rtl/>
        </w:rPr>
        <w:t xml:space="preserve">'  </w:t>
      </w:r>
      <w:hyperlink r:id="rId7" w:history="1">
        <w:r w:rsidRPr="00C60CFE">
          <w:rPr>
            <w:rStyle w:val="Hyperlink"/>
            <w:rFonts w:ascii="FrankRuehl" w:hAnsi="FrankRuehl" w:cs="FrankRuehl"/>
          </w:rPr>
          <w:t>40</w:t>
        </w:r>
        <w:r w:rsidRPr="00C60CFE">
          <w:rPr>
            <w:rStyle w:val="Hyperlink"/>
            <w:rFonts w:ascii="FrankRuehl" w:hAnsi="FrankRuehl" w:cs="FrankRuehl" w:hint="eastAsia"/>
            <w:rtl/>
          </w:rPr>
          <w:t>ט</w:t>
        </w:r>
      </w:hyperlink>
    </w:p>
    <w:p w14:paraId="3AEF43AD" w14:textId="77777777" w:rsidR="00C60CFE" w:rsidRPr="00C60CFE" w:rsidRDefault="00C60CFE" w:rsidP="00C60CFE">
      <w:pPr>
        <w:spacing w:after="120" w:line="240" w:lineRule="exact"/>
        <w:ind w:left="283" w:hanging="283"/>
        <w:jc w:val="both"/>
        <w:rPr>
          <w:rFonts w:ascii="FrankRuehl" w:hAnsi="FrankRuehl" w:cs="FrankRuehl"/>
          <w:rtl/>
        </w:rPr>
      </w:pPr>
    </w:p>
    <w:p w14:paraId="080407D0" w14:textId="77777777" w:rsidR="00C60CFE" w:rsidRPr="00C60CFE" w:rsidRDefault="00C60CFE">
      <w:pPr>
        <w:rPr>
          <w:rtl/>
        </w:rPr>
      </w:pPr>
      <w:bookmarkStart w:id="4" w:name="LawTable_End"/>
      <w:bookmarkEnd w:id="4"/>
    </w:p>
    <w:p w14:paraId="1DAC6060" w14:textId="77777777" w:rsidR="00C60CFE" w:rsidRPr="00C60CFE" w:rsidRDefault="00C60CFE">
      <w:pPr>
        <w:rPr>
          <w:rtl/>
        </w:rPr>
      </w:pPr>
    </w:p>
    <w:p w14:paraId="78FA03FC" w14:textId="77777777" w:rsidR="00547131" w:rsidRPr="00C60CFE" w:rsidRDefault="00547131">
      <w:pPr>
        <w:rPr>
          <w:rtl/>
        </w:rPr>
      </w:pPr>
    </w:p>
    <w:p w14:paraId="2A77D4D5" w14:textId="77777777" w:rsidR="008D6BCD" w:rsidRPr="008D6BCD" w:rsidRDefault="008D6BCD">
      <w:pPr>
        <w:rPr>
          <w:rtl/>
        </w:rPr>
      </w:pPr>
    </w:p>
    <w:p w14:paraId="522CB3A3" w14:textId="77777777" w:rsidR="008D6BCD" w:rsidRPr="008D6BCD" w:rsidRDefault="008D6BCD">
      <w:pPr>
        <w:rPr>
          <w:rtl/>
        </w:rPr>
      </w:pPr>
    </w:p>
    <w:p w14:paraId="17F46044" w14:textId="77777777" w:rsidR="00547131" w:rsidRPr="008D6BCD" w:rsidRDefault="0054713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47131" w14:paraId="49E7D325" w14:textId="77777777">
        <w:trPr>
          <w:trHeight w:val="355"/>
          <w:jc w:val="center"/>
        </w:trPr>
        <w:tc>
          <w:tcPr>
            <w:tcW w:w="8820" w:type="dxa"/>
            <w:tcBorders>
              <w:top w:val="nil"/>
              <w:left w:val="nil"/>
              <w:bottom w:val="nil"/>
              <w:right w:val="nil"/>
            </w:tcBorders>
          </w:tcPr>
          <w:p w14:paraId="151DC156" w14:textId="77777777" w:rsidR="004858E4" w:rsidRPr="004858E4" w:rsidRDefault="004858E4" w:rsidP="004858E4">
            <w:pPr>
              <w:jc w:val="center"/>
              <w:rPr>
                <w:rFonts w:ascii="Arial" w:hAnsi="Arial"/>
                <w:b/>
                <w:bCs/>
                <w:sz w:val="32"/>
                <w:szCs w:val="32"/>
                <w:u w:val="single"/>
                <w:rtl/>
              </w:rPr>
            </w:pPr>
            <w:bookmarkStart w:id="5" w:name="PsakDin" w:colFirst="0" w:colLast="0"/>
            <w:r w:rsidRPr="004858E4">
              <w:rPr>
                <w:rFonts w:ascii="Arial" w:hAnsi="Arial"/>
                <w:b/>
                <w:bCs/>
                <w:sz w:val="32"/>
                <w:szCs w:val="32"/>
                <w:u w:val="single"/>
                <w:rtl/>
              </w:rPr>
              <w:t>גזר דין</w:t>
            </w:r>
          </w:p>
          <w:p w14:paraId="318EAF4C" w14:textId="77777777" w:rsidR="00547131" w:rsidRPr="004858E4" w:rsidRDefault="00547131" w:rsidP="004858E4">
            <w:pPr>
              <w:jc w:val="center"/>
              <w:rPr>
                <w:rFonts w:ascii="Arial" w:hAnsi="Arial"/>
                <w:bCs/>
                <w:sz w:val="32"/>
                <w:szCs w:val="32"/>
                <w:u w:val="single"/>
                <w:rtl/>
              </w:rPr>
            </w:pPr>
          </w:p>
        </w:tc>
      </w:tr>
      <w:bookmarkEnd w:id="5"/>
    </w:tbl>
    <w:p w14:paraId="5D9C18CB" w14:textId="77777777" w:rsidR="00547131" w:rsidRDefault="00547131">
      <w:pPr>
        <w:spacing w:line="360" w:lineRule="auto"/>
        <w:jc w:val="both"/>
        <w:rPr>
          <w:rtl/>
        </w:rPr>
      </w:pPr>
    </w:p>
    <w:p w14:paraId="4870023B" w14:textId="77777777" w:rsidR="00547131" w:rsidRDefault="004858E4">
      <w:pPr>
        <w:spacing w:line="360" w:lineRule="auto"/>
        <w:ind w:firstLine="720"/>
        <w:jc w:val="both"/>
        <w:rPr>
          <w:rtl/>
        </w:rPr>
      </w:pPr>
      <w:r>
        <w:rPr>
          <w:rFonts w:hint="cs"/>
          <w:u w:val="single"/>
          <w:rtl/>
        </w:rPr>
        <w:t>כללי</w:t>
      </w:r>
    </w:p>
    <w:p w14:paraId="0C126D26" w14:textId="77777777" w:rsidR="00547131" w:rsidRDefault="00547131">
      <w:pPr>
        <w:spacing w:line="360" w:lineRule="auto"/>
        <w:jc w:val="both"/>
        <w:rPr>
          <w:rtl/>
        </w:rPr>
      </w:pPr>
    </w:p>
    <w:p w14:paraId="39F20ADE" w14:textId="77777777" w:rsidR="00547131" w:rsidRDefault="004858E4">
      <w:pPr>
        <w:spacing w:line="360" w:lineRule="auto"/>
        <w:ind w:left="720" w:hanging="720"/>
        <w:jc w:val="both"/>
        <w:rPr>
          <w:rtl/>
        </w:rPr>
      </w:pPr>
      <w:r>
        <w:rPr>
          <w:rFonts w:hint="cs"/>
          <w:rtl/>
        </w:rPr>
        <w:t>1.</w:t>
      </w:r>
      <w:r>
        <w:rPr>
          <w:rFonts w:hint="cs"/>
          <w:rtl/>
        </w:rPr>
        <w:tab/>
      </w:r>
      <w:bookmarkStart w:id="6" w:name="ABSTRACT_START"/>
      <w:bookmarkEnd w:id="6"/>
      <w:r>
        <w:rPr>
          <w:rFonts w:hint="cs"/>
          <w:rtl/>
        </w:rPr>
        <w:t>הנאשם הורשע על יסוד הודאתו בעבירות של גידול וייצור של סם מסוכן, החזקת סמים שלא לצריכה עצמית, החזקת כלים להכנת סם שלא לצריכה עצמית ונטילת חשמל במרמה.</w:t>
      </w:r>
    </w:p>
    <w:p w14:paraId="1597CC1B" w14:textId="77777777" w:rsidR="00547131" w:rsidRDefault="00547131">
      <w:pPr>
        <w:spacing w:line="360" w:lineRule="auto"/>
        <w:jc w:val="both"/>
        <w:rPr>
          <w:rtl/>
        </w:rPr>
      </w:pPr>
      <w:bookmarkStart w:id="7" w:name="ABSTRACT_END"/>
      <w:bookmarkEnd w:id="7"/>
    </w:p>
    <w:p w14:paraId="7B7DD908" w14:textId="77777777" w:rsidR="00547131" w:rsidRDefault="004858E4">
      <w:pPr>
        <w:spacing w:line="360" w:lineRule="auto"/>
        <w:ind w:left="720"/>
        <w:jc w:val="both"/>
        <w:rPr>
          <w:rtl/>
        </w:rPr>
      </w:pPr>
      <w:r>
        <w:rPr>
          <w:rFonts w:hint="cs"/>
          <w:rtl/>
        </w:rPr>
        <w:t>הצדדים לא גיבשו הסכמה לעונש, וטרם נשמעו טיעוניהם, הופנה הנאשם לשירות המבחן.</w:t>
      </w:r>
    </w:p>
    <w:p w14:paraId="25FC1513" w14:textId="77777777" w:rsidR="00547131" w:rsidRDefault="00547131">
      <w:pPr>
        <w:spacing w:line="360" w:lineRule="auto"/>
        <w:jc w:val="both"/>
        <w:rPr>
          <w:rtl/>
        </w:rPr>
      </w:pPr>
    </w:p>
    <w:p w14:paraId="52C13578" w14:textId="77777777" w:rsidR="00547131" w:rsidRDefault="004858E4">
      <w:pPr>
        <w:spacing w:line="360" w:lineRule="auto"/>
        <w:ind w:left="720"/>
        <w:jc w:val="both"/>
        <w:rPr>
          <w:rtl/>
        </w:rPr>
      </w:pPr>
      <w:r>
        <w:rPr>
          <w:rFonts w:hint="cs"/>
          <w:rtl/>
        </w:rPr>
        <w:t>על פי עובדות כתב האישום, משך תקופה של חצי שנה, החל ממחצית שנת 2011, הקים הנאשם מעבדה לגידול סם מסוכן מסוג קנבוס והידרו, וזאת בדירת מגורים המחולקת לארבעה חדרים, כאשר בשלושה חדרים גודלו שתילי הסמים והציוד הוחזק בחדר הרביעי. שווי הציוד, על פי כתב האישום, עמד על כ-60,000 שקלים. הנאשם גידל במעבדה 392 שתילים ותפזורת עלים של קנבוס, במשקל כולל של 24.4 ק"ג נטו. לצורך ביצוע האמור, ולתחזוקת המעבדה, נטל הנאשם חשמל במרמה על ידי חיבור שתי פאזות ישירות לכבלי חברת החשמל בבניין, ובכך גנב חשמל בסכום של 168,344 שקלים.</w:t>
      </w:r>
    </w:p>
    <w:p w14:paraId="592D25F1" w14:textId="77777777" w:rsidR="00547131" w:rsidRDefault="00547131">
      <w:pPr>
        <w:spacing w:line="360" w:lineRule="auto"/>
        <w:jc w:val="both"/>
        <w:rPr>
          <w:rtl/>
        </w:rPr>
      </w:pPr>
    </w:p>
    <w:p w14:paraId="3415773A" w14:textId="77777777" w:rsidR="00547131" w:rsidRDefault="004858E4">
      <w:pPr>
        <w:spacing w:line="360" w:lineRule="auto"/>
        <w:ind w:firstLine="720"/>
        <w:jc w:val="both"/>
        <w:rPr>
          <w:u w:val="single"/>
          <w:rtl/>
        </w:rPr>
      </w:pPr>
      <w:r>
        <w:rPr>
          <w:rFonts w:hint="cs"/>
          <w:u w:val="single"/>
          <w:rtl/>
        </w:rPr>
        <w:t>ראיות לעונש</w:t>
      </w:r>
    </w:p>
    <w:p w14:paraId="368BBC65" w14:textId="77777777" w:rsidR="00547131" w:rsidRDefault="00547131">
      <w:pPr>
        <w:spacing w:line="360" w:lineRule="auto"/>
        <w:jc w:val="both"/>
        <w:rPr>
          <w:rtl/>
        </w:rPr>
      </w:pPr>
    </w:p>
    <w:p w14:paraId="29C73DBE" w14:textId="77777777" w:rsidR="00547131" w:rsidRDefault="004858E4">
      <w:pPr>
        <w:spacing w:line="360" w:lineRule="auto"/>
        <w:jc w:val="both"/>
        <w:rPr>
          <w:rtl/>
        </w:rPr>
      </w:pPr>
      <w:r>
        <w:rPr>
          <w:rFonts w:hint="cs"/>
          <w:rtl/>
        </w:rPr>
        <w:t>2.</w:t>
      </w:r>
      <w:r>
        <w:rPr>
          <w:rFonts w:hint="cs"/>
          <w:rtl/>
        </w:rPr>
        <w:tab/>
        <w:t>בשלב הראיות לעונש הציג התובע את תמונות המעבדה ואת תמונות ארונות החשמל (תע/1).</w:t>
      </w:r>
    </w:p>
    <w:p w14:paraId="5B986DB3" w14:textId="77777777" w:rsidR="00547131" w:rsidRDefault="00547131">
      <w:pPr>
        <w:spacing w:line="360" w:lineRule="auto"/>
        <w:jc w:val="both"/>
        <w:rPr>
          <w:rtl/>
        </w:rPr>
      </w:pPr>
    </w:p>
    <w:p w14:paraId="01B55767" w14:textId="77777777" w:rsidR="00547131" w:rsidRDefault="004858E4">
      <w:pPr>
        <w:spacing w:line="360" w:lineRule="auto"/>
        <w:jc w:val="both"/>
        <w:rPr>
          <w:rtl/>
        </w:rPr>
      </w:pPr>
      <w:r>
        <w:rPr>
          <w:rFonts w:hint="cs"/>
          <w:rtl/>
        </w:rPr>
        <w:t>3.</w:t>
      </w:r>
      <w:r>
        <w:rPr>
          <w:rFonts w:hint="cs"/>
          <w:rtl/>
        </w:rPr>
        <w:tab/>
        <w:t>ההגנה העידה לעניין העונש שתי עדות.</w:t>
      </w:r>
    </w:p>
    <w:p w14:paraId="24E6C90F" w14:textId="77777777" w:rsidR="00547131" w:rsidRDefault="00547131">
      <w:pPr>
        <w:spacing w:line="360" w:lineRule="auto"/>
        <w:jc w:val="both"/>
        <w:rPr>
          <w:rtl/>
        </w:rPr>
      </w:pPr>
    </w:p>
    <w:p w14:paraId="44BC1899" w14:textId="77777777" w:rsidR="00547131" w:rsidRDefault="004858E4">
      <w:pPr>
        <w:spacing w:line="360" w:lineRule="auto"/>
        <w:ind w:left="720"/>
        <w:jc w:val="both"/>
        <w:rPr>
          <w:rtl/>
        </w:rPr>
      </w:pPr>
      <w:r>
        <w:rPr>
          <w:rFonts w:hint="cs"/>
          <w:rtl/>
        </w:rPr>
        <w:t xml:space="preserve">העדה הראשונה היא הקרימינולוגית הקלינית, </w:t>
      </w:r>
      <w:r>
        <w:rPr>
          <w:rFonts w:hint="cs"/>
          <w:b/>
          <w:bCs/>
          <w:rtl/>
        </w:rPr>
        <w:t>גב' חיה היכל</w:t>
      </w:r>
      <w:r>
        <w:rPr>
          <w:rFonts w:hint="cs"/>
          <w:rtl/>
        </w:rPr>
        <w:t>, אשר הגישה אף חוות דעת מטעמה. גב' היכל נפגשה עם הנאשם ופירטה במסגרת חוות הדעת את נתוניו. הנאשם בן 36, רווק, הוריו התגרשו בהיותו בן 15, שאז חווה את משבר חייו הראשון. חוות הדעת כוללת התייחסות למשמעותו של אותו משבר על לימודיו של הנאשם, ונתונים אלה עולים אף מעדותה של בת דודתו, כפי שיפורט בהמשך. יצוין כי הנאשם סיים 14 שנות לימוד, שירת שירות צבאי מלא ביחידה קרבית, נפצע במהלך השירות, אולם המשיך לשרת אף בשירות מילואים. לאחר השירות הצבאי התחיל הנאשם בלימודי הנדסאות, לצד ביצוע עבודות סטודנטיאליות מזדמנות, אולם בשלב מסוים התקשר בשותפות עסקית אשר התפרקה והובילה להפסדים כספיים משמעותיים. באותה תקופה עבר הנאשם משבר נפשי נוסף, והחל לצרוך סם מסוכן מסוג קנבוס. בגיל 30 התנסה הנאשם, בחו"ל, בעישון קנבוס מסוג אחר, ועל פי חוות הדעת (הנשענת על דבריו), פיתח בו תלות. עובר למעצרו, עבד הנאשם במסעדה בתל אביב וניהל קשר זוגי אשר הופסק בהמשך, לאחר שהתבררו פרטים מסוימים אודות זוגתו. הנאשם החל לפתח את אותה מעבדה, תוך גניבת החשמל כמפורט בכתב האישום, ועל פי דבריו, מעצרו בחודש נובמבר 2012 הוביל לתחושת הקלה והנאשם חש כי כל העת היה מצוי במעגל של בריחה עצמית מבעיותיו, מהלך אשר הופסק על ידי המעצר. גב' היכל התרשמה כי הנאשם אדם נבון, בעל ערכים חיוביים, אך עצור ונוקשה במידה מסוימת. צוין כי הנאשם אדם חלש, אשר עבר משברים בחייו, והתבייש לבקש עזרה מקצועית מחשש שחולשתו תתגלה. אותו משבר אישי ראשון קשור לגירושיו של הוריו, בהמשך לפציעתו בשירות הצבאי ולחוויות שעבר במסגרתו, ולאחר מכן המשבר שהיה כרוך בפרידה מזוגתו. גב' היכל סברה כי הנאשם זקוק לעזרה טיפולית מקצועית, ועל הענישה ליתן דגש להיבט השיקומי.</w:t>
      </w:r>
    </w:p>
    <w:p w14:paraId="7F086F62" w14:textId="77777777" w:rsidR="00547131" w:rsidRDefault="00547131">
      <w:pPr>
        <w:spacing w:line="360" w:lineRule="auto"/>
        <w:jc w:val="both"/>
        <w:rPr>
          <w:rtl/>
        </w:rPr>
      </w:pPr>
    </w:p>
    <w:p w14:paraId="01A5FF96" w14:textId="77777777" w:rsidR="00547131" w:rsidRDefault="004858E4">
      <w:pPr>
        <w:spacing w:line="360" w:lineRule="auto"/>
        <w:ind w:left="720"/>
        <w:jc w:val="both"/>
        <w:rPr>
          <w:rtl/>
        </w:rPr>
      </w:pPr>
      <w:r>
        <w:rPr>
          <w:rFonts w:hint="cs"/>
          <w:rtl/>
        </w:rPr>
        <w:t xml:space="preserve">העדות הנוספת שנשמעה היא עדותה של </w:t>
      </w:r>
      <w:r>
        <w:rPr>
          <w:rFonts w:hint="cs"/>
          <w:b/>
          <w:bCs/>
          <w:rtl/>
        </w:rPr>
        <w:t>ד"ר מנדיל לוין</w:t>
      </w:r>
      <w:r>
        <w:rPr>
          <w:rFonts w:hint="cs"/>
          <w:rtl/>
        </w:rPr>
        <w:t>, בת דודתו של הנאשם. העדה תיארה כי גדלה ביחד עם הנאשם אצל סבתם המשותפת, והיא מצויה בקשר קרוב עם הנאשם, הדומה לקשר בין אחים. העדה תיארה את אופיו הטוב של הנאשם, את ערכיו החיוביים, את רצונו להצליח ואת המשברים אשר עבר. וכך, לדוגמה, ציינה העדה: "</w:t>
      </w:r>
      <w:r>
        <w:rPr>
          <w:rFonts w:hint="cs"/>
          <w:b/>
          <w:bCs/>
          <w:rtl/>
        </w:rPr>
        <w:t>הוא אדם נדיר מבחינת הטוב לב שלו. כשהיה צעיר הוא היה בהודו, בכפר שנשרף, והסתובב שם וטיפל באנשים. מדובר פה באמת באדם נדיר. לראות את רונן בכלא זה פשוט לא יאומן, זה הזוי. הוא כל יום מדבר איתי וכל יום מביע חרטה פשוט עצומה על כל העניין</w:t>
      </w:r>
      <w:r>
        <w:rPr>
          <w:rFonts w:hint="cs"/>
          <w:rtl/>
        </w:rPr>
        <w:t>". העדה תיארה תחושת האשמה שהיא מנת חלקה של בני המשפחה על כי לא הבחינו במשבר שפקד את הנאשם באותה תקופה, והיא הבטיחה כי לאחר שחרורו מהמאסר, תסייע המשפחה ככל הנדרש בשיקומו.</w:t>
      </w:r>
    </w:p>
    <w:p w14:paraId="584AD011" w14:textId="77777777" w:rsidR="00547131" w:rsidRDefault="00547131">
      <w:pPr>
        <w:spacing w:line="360" w:lineRule="auto"/>
        <w:ind w:left="720"/>
        <w:jc w:val="both"/>
        <w:rPr>
          <w:rtl/>
        </w:rPr>
      </w:pPr>
    </w:p>
    <w:p w14:paraId="491D0D52" w14:textId="77777777" w:rsidR="00547131" w:rsidRDefault="004858E4">
      <w:pPr>
        <w:spacing w:line="360" w:lineRule="auto"/>
        <w:ind w:left="720"/>
        <w:jc w:val="both"/>
        <w:rPr>
          <w:u w:val="single"/>
          <w:rtl/>
        </w:rPr>
      </w:pPr>
      <w:r>
        <w:rPr>
          <w:rFonts w:hint="cs"/>
          <w:u w:val="single"/>
          <w:rtl/>
        </w:rPr>
        <w:t>תסקיר שירות המבחן</w:t>
      </w:r>
    </w:p>
    <w:p w14:paraId="7A94CC5E" w14:textId="77777777" w:rsidR="00547131" w:rsidRDefault="00547131">
      <w:pPr>
        <w:spacing w:line="360" w:lineRule="auto"/>
        <w:jc w:val="both"/>
        <w:rPr>
          <w:rtl/>
        </w:rPr>
      </w:pPr>
    </w:p>
    <w:p w14:paraId="39711A39" w14:textId="77777777" w:rsidR="00547131" w:rsidRDefault="004858E4">
      <w:pPr>
        <w:spacing w:line="360" w:lineRule="auto"/>
        <w:ind w:left="720" w:hanging="720"/>
        <w:jc w:val="both"/>
        <w:rPr>
          <w:rtl/>
        </w:rPr>
      </w:pPr>
      <w:r>
        <w:rPr>
          <w:rFonts w:hint="cs"/>
          <w:rtl/>
        </w:rPr>
        <w:t>4.</w:t>
      </w:r>
      <w:r>
        <w:rPr>
          <w:rFonts w:hint="cs"/>
          <w:rtl/>
        </w:rPr>
        <w:tab/>
        <w:t xml:space="preserve">תסקיר שירות המבחן כולל התייחסות לאותם נתונים אישיים אשר פורטו לעיל (במסגרת התייחסותי לעדותה של גב' היכל). שירות המבחן התרשם כי הנאשם הוא אדם בעל יכולות קוגניטיביות גבוהות, אשר ניהל אורח חיים מתפקד כלפי חוץ, אך מתחת לפני השטח סובל מבעיות רגשיות אשר לא זכו להתייחסות טיפולית. להערכת שירות המבחן, הנאשם חווה במהלך השנים מספר חוויות נטישה, תחילה כשאביו עזב, ובהמשך בעקבות יחסים זוגיים ועסקיים לא מוצלחים. חוויות אלו חיזקו קושי במתן אמון, וקושי זה הוביל את הנאשם לנסות להתמודד עם קשייו ללא יכולת לבקש עזרה. הנאשם מחצין תחושות ביטחון וכוח כלפי הסביבה, אך זאת אך ורק כדי לפצות על </w:t>
      </w:r>
      <w:r>
        <w:rPr>
          <w:rFonts w:hint="cs"/>
          <w:rtl/>
        </w:rPr>
        <w:lastRenderedPageBreak/>
        <w:t>תחושות ריקנות וחוסר ביטחון. שירות המבחן ציין כי להערכתו, מעצרו של הנאשם הציב עבורו גבולות, וכי הנאשם מבין את הפסול בהתנהלותו ואת הצורך בהשבת חובו לחברה. שירות המבחן העריך, גם נוכח העובדה כי הנאשם עצור עד תום ההליכים, כי הנאשם צפוי לעונש מאסר בפועל, ועל כן המליץ כי הנאשם ישתלב בהליך טיפולי בין כותלי בית המאסר, ואף יעבור אבחון פסיכיאטרי על מנת לספק מענה לקשייו שתוארו לעיל.</w:t>
      </w:r>
    </w:p>
    <w:p w14:paraId="4307E216" w14:textId="77777777" w:rsidR="00547131" w:rsidRDefault="00547131">
      <w:pPr>
        <w:spacing w:line="360" w:lineRule="auto"/>
        <w:jc w:val="both"/>
        <w:rPr>
          <w:rtl/>
        </w:rPr>
      </w:pPr>
    </w:p>
    <w:p w14:paraId="2079369E" w14:textId="77777777" w:rsidR="00547131" w:rsidRDefault="004858E4">
      <w:pPr>
        <w:spacing w:line="360" w:lineRule="auto"/>
        <w:ind w:firstLine="720"/>
        <w:jc w:val="both"/>
        <w:rPr>
          <w:u w:val="single"/>
          <w:rtl/>
        </w:rPr>
      </w:pPr>
      <w:r>
        <w:rPr>
          <w:rFonts w:hint="cs"/>
          <w:u w:val="single"/>
          <w:rtl/>
        </w:rPr>
        <w:t>טיעוני הצדדים</w:t>
      </w:r>
    </w:p>
    <w:p w14:paraId="65310FF5" w14:textId="77777777" w:rsidR="00547131" w:rsidRDefault="00547131">
      <w:pPr>
        <w:spacing w:line="360" w:lineRule="auto"/>
        <w:jc w:val="both"/>
        <w:rPr>
          <w:rtl/>
        </w:rPr>
      </w:pPr>
    </w:p>
    <w:p w14:paraId="263E0B90" w14:textId="77777777" w:rsidR="00547131" w:rsidRDefault="004858E4">
      <w:pPr>
        <w:spacing w:line="360" w:lineRule="auto"/>
        <w:ind w:left="720" w:hanging="720"/>
        <w:jc w:val="both"/>
        <w:rPr>
          <w:rtl/>
        </w:rPr>
      </w:pPr>
      <w:r>
        <w:rPr>
          <w:rFonts w:hint="cs"/>
          <w:rtl/>
        </w:rPr>
        <w:t>5.</w:t>
      </w:r>
      <w:r>
        <w:rPr>
          <w:rFonts w:hint="cs"/>
          <w:rtl/>
        </w:rPr>
        <w:tab/>
        <w:t xml:space="preserve">התביעה עתרה להשתת עונש מאסר ממושך על הנאשם, וזאת לצד רכיבי ענישה נוספים, באופן אשר ייתן ביטוי לחומרת המעשים, הן אלה הקשורים לתחום הסמים והן אלה הממוקדים בפגיעה הכלכלית (גניבת החשמל). התובע התייחס למשקל הסם, לשווי הציוד (60,000 ש"ח) ולפוטנציאל המסחרי של הסמים. לשיטת התובע, מתחם העונש ההולם צריך לנוע בין שלוש שנות מאסר ברף התחתון לחמש שנות מאסר ברף העליון. </w:t>
      </w:r>
    </w:p>
    <w:p w14:paraId="354E59D2" w14:textId="77777777" w:rsidR="00547131" w:rsidRDefault="00547131">
      <w:pPr>
        <w:spacing w:line="360" w:lineRule="auto"/>
        <w:jc w:val="both"/>
        <w:rPr>
          <w:rtl/>
        </w:rPr>
      </w:pPr>
    </w:p>
    <w:p w14:paraId="19D8A435" w14:textId="77777777" w:rsidR="00547131" w:rsidRDefault="004858E4">
      <w:pPr>
        <w:spacing w:line="360" w:lineRule="auto"/>
        <w:ind w:left="720"/>
        <w:jc w:val="both"/>
        <w:rPr>
          <w:rtl/>
        </w:rPr>
      </w:pPr>
      <w:r>
        <w:rPr>
          <w:rFonts w:hint="cs"/>
          <w:rtl/>
        </w:rPr>
        <w:t>הסנגור, עו"ד זילברברג, סבר כי יש מקום להשית על הנאשם עונש מתון בלבד, המשקף תקופה הדומה או הקרובה לתקופת מעצרו. הסנגור הפנה לעובדה כי אין לחובת הנאשם הרשעות פליליות, להודאתו, לסיכויי שיקומו הטובים, לתמיכה המשפחתית לה הוא זוכה ולפגיעה במשפחתו נוכח מעצרו. בהתייחס לפסיקה הנוהגת, הגיש הסנגור אסופה של פסקי דין בנסיבות דומות (יותר או פחות), אשר משקפים ענישה ממוצעת של מספר חודשי מאסר, לעיתים אף לריצוי בדרך של עבודות שירות.</w:t>
      </w:r>
    </w:p>
    <w:p w14:paraId="272053B5" w14:textId="77777777" w:rsidR="00547131" w:rsidRDefault="00547131">
      <w:pPr>
        <w:spacing w:line="360" w:lineRule="auto"/>
        <w:jc w:val="both"/>
        <w:rPr>
          <w:rtl/>
        </w:rPr>
      </w:pPr>
    </w:p>
    <w:p w14:paraId="1E38010D" w14:textId="77777777" w:rsidR="00547131" w:rsidRDefault="004858E4">
      <w:pPr>
        <w:spacing w:line="360" w:lineRule="auto"/>
        <w:ind w:firstLine="720"/>
        <w:jc w:val="both"/>
        <w:rPr>
          <w:u w:val="single"/>
          <w:rtl/>
        </w:rPr>
      </w:pPr>
      <w:r>
        <w:rPr>
          <w:rFonts w:hint="cs"/>
          <w:u w:val="single"/>
          <w:rtl/>
        </w:rPr>
        <w:t>דיון והכרעה</w:t>
      </w:r>
    </w:p>
    <w:p w14:paraId="658D0F56" w14:textId="77777777" w:rsidR="00547131" w:rsidRDefault="00547131">
      <w:pPr>
        <w:spacing w:line="360" w:lineRule="auto"/>
        <w:ind w:firstLine="720"/>
        <w:jc w:val="both"/>
        <w:rPr>
          <w:u w:val="single"/>
          <w:rtl/>
        </w:rPr>
      </w:pPr>
    </w:p>
    <w:p w14:paraId="6F92383F" w14:textId="77777777" w:rsidR="00547131" w:rsidRDefault="004858E4">
      <w:pPr>
        <w:spacing w:line="360" w:lineRule="auto"/>
        <w:ind w:firstLine="720"/>
        <w:jc w:val="both"/>
        <w:rPr>
          <w:u w:val="single"/>
          <w:rtl/>
        </w:rPr>
      </w:pPr>
      <w:r>
        <w:rPr>
          <w:rFonts w:hint="cs"/>
          <w:u w:val="single"/>
          <w:rtl/>
        </w:rPr>
        <w:t>קביעת מתחם העונש ההולם</w:t>
      </w:r>
    </w:p>
    <w:p w14:paraId="5784B934" w14:textId="77777777" w:rsidR="00547131" w:rsidRDefault="00547131">
      <w:pPr>
        <w:spacing w:line="360" w:lineRule="auto"/>
        <w:jc w:val="both"/>
        <w:rPr>
          <w:rtl/>
        </w:rPr>
      </w:pPr>
    </w:p>
    <w:p w14:paraId="19C1E486" w14:textId="77777777" w:rsidR="00547131" w:rsidRDefault="004858E4">
      <w:pPr>
        <w:spacing w:line="360" w:lineRule="auto"/>
        <w:ind w:left="720" w:hanging="720"/>
        <w:jc w:val="both"/>
        <w:rPr>
          <w:rtl/>
        </w:rPr>
      </w:pPr>
      <w:r>
        <w:rPr>
          <w:rFonts w:hint="cs"/>
          <w:rtl/>
        </w:rPr>
        <w:t>6.</w:t>
      </w:r>
      <w:r>
        <w:rPr>
          <w:rFonts w:hint="cs"/>
          <w:rtl/>
        </w:rPr>
        <w:tab/>
        <w:t>מתחם העונש ההולם בענייננו צריך ליתן ביטוי לערכים המוגנים שנפגעו, ובהקשר זה חשוב לזכור כי הפגיעה החברתית הקשורה לעבירות סמים אינה בהכרח קשורה לעבריין הסמים בלבד, אלא בעלת משמעות היקפית. כאשר עסקינן בכמות כה נכבדה של סמים (ואני ער לפער המשמעותי בין משקל השתילים לבין כמות הסם אותה בסופו של יום ניתן לצרוך או למכור) יש לדברים משמעות לעניין קביעת המתחם. גם אופיה המקצועי של המעבדה הוא נתון רלוונטי, ואין ספק כי במקרה דנן הצליח הנאשם לממש את "פוטנציאל" המעבדה באופן מרשים.</w:t>
      </w:r>
    </w:p>
    <w:p w14:paraId="3E6899FC" w14:textId="77777777" w:rsidR="00547131" w:rsidRDefault="00547131">
      <w:pPr>
        <w:spacing w:line="360" w:lineRule="auto"/>
        <w:ind w:left="720" w:hanging="720"/>
        <w:jc w:val="both"/>
        <w:rPr>
          <w:rtl/>
        </w:rPr>
      </w:pPr>
    </w:p>
    <w:p w14:paraId="4DE81FF4" w14:textId="77777777" w:rsidR="00547131" w:rsidRDefault="004858E4">
      <w:pPr>
        <w:spacing w:line="360" w:lineRule="auto"/>
        <w:ind w:left="720"/>
        <w:jc w:val="both"/>
        <w:rPr>
          <w:rtl/>
        </w:rPr>
      </w:pPr>
      <w:r>
        <w:rPr>
          <w:rFonts w:hint="cs"/>
          <w:rtl/>
        </w:rPr>
        <w:t xml:space="preserve">על פי </w:t>
      </w:r>
      <w:hyperlink r:id="rId8" w:history="1">
        <w:r w:rsidR="00C60CFE" w:rsidRPr="00C60CFE">
          <w:rPr>
            <w:rStyle w:val="Hyperlink"/>
            <w:rFonts w:hint="eastAsia"/>
            <w:rtl/>
          </w:rPr>
          <w:t>סעיף</w:t>
        </w:r>
        <w:r w:rsidR="00C60CFE" w:rsidRPr="00C60CFE">
          <w:rPr>
            <w:rStyle w:val="Hyperlink"/>
            <w:rtl/>
          </w:rPr>
          <w:t xml:space="preserve"> 40</w:t>
        </w:r>
        <w:r w:rsidR="00C60CFE" w:rsidRPr="00C60CFE">
          <w:rPr>
            <w:rStyle w:val="Hyperlink"/>
            <w:rFonts w:hint="eastAsia"/>
            <w:rtl/>
          </w:rPr>
          <w:t>ט</w:t>
        </w:r>
      </w:hyperlink>
      <w:r>
        <w:rPr>
          <w:rFonts w:hint="cs"/>
          <w:rtl/>
        </w:rPr>
        <w:t xml:space="preserve"> ל</w:t>
      </w:r>
      <w:hyperlink r:id="rId9" w:history="1">
        <w:r w:rsidR="008D6BCD" w:rsidRPr="008D6BCD">
          <w:rPr>
            <w:rStyle w:val="Hyperlink"/>
            <w:rFonts w:hint="eastAsia"/>
            <w:rtl/>
          </w:rPr>
          <w:t>חוק</w:t>
        </w:r>
        <w:r w:rsidR="008D6BCD" w:rsidRPr="008D6BCD">
          <w:rPr>
            <w:rStyle w:val="Hyperlink"/>
            <w:rtl/>
          </w:rPr>
          <w:t xml:space="preserve"> </w:t>
        </w:r>
        <w:r w:rsidR="008D6BCD" w:rsidRPr="008D6BCD">
          <w:rPr>
            <w:rStyle w:val="Hyperlink"/>
            <w:rFonts w:hint="eastAsia"/>
            <w:rtl/>
          </w:rPr>
          <w:t>העונשין</w:t>
        </w:r>
      </w:hyperlink>
      <w:r>
        <w:rPr>
          <w:rFonts w:hint="cs"/>
          <w:rtl/>
        </w:rPr>
        <w:t>, בקביעת מתחם העונש ההולם יש לשקול הן את התכנון שקדם לביצוע העבירה (ובענייננו מדובר ברמת תכנון גבוהה) והן את הנזק שצפוי היה להיגרם מביצוע העבירה (ובענייננו מדובר בנזק לא מבוטל).</w:t>
      </w:r>
    </w:p>
    <w:p w14:paraId="5D1EB173" w14:textId="77777777" w:rsidR="00547131" w:rsidRDefault="00547131">
      <w:pPr>
        <w:spacing w:line="360" w:lineRule="auto"/>
        <w:ind w:left="720"/>
        <w:jc w:val="both"/>
        <w:rPr>
          <w:rtl/>
        </w:rPr>
      </w:pPr>
    </w:p>
    <w:p w14:paraId="7D8A727F" w14:textId="77777777" w:rsidR="00547131" w:rsidRDefault="004858E4">
      <w:pPr>
        <w:spacing w:line="360" w:lineRule="auto"/>
        <w:ind w:left="720"/>
        <w:jc w:val="both"/>
        <w:rPr>
          <w:rtl/>
        </w:rPr>
      </w:pPr>
      <w:r>
        <w:rPr>
          <w:rFonts w:hint="cs"/>
          <w:rtl/>
        </w:rPr>
        <w:t>בקביעת המתחם במקרה דנן, יש ליתן ביטוי אף לאותם ערכים ממוניים הקשורים לנטילת החשמל בעבירה, וכן להיקף הנזק שגרמה פעילותו של הנאשם לחברת החשמל.</w:t>
      </w:r>
    </w:p>
    <w:p w14:paraId="43577DA7" w14:textId="77777777" w:rsidR="00547131" w:rsidRDefault="00547131">
      <w:pPr>
        <w:spacing w:line="360" w:lineRule="auto"/>
        <w:jc w:val="both"/>
        <w:rPr>
          <w:rtl/>
        </w:rPr>
      </w:pPr>
    </w:p>
    <w:p w14:paraId="0E7C51E7" w14:textId="77777777" w:rsidR="00547131" w:rsidRDefault="004858E4">
      <w:pPr>
        <w:spacing w:line="360" w:lineRule="auto"/>
        <w:ind w:left="720" w:hanging="720"/>
        <w:jc w:val="both"/>
        <w:rPr>
          <w:rtl/>
        </w:rPr>
      </w:pPr>
      <w:r>
        <w:rPr>
          <w:rFonts w:hint="cs"/>
          <w:rtl/>
        </w:rPr>
        <w:t>7.</w:t>
      </w:r>
      <w:r>
        <w:rPr>
          <w:rFonts w:hint="cs"/>
          <w:rtl/>
        </w:rPr>
        <w:tab/>
        <w:t xml:space="preserve">לצד הנתונים האמורים לעיל, הקשורים למידת הפגיעה בערכים המוגנים ולנסיבות הקשורות בביצוע העבירה, על המתחם לשקלל גם את מדיניות הענישה הנהוגה. בהקשר זה, ואומר בזהירות, לא ירדתי לסוף דעתה של התביעה באשר לסיבות בגינן סברה כי מתחם הענישה צריך לנוע בין שלוש שנות מאסר לחמש שנות מאסר, וזאת בהיעדר יכולת להצביע על עונשים המתקרבים, ולו לרף התחתון של המתחם לו עתרה. התביעה לא הציגה פסיקה כלשהי, ואף מדברי התובע עלה כי הפסיקה שהצליח לאתר (ולא הוגשה) שיקפה מקרים בהם הוטלו על נאשמים בנסיבות דומות עונשים של 12-15 חודשי מאסר. </w:t>
      </w:r>
    </w:p>
    <w:p w14:paraId="525EC36A" w14:textId="77777777" w:rsidR="00547131" w:rsidRDefault="00547131">
      <w:pPr>
        <w:spacing w:line="360" w:lineRule="auto"/>
        <w:ind w:left="720" w:hanging="720"/>
        <w:jc w:val="both"/>
        <w:rPr>
          <w:rtl/>
        </w:rPr>
      </w:pPr>
    </w:p>
    <w:p w14:paraId="187B91B3" w14:textId="77777777" w:rsidR="00547131" w:rsidRDefault="004858E4">
      <w:pPr>
        <w:spacing w:line="360" w:lineRule="auto"/>
        <w:ind w:left="720"/>
        <w:jc w:val="both"/>
        <w:rPr>
          <w:rtl/>
        </w:rPr>
      </w:pPr>
      <w:r>
        <w:rPr>
          <w:rFonts w:hint="cs"/>
          <w:rtl/>
        </w:rPr>
        <w:t>גם מעיון באסופת הפסיקה שהגיש הסנגור, ומעיון בפסקי דין נוספים, עולה כי בתי המשפט השיתו עונשים מוחשיים על נאשמים בנסיבות דומות, אולם עונשים אלה היו רחוקים מרחק ניכר מהרף התחתון של המתחם אליו כיוונה התביעה את טיעוניה.</w:t>
      </w:r>
    </w:p>
    <w:p w14:paraId="579151D9" w14:textId="77777777" w:rsidR="00547131" w:rsidRDefault="00547131">
      <w:pPr>
        <w:spacing w:line="360" w:lineRule="auto"/>
        <w:ind w:left="720"/>
        <w:jc w:val="both"/>
        <w:rPr>
          <w:rtl/>
        </w:rPr>
      </w:pPr>
    </w:p>
    <w:p w14:paraId="7CFDD928" w14:textId="77777777" w:rsidR="00547131" w:rsidRDefault="00547131">
      <w:pPr>
        <w:spacing w:line="360" w:lineRule="auto"/>
        <w:jc w:val="both"/>
        <w:rPr>
          <w:rtl/>
        </w:rPr>
      </w:pPr>
    </w:p>
    <w:p w14:paraId="3180BFE1" w14:textId="77777777" w:rsidR="00547131" w:rsidRDefault="004858E4">
      <w:pPr>
        <w:spacing w:line="360" w:lineRule="auto"/>
        <w:ind w:firstLine="720"/>
        <w:jc w:val="both"/>
        <w:rPr>
          <w:rtl/>
        </w:rPr>
      </w:pPr>
      <w:r>
        <w:rPr>
          <w:rFonts w:hint="cs"/>
          <w:rtl/>
        </w:rPr>
        <w:t>להלן מספר דוגמאות:</w:t>
      </w:r>
    </w:p>
    <w:p w14:paraId="334DE764" w14:textId="77777777" w:rsidR="00547131" w:rsidRDefault="00547131">
      <w:pPr>
        <w:spacing w:line="360" w:lineRule="auto"/>
        <w:jc w:val="both"/>
        <w:rPr>
          <w:rtl/>
        </w:rPr>
      </w:pPr>
    </w:p>
    <w:p w14:paraId="4EB2BA33" w14:textId="77777777" w:rsidR="00547131" w:rsidRDefault="008D6BCD">
      <w:pPr>
        <w:spacing w:line="360" w:lineRule="auto"/>
        <w:ind w:left="720"/>
        <w:jc w:val="both"/>
        <w:rPr>
          <w:rtl/>
        </w:rPr>
      </w:pPr>
      <w:hyperlink r:id="rId10" w:history="1">
        <w:r w:rsidRPr="008D6BCD">
          <w:rPr>
            <w:rStyle w:val="Hyperlink"/>
            <w:rFonts w:hint="eastAsia"/>
            <w:rtl/>
          </w:rPr>
          <w:t>ת</w:t>
        </w:r>
        <w:r w:rsidRPr="008D6BCD">
          <w:rPr>
            <w:rStyle w:val="Hyperlink"/>
            <w:rtl/>
          </w:rPr>
          <w:t>"</w:t>
        </w:r>
        <w:r w:rsidRPr="008D6BCD">
          <w:rPr>
            <w:rStyle w:val="Hyperlink"/>
            <w:rFonts w:hint="eastAsia"/>
            <w:rtl/>
          </w:rPr>
          <w:t>פ</w:t>
        </w:r>
        <w:r w:rsidRPr="008D6BCD">
          <w:rPr>
            <w:rStyle w:val="Hyperlink"/>
            <w:rtl/>
          </w:rPr>
          <w:t xml:space="preserve"> (</w:t>
        </w:r>
        <w:r w:rsidRPr="008D6BCD">
          <w:rPr>
            <w:rStyle w:val="Hyperlink"/>
            <w:rFonts w:hint="eastAsia"/>
            <w:rtl/>
          </w:rPr>
          <w:t>מרכז</w:t>
        </w:r>
        <w:r w:rsidRPr="008D6BCD">
          <w:rPr>
            <w:rStyle w:val="Hyperlink"/>
            <w:rtl/>
          </w:rPr>
          <w:t>) 2456-07-10</w:t>
        </w:r>
      </w:hyperlink>
      <w:r w:rsidR="004858E4">
        <w:rPr>
          <w:rFonts w:hint="cs"/>
          <w:rtl/>
        </w:rPr>
        <w:t xml:space="preserve"> </w:t>
      </w:r>
      <w:r w:rsidR="004858E4">
        <w:rPr>
          <w:rFonts w:hint="cs"/>
          <w:b/>
          <w:bCs/>
          <w:rtl/>
        </w:rPr>
        <w:t>מדינת ישראל נ' תבל</w:t>
      </w:r>
      <w:r w:rsidR="004858E4">
        <w:rPr>
          <w:rFonts w:hint="cs"/>
          <w:rtl/>
        </w:rPr>
        <w:t xml:space="preserve"> ואח' (8.5.2011), שם הטיל בית המשפט המחוזי מרכז 8 חודשי מאסר, על נאשם אשר הורשע בניהול מעבדת סמים, במסגרתה החזיק כ-8.9 ק"ג קנבוס וכן ציוד רב ומתוחכם;</w:t>
      </w:r>
    </w:p>
    <w:p w14:paraId="399E0C52" w14:textId="77777777" w:rsidR="00547131" w:rsidRDefault="00547131">
      <w:pPr>
        <w:spacing w:line="360" w:lineRule="auto"/>
        <w:jc w:val="both"/>
        <w:rPr>
          <w:rtl/>
        </w:rPr>
      </w:pPr>
    </w:p>
    <w:p w14:paraId="7F4B7ECD" w14:textId="77777777" w:rsidR="00547131" w:rsidRDefault="008D6BCD">
      <w:pPr>
        <w:spacing w:line="360" w:lineRule="auto"/>
        <w:ind w:left="720"/>
        <w:jc w:val="both"/>
        <w:rPr>
          <w:rtl/>
        </w:rPr>
      </w:pPr>
      <w:hyperlink r:id="rId11" w:history="1">
        <w:r w:rsidRPr="008D6BCD">
          <w:rPr>
            <w:rStyle w:val="Hyperlink"/>
            <w:rFonts w:hint="eastAsia"/>
            <w:rtl/>
          </w:rPr>
          <w:t>ע</w:t>
        </w:r>
        <w:r w:rsidRPr="008D6BCD">
          <w:rPr>
            <w:rStyle w:val="Hyperlink"/>
            <w:rtl/>
          </w:rPr>
          <w:t>"</w:t>
        </w:r>
        <w:r w:rsidRPr="008D6BCD">
          <w:rPr>
            <w:rStyle w:val="Hyperlink"/>
            <w:rFonts w:hint="eastAsia"/>
            <w:rtl/>
          </w:rPr>
          <w:t>פ</w:t>
        </w:r>
        <w:r w:rsidRPr="008D6BCD">
          <w:rPr>
            <w:rStyle w:val="Hyperlink"/>
            <w:rtl/>
          </w:rPr>
          <w:t xml:space="preserve"> (</w:t>
        </w:r>
        <w:r w:rsidRPr="008D6BCD">
          <w:rPr>
            <w:rStyle w:val="Hyperlink"/>
            <w:rFonts w:hint="eastAsia"/>
            <w:rtl/>
          </w:rPr>
          <w:t>נצרת</w:t>
        </w:r>
        <w:r w:rsidRPr="008D6BCD">
          <w:rPr>
            <w:rStyle w:val="Hyperlink"/>
            <w:rtl/>
          </w:rPr>
          <w:t>) 1370/05</w:t>
        </w:r>
      </w:hyperlink>
      <w:r w:rsidR="004858E4">
        <w:rPr>
          <w:rFonts w:hint="cs"/>
          <w:rtl/>
        </w:rPr>
        <w:t xml:space="preserve"> </w:t>
      </w:r>
      <w:r w:rsidR="004858E4">
        <w:rPr>
          <w:rFonts w:hint="cs"/>
          <w:b/>
          <w:bCs/>
          <w:rtl/>
        </w:rPr>
        <w:t>שינגאמונג נ' מדינת ישראל</w:t>
      </w:r>
      <w:r w:rsidR="004858E4">
        <w:rPr>
          <w:rFonts w:hint="cs"/>
          <w:rtl/>
        </w:rPr>
        <w:t xml:space="preserve"> (28.2.2006), </w:t>
      </w:r>
      <w:r w:rsidR="004858E4">
        <w:rPr>
          <w:rFonts w:hint="cs"/>
          <w:u w:val="single"/>
          <w:rtl/>
        </w:rPr>
        <w:t>שם דובר על ניהול מעבדה בדירת מגורים ובהחזקת 100 שתילי סם במשקל של 6.5 ק"ג. יתרה מכך, באותו מקרה הורשע אחד משלושת הנאשמים גם בביצוע 10 מכירות שונות של סם מסוכן מסוג קנבוס</w:t>
      </w:r>
      <w:r w:rsidR="004858E4">
        <w:rPr>
          <w:rFonts w:hint="cs"/>
          <w:rtl/>
        </w:rPr>
        <w:t xml:space="preserve">. בית המשפט המחוזי בנצרת גזר על נאשמים 1 ו-3, שהורשעו בניהול המעבדה והחזקת הסם, </w:t>
      </w:r>
      <w:r w:rsidR="004858E4">
        <w:rPr>
          <w:rFonts w:hint="cs"/>
          <w:u w:val="single"/>
          <w:rtl/>
        </w:rPr>
        <w:t>8 חודשי מאסר</w:t>
      </w:r>
      <w:r w:rsidR="004858E4">
        <w:rPr>
          <w:rFonts w:hint="cs"/>
          <w:rtl/>
        </w:rPr>
        <w:t xml:space="preserve">, ואילו על נאשם 2, שהורשע גם בניהול המעבדה והחזקת הסם וגם בעבירות סחר בסם, </w:t>
      </w:r>
      <w:r w:rsidR="004858E4">
        <w:rPr>
          <w:rFonts w:hint="cs"/>
          <w:u w:val="single"/>
          <w:rtl/>
        </w:rPr>
        <w:t>10 חודשי מאסר</w:t>
      </w:r>
      <w:r w:rsidR="004858E4">
        <w:rPr>
          <w:rFonts w:hint="cs"/>
          <w:rtl/>
        </w:rPr>
        <w:t xml:space="preserve">; </w:t>
      </w:r>
    </w:p>
    <w:p w14:paraId="0E4C7696" w14:textId="77777777" w:rsidR="00547131" w:rsidRDefault="00547131">
      <w:pPr>
        <w:spacing w:line="360" w:lineRule="auto"/>
        <w:jc w:val="both"/>
        <w:rPr>
          <w:rtl/>
        </w:rPr>
      </w:pPr>
    </w:p>
    <w:p w14:paraId="266E1290" w14:textId="77777777" w:rsidR="00547131" w:rsidRDefault="008D6BCD">
      <w:pPr>
        <w:spacing w:line="360" w:lineRule="auto"/>
        <w:ind w:left="720"/>
        <w:jc w:val="both"/>
        <w:rPr>
          <w:rtl/>
        </w:rPr>
      </w:pPr>
      <w:hyperlink r:id="rId12" w:history="1">
        <w:r w:rsidRPr="008D6BCD">
          <w:rPr>
            <w:rStyle w:val="Hyperlink"/>
            <w:rFonts w:hint="eastAsia"/>
            <w:rtl/>
          </w:rPr>
          <w:t>עפ</w:t>
        </w:r>
        <w:r w:rsidRPr="008D6BCD">
          <w:rPr>
            <w:rStyle w:val="Hyperlink"/>
            <w:rtl/>
          </w:rPr>
          <w:t>"</w:t>
        </w:r>
        <w:r w:rsidRPr="008D6BCD">
          <w:rPr>
            <w:rStyle w:val="Hyperlink"/>
            <w:rFonts w:hint="eastAsia"/>
            <w:rtl/>
          </w:rPr>
          <w:t>ג</w:t>
        </w:r>
        <w:r w:rsidRPr="008D6BCD">
          <w:rPr>
            <w:rStyle w:val="Hyperlink"/>
            <w:rtl/>
          </w:rPr>
          <w:t xml:space="preserve"> (</w:t>
        </w:r>
        <w:r w:rsidRPr="008D6BCD">
          <w:rPr>
            <w:rStyle w:val="Hyperlink"/>
            <w:rFonts w:hint="eastAsia"/>
            <w:rtl/>
          </w:rPr>
          <w:t>תל</w:t>
        </w:r>
        <w:r w:rsidRPr="008D6BCD">
          <w:rPr>
            <w:rStyle w:val="Hyperlink"/>
            <w:rtl/>
          </w:rPr>
          <w:t>-</w:t>
        </w:r>
        <w:r w:rsidRPr="008D6BCD">
          <w:rPr>
            <w:rStyle w:val="Hyperlink"/>
            <w:rFonts w:hint="eastAsia"/>
            <w:rtl/>
          </w:rPr>
          <w:t>אביב</w:t>
        </w:r>
        <w:r w:rsidRPr="008D6BCD">
          <w:rPr>
            <w:rStyle w:val="Hyperlink"/>
            <w:rtl/>
          </w:rPr>
          <w:t>-</w:t>
        </w:r>
        <w:r w:rsidRPr="008D6BCD">
          <w:rPr>
            <w:rStyle w:val="Hyperlink"/>
            <w:rFonts w:hint="eastAsia"/>
            <w:rtl/>
          </w:rPr>
          <w:t>יפו</w:t>
        </w:r>
        <w:r w:rsidRPr="008D6BCD">
          <w:rPr>
            <w:rStyle w:val="Hyperlink"/>
            <w:rtl/>
          </w:rPr>
          <w:t>) 17155-07-10</w:t>
        </w:r>
      </w:hyperlink>
      <w:r w:rsidR="004858E4">
        <w:rPr>
          <w:rtl/>
        </w:rPr>
        <w:t xml:space="preserve"> </w:t>
      </w:r>
      <w:r w:rsidR="004858E4">
        <w:rPr>
          <w:rFonts w:hint="eastAsia"/>
          <w:b/>
          <w:bCs/>
          <w:rtl/>
        </w:rPr>
        <w:t>מדינת</w:t>
      </w:r>
      <w:r w:rsidR="004858E4">
        <w:rPr>
          <w:b/>
          <w:bCs/>
          <w:rtl/>
        </w:rPr>
        <w:t xml:space="preserve"> </w:t>
      </w:r>
      <w:r w:rsidR="004858E4">
        <w:rPr>
          <w:rFonts w:hint="eastAsia"/>
          <w:b/>
          <w:bCs/>
          <w:rtl/>
        </w:rPr>
        <w:t>ישראל</w:t>
      </w:r>
      <w:r w:rsidR="004858E4">
        <w:rPr>
          <w:b/>
          <w:bCs/>
          <w:rtl/>
        </w:rPr>
        <w:t xml:space="preserve"> </w:t>
      </w:r>
      <w:r w:rsidR="004858E4">
        <w:rPr>
          <w:rFonts w:hint="eastAsia"/>
          <w:b/>
          <w:bCs/>
          <w:rtl/>
        </w:rPr>
        <w:t>נ</w:t>
      </w:r>
      <w:r w:rsidR="004858E4">
        <w:rPr>
          <w:b/>
          <w:bCs/>
          <w:rtl/>
        </w:rPr>
        <w:t xml:space="preserve">' </w:t>
      </w:r>
      <w:r w:rsidR="004858E4">
        <w:rPr>
          <w:rFonts w:hint="eastAsia"/>
          <w:b/>
          <w:bCs/>
          <w:rtl/>
        </w:rPr>
        <w:t>עמר</w:t>
      </w:r>
      <w:r w:rsidR="004858E4">
        <w:rPr>
          <w:b/>
          <w:bCs/>
          <w:rtl/>
        </w:rPr>
        <w:t xml:space="preserve"> </w:t>
      </w:r>
      <w:r w:rsidR="004858E4">
        <w:rPr>
          <w:rFonts w:hint="eastAsia"/>
          <w:b/>
          <w:bCs/>
          <w:rtl/>
        </w:rPr>
        <w:t>נסים</w:t>
      </w:r>
      <w:r w:rsidR="004858E4">
        <w:rPr>
          <w:b/>
          <w:bCs/>
          <w:rtl/>
        </w:rPr>
        <w:t xml:space="preserve"> </w:t>
      </w:r>
      <w:r w:rsidR="004858E4">
        <w:rPr>
          <w:rFonts w:hint="eastAsia"/>
          <w:b/>
          <w:bCs/>
          <w:rtl/>
        </w:rPr>
        <w:t>ואח</w:t>
      </w:r>
      <w:r w:rsidR="004858E4">
        <w:rPr>
          <w:b/>
          <w:bCs/>
          <w:rtl/>
        </w:rPr>
        <w:t>'</w:t>
      </w:r>
      <w:r w:rsidR="004858E4">
        <w:rPr>
          <w:rFonts w:hint="cs"/>
          <w:rtl/>
        </w:rPr>
        <w:t xml:space="preserve"> (1.11.2010) שם דובר בניהול מעבדת סמים וגידול של למעלה </w:t>
      </w:r>
      <w:r w:rsidR="004858E4">
        <w:rPr>
          <w:rFonts w:hint="cs"/>
          <w:u w:val="single"/>
          <w:rtl/>
        </w:rPr>
        <w:t>מ-11 ק"ג</w:t>
      </w:r>
      <w:r w:rsidR="004858E4">
        <w:rPr>
          <w:rFonts w:hint="cs"/>
          <w:rtl/>
        </w:rPr>
        <w:t xml:space="preserve">. בית משפט השלום הטיל על שני הנאשמים עונש של 6 חודשי מאסר לריצוי בדרך של עבודות שירות. במסגרת הדיון בערעור שהגישה המדינה, גובשה הסכמה בין הצדדים במסגרתה הועמד עונשו של אחד הנאשמים על </w:t>
      </w:r>
      <w:r w:rsidR="004858E4">
        <w:rPr>
          <w:rFonts w:hint="cs"/>
          <w:u w:val="single"/>
          <w:rtl/>
        </w:rPr>
        <w:t>9 חודשי מאסר</w:t>
      </w:r>
      <w:r w:rsidR="004858E4">
        <w:rPr>
          <w:rFonts w:hint="cs"/>
          <w:rtl/>
        </w:rPr>
        <w:t xml:space="preserve">, ואילו המדינה חזרה בה מהערעור ביחס לנאשם השני. בית המשפט המחוזי בתל אביב ראה לכבד את הסכמת הצדדים, הגם שציין כי יש בה משום הליכה רבתי כלפי הנאשמים; </w:t>
      </w:r>
    </w:p>
    <w:p w14:paraId="67CAEF62" w14:textId="77777777" w:rsidR="00547131" w:rsidRDefault="00547131">
      <w:pPr>
        <w:spacing w:line="360" w:lineRule="auto"/>
        <w:jc w:val="both"/>
        <w:rPr>
          <w:rtl/>
        </w:rPr>
      </w:pPr>
    </w:p>
    <w:p w14:paraId="6F4E70F8" w14:textId="77777777" w:rsidR="00547131" w:rsidRDefault="008D6BCD">
      <w:pPr>
        <w:spacing w:line="360" w:lineRule="auto"/>
        <w:ind w:left="720"/>
        <w:jc w:val="both"/>
        <w:rPr>
          <w:b/>
          <w:bCs/>
          <w:rtl/>
        </w:rPr>
      </w:pPr>
      <w:hyperlink r:id="rId13" w:history="1">
        <w:r w:rsidRPr="008D6BCD">
          <w:rPr>
            <w:rStyle w:val="Hyperlink"/>
            <w:rFonts w:hint="eastAsia"/>
            <w:rtl/>
          </w:rPr>
          <w:t>עפ</w:t>
        </w:r>
        <w:r w:rsidRPr="008D6BCD">
          <w:rPr>
            <w:rStyle w:val="Hyperlink"/>
            <w:rtl/>
          </w:rPr>
          <w:t>"</w:t>
        </w:r>
        <w:r w:rsidRPr="008D6BCD">
          <w:rPr>
            <w:rStyle w:val="Hyperlink"/>
            <w:rFonts w:hint="eastAsia"/>
            <w:rtl/>
          </w:rPr>
          <w:t>ג</w:t>
        </w:r>
        <w:r w:rsidRPr="008D6BCD">
          <w:rPr>
            <w:rStyle w:val="Hyperlink"/>
            <w:rtl/>
          </w:rPr>
          <w:t xml:space="preserve"> (</w:t>
        </w:r>
        <w:r w:rsidRPr="008D6BCD">
          <w:rPr>
            <w:rStyle w:val="Hyperlink"/>
            <w:rFonts w:hint="eastAsia"/>
            <w:rtl/>
          </w:rPr>
          <w:t>מרכז</w:t>
        </w:r>
        <w:r w:rsidRPr="008D6BCD">
          <w:rPr>
            <w:rStyle w:val="Hyperlink"/>
            <w:rtl/>
          </w:rPr>
          <w:t>) 52810-07-10</w:t>
        </w:r>
      </w:hyperlink>
      <w:r w:rsidR="004858E4">
        <w:rPr>
          <w:rtl/>
        </w:rPr>
        <w:t xml:space="preserve"> </w:t>
      </w:r>
      <w:r w:rsidR="004858E4">
        <w:rPr>
          <w:rFonts w:hint="eastAsia"/>
          <w:b/>
          <w:bCs/>
          <w:rtl/>
        </w:rPr>
        <w:t>חזי</w:t>
      </w:r>
      <w:r w:rsidR="004858E4">
        <w:rPr>
          <w:b/>
          <w:bCs/>
          <w:rtl/>
        </w:rPr>
        <w:t xml:space="preserve"> </w:t>
      </w:r>
      <w:r w:rsidR="004858E4">
        <w:rPr>
          <w:rFonts w:hint="eastAsia"/>
          <w:b/>
          <w:bCs/>
          <w:rtl/>
        </w:rPr>
        <w:t>עזריה</w:t>
      </w:r>
      <w:r w:rsidR="004858E4">
        <w:rPr>
          <w:b/>
          <w:bCs/>
          <w:rtl/>
        </w:rPr>
        <w:t xml:space="preserve"> </w:t>
      </w:r>
      <w:r w:rsidR="004858E4">
        <w:rPr>
          <w:rFonts w:hint="eastAsia"/>
          <w:b/>
          <w:bCs/>
          <w:rtl/>
        </w:rPr>
        <w:t>נ</w:t>
      </w:r>
      <w:r w:rsidR="004858E4">
        <w:rPr>
          <w:b/>
          <w:bCs/>
          <w:rtl/>
        </w:rPr>
        <w:t xml:space="preserve">' </w:t>
      </w:r>
      <w:r w:rsidR="004858E4">
        <w:rPr>
          <w:rFonts w:hint="eastAsia"/>
          <w:b/>
          <w:bCs/>
          <w:rtl/>
        </w:rPr>
        <w:t>מדינת</w:t>
      </w:r>
      <w:r w:rsidR="004858E4">
        <w:rPr>
          <w:b/>
          <w:bCs/>
          <w:rtl/>
        </w:rPr>
        <w:t xml:space="preserve"> </w:t>
      </w:r>
      <w:r w:rsidR="004858E4">
        <w:rPr>
          <w:rFonts w:hint="cs"/>
          <w:b/>
          <w:bCs/>
          <w:rtl/>
        </w:rPr>
        <w:t>ישראל</w:t>
      </w:r>
      <w:r w:rsidR="004858E4">
        <w:rPr>
          <w:rFonts w:hint="cs"/>
          <w:rtl/>
        </w:rPr>
        <w:t xml:space="preserve"> (21.12.2010) שם דובר בניהול </w:t>
      </w:r>
      <w:r w:rsidR="004858E4">
        <w:rPr>
          <w:rFonts w:hint="eastAsia"/>
          <w:rtl/>
        </w:rPr>
        <w:t>מעבדה</w:t>
      </w:r>
      <w:r w:rsidR="004858E4">
        <w:rPr>
          <w:rtl/>
        </w:rPr>
        <w:t xml:space="preserve"> </w:t>
      </w:r>
      <w:r w:rsidR="004858E4">
        <w:rPr>
          <w:rFonts w:hint="eastAsia"/>
          <w:rtl/>
        </w:rPr>
        <w:t>לייצור</w:t>
      </w:r>
      <w:r w:rsidR="004858E4">
        <w:rPr>
          <w:rtl/>
        </w:rPr>
        <w:t xml:space="preserve"> </w:t>
      </w:r>
      <w:r w:rsidR="004858E4">
        <w:rPr>
          <w:rFonts w:hint="eastAsia"/>
          <w:rtl/>
        </w:rPr>
        <w:t>סמים</w:t>
      </w:r>
      <w:r w:rsidR="004858E4">
        <w:rPr>
          <w:rtl/>
        </w:rPr>
        <w:t xml:space="preserve"> </w:t>
      </w:r>
      <w:r w:rsidR="004858E4">
        <w:rPr>
          <w:rFonts w:hint="eastAsia"/>
          <w:rtl/>
        </w:rPr>
        <w:t>מסוג</w:t>
      </w:r>
      <w:r w:rsidR="004858E4">
        <w:rPr>
          <w:rtl/>
        </w:rPr>
        <w:t xml:space="preserve"> </w:t>
      </w:r>
      <w:r w:rsidR="004858E4">
        <w:rPr>
          <w:rFonts w:hint="eastAsia"/>
          <w:rtl/>
        </w:rPr>
        <w:t>קנבוס</w:t>
      </w:r>
      <w:r w:rsidR="004858E4">
        <w:rPr>
          <w:rtl/>
        </w:rPr>
        <w:t xml:space="preserve">, </w:t>
      </w:r>
      <w:r w:rsidR="004858E4">
        <w:rPr>
          <w:rFonts w:hint="cs"/>
          <w:rtl/>
        </w:rPr>
        <w:t xml:space="preserve">בגידול של </w:t>
      </w:r>
      <w:r w:rsidR="004858E4">
        <w:rPr>
          <w:rFonts w:hint="cs"/>
          <w:u w:val="single"/>
          <w:rtl/>
        </w:rPr>
        <w:t xml:space="preserve">38 שתילים </w:t>
      </w:r>
      <w:r w:rsidR="004858E4">
        <w:rPr>
          <w:rFonts w:hint="eastAsia"/>
          <w:u w:val="single"/>
          <w:rtl/>
        </w:rPr>
        <w:t>במשקל</w:t>
      </w:r>
      <w:r w:rsidR="004858E4">
        <w:rPr>
          <w:u w:val="single"/>
          <w:rtl/>
        </w:rPr>
        <w:t xml:space="preserve"> </w:t>
      </w:r>
      <w:r w:rsidR="004858E4">
        <w:rPr>
          <w:rFonts w:hint="eastAsia"/>
          <w:u w:val="single"/>
          <w:rtl/>
        </w:rPr>
        <w:t>של</w:t>
      </w:r>
      <w:r w:rsidR="004858E4">
        <w:rPr>
          <w:u w:val="single"/>
          <w:rtl/>
        </w:rPr>
        <w:t xml:space="preserve"> 1.180 </w:t>
      </w:r>
      <w:r w:rsidR="004858E4">
        <w:rPr>
          <w:rFonts w:hint="eastAsia"/>
          <w:u w:val="single"/>
          <w:rtl/>
        </w:rPr>
        <w:t>ק</w:t>
      </w:r>
      <w:r w:rsidR="004858E4">
        <w:rPr>
          <w:u w:val="single"/>
          <w:rtl/>
        </w:rPr>
        <w:t>"</w:t>
      </w:r>
      <w:r w:rsidR="004858E4">
        <w:rPr>
          <w:rFonts w:hint="eastAsia"/>
          <w:u w:val="single"/>
          <w:rtl/>
        </w:rPr>
        <w:t>ג</w:t>
      </w:r>
      <w:r w:rsidR="004858E4">
        <w:rPr>
          <w:u w:val="single"/>
          <w:rtl/>
        </w:rPr>
        <w:t xml:space="preserve"> </w:t>
      </w:r>
      <w:r w:rsidR="004858E4">
        <w:rPr>
          <w:rFonts w:hint="eastAsia"/>
          <w:u w:val="single"/>
          <w:rtl/>
        </w:rPr>
        <w:t>נטו</w:t>
      </w:r>
      <w:r w:rsidR="004858E4">
        <w:rPr>
          <w:rtl/>
        </w:rPr>
        <w:t xml:space="preserve">, </w:t>
      </w:r>
      <w:r w:rsidR="004858E4">
        <w:rPr>
          <w:rFonts w:hint="cs"/>
          <w:rtl/>
        </w:rPr>
        <w:t xml:space="preserve">בהחזקת כלים </w:t>
      </w:r>
      <w:r w:rsidR="004858E4">
        <w:rPr>
          <w:rFonts w:hint="eastAsia"/>
          <w:rtl/>
        </w:rPr>
        <w:t>לצורך</w:t>
      </w:r>
      <w:r w:rsidR="004858E4">
        <w:rPr>
          <w:rtl/>
        </w:rPr>
        <w:t xml:space="preserve"> </w:t>
      </w:r>
      <w:r w:rsidR="004858E4">
        <w:rPr>
          <w:rFonts w:hint="eastAsia"/>
          <w:rtl/>
        </w:rPr>
        <w:t>גידול</w:t>
      </w:r>
      <w:r w:rsidR="004858E4">
        <w:rPr>
          <w:rtl/>
        </w:rPr>
        <w:t xml:space="preserve"> </w:t>
      </w:r>
      <w:r w:rsidR="004858E4">
        <w:rPr>
          <w:rFonts w:hint="eastAsia"/>
          <w:rtl/>
        </w:rPr>
        <w:t>שתילים</w:t>
      </w:r>
      <w:r w:rsidR="004858E4">
        <w:rPr>
          <w:rFonts w:hint="cs"/>
          <w:rtl/>
        </w:rPr>
        <w:t xml:space="preserve">, </w:t>
      </w:r>
      <w:r w:rsidR="004858E4">
        <w:rPr>
          <w:rFonts w:hint="cs"/>
          <w:u w:val="single"/>
          <w:rtl/>
        </w:rPr>
        <w:t xml:space="preserve">בהחזקת </w:t>
      </w:r>
      <w:r w:rsidR="004858E4">
        <w:rPr>
          <w:rFonts w:hint="eastAsia"/>
          <w:u w:val="single"/>
          <w:rtl/>
        </w:rPr>
        <w:t>חשיש</w:t>
      </w:r>
      <w:r w:rsidR="004858E4">
        <w:rPr>
          <w:u w:val="single"/>
          <w:rtl/>
        </w:rPr>
        <w:t xml:space="preserve"> </w:t>
      </w:r>
      <w:r w:rsidR="004858E4">
        <w:rPr>
          <w:rFonts w:hint="eastAsia"/>
          <w:u w:val="single"/>
          <w:rtl/>
        </w:rPr>
        <w:t>במשקל</w:t>
      </w:r>
      <w:r w:rsidR="004858E4">
        <w:rPr>
          <w:u w:val="single"/>
          <w:rtl/>
        </w:rPr>
        <w:t xml:space="preserve"> 277.29 </w:t>
      </w:r>
      <w:r w:rsidR="004858E4">
        <w:rPr>
          <w:rFonts w:hint="eastAsia"/>
          <w:u w:val="single"/>
          <w:rtl/>
        </w:rPr>
        <w:t>גרם</w:t>
      </w:r>
      <w:r w:rsidR="004858E4">
        <w:rPr>
          <w:u w:val="single"/>
          <w:rtl/>
        </w:rPr>
        <w:t xml:space="preserve"> </w:t>
      </w:r>
      <w:r w:rsidR="004858E4">
        <w:rPr>
          <w:rFonts w:hint="eastAsia"/>
          <w:u w:val="single"/>
          <w:rtl/>
        </w:rPr>
        <w:t>נטו</w:t>
      </w:r>
      <w:r w:rsidR="004858E4">
        <w:rPr>
          <w:u w:val="single"/>
          <w:rtl/>
        </w:rPr>
        <w:t xml:space="preserve">, </w:t>
      </w:r>
      <w:r w:rsidR="004858E4">
        <w:rPr>
          <w:rFonts w:hint="eastAsia"/>
          <w:u w:val="single"/>
          <w:rtl/>
        </w:rPr>
        <w:t>ו</w:t>
      </w:r>
      <w:r w:rsidR="004858E4">
        <w:rPr>
          <w:u w:val="single"/>
          <w:rtl/>
        </w:rPr>
        <w:t>"</w:t>
      </w:r>
      <w:r w:rsidR="004858E4">
        <w:rPr>
          <w:rFonts w:hint="eastAsia"/>
          <w:u w:val="single"/>
          <w:rtl/>
        </w:rPr>
        <w:t>חגיגת</w:t>
      </w:r>
      <w:r w:rsidR="004858E4">
        <w:rPr>
          <w:u w:val="single"/>
          <w:rtl/>
        </w:rPr>
        <w:t xml:space="preserve">" </w:t>
      </w:r>
      <w:r w:rsidR="004858E4">
        <w:rPr>
          <w:rFonts w:hint="eastAsia"/>
          <w:u w:val="single"/>
          <w:rtl/>
        </w:rPr>
        <w:t>במשקל</w:t>
      </w:r>
      <w:r w:rsidR="004858E4">
        <w:rPr>
          <w:u w:val="single"/>
          <w:rtl/>
        </w:rPr>
        <w:t xml:space="preserve"> 94.66 </w:t>
      </w:r>
      <w:r w:rsidR="004858E4">
        <w:rPr>
          <w:rFonts w:hint="eastAsia"/>
          <w:u w:val="single"/>
          <w:rtl/>
        </w:rPr>
        <w:t>גרם</w:t>
      </w:r>
      <w:r w:rsidR="004858E4">
        <w:rPr>
          <w:rtl/>
        </w:rPr>
        <w:t xml:space="preserve">. </w:t>
      </w:r>
      <w:r w:rsidR="004858E4">
        <w:rPr>
          <w:rFonts w:hint="cs"/>
          <w:rtl/>
        </w:rPr>
        <w:t xml:space="preserve">בית משפט השלום גזר על הנאשם עונש של 9 חודשי מאסר. בית המשפט המחוזי ציין כי מדובר בגזר דין ראוי המשקלל את הנתונים הרלוונטיים, אולם נוכח התפתחויות חיובית בהיבט השיקומי, מצא לקבל את ערעור הנאשם ולהעמיד את עונשו על </w:t>
      </w:r>
      <w:r w:rsidR="004858E4">
        <w:rPr>
          <w:rFonts w:hint="cs"/>
          <w:u w:val="single"/>
          <w:rtl/>
        </w:rPr>
        <w:t>6 חודשי מאסר לריצוי בדרך של עבודות שירות</w:t>
      </w:r>
      <w:r w:rsidR="004858E4">
        <w:rPr>
          <w:rFonts w:hint="cs"/>
          <w:rtl/>
        </w:rPr>
        <w:t xml:space="preserve">; </w:t>
      </w:r>
    </w:p>
    <w:p w14:paraId="2F50C94A" w14:textId="77777777" w:rsidR="00547131" w:rsidRDefault="00547131">
      <w:pPr>
        <w:spacing w:line="360" w:lineRule="auto"/>
        <w:jc w:val="both"/>
        <w:rPr>
          <w:rtl/>
        </w:rPr>
      </w:pPr>
    </w:p>
    <w:p w14:paraId="4946E4A3" w14:textId="77777777" w:rsidR="00547131" w:rsidRDefault="008D6BCD">
      <w:pPr>
        <w:spacing w:line="360" w:lineRule="auto"/>
        <w:ind w:left="720"/>
        <w:jc w:val="both"/>
        <w:rPr>
          <w:rtl/>
        </w:rPr>
      </w:pPr>
      <w:hyperlink r:id="rId14" w:history="1">
        <w:r w:rsidRPr="008D6BCD">
          <w:rPr>
            <w:rStyle w:val="Hyperlink"/>
            <w:rFonts w:hint="eastAsia"/>
            <w:rtl/>
          </w:rPr>
          <w:t>ת</w:t>
        </w:r>
        <w:r w:rsidRPr="008D6BCD">
          <w:rPr>
            <w:rStyle w:val="Hyperlink"/>
            <w:rtl/>
          </w:rPr>
          <w:t>"</w:t>
        </w:r>
        <w:r w:rsidRPr="008D6BCD">
          <w:rPr>
            <w:rStyle w:val="Hyperlink"/>
            <w:rFonts w:hint="eastAsia"/>
            <w:rtl/>
          </w:rPr>
          <w:t>פ</w:t>
        </w:r>
        <w:r w:rsidRPr="008D6BCD">
          <w:rPr>
            <w:rStyle w:val="Hyperlink"/>
            <w:rtl/>
          </w:rPr>
          <w:t xml:space="preserve"> 32746-11-09</w:t>
        </w:r>
      </w:hyperlink>
      <w:r w:rsidR="004858E4">
        <w:rPr>
          <w:rFonts w:hint="cs"/>
          <w:rtl/>
        </w:rPr>
        <w:t xml:space="preserve"> (מרכז) </w:t>
      </w:r>
      <w:r w:rsidR="004858E4">
        <w:rPr>
          <w:rFonts w:hint="cs"/>
          <w:b/>
          <w:bCs/>
          <w:rtl/>
        </w:rPr>
        <w:t>מדינת ישראל נ' ביטון ואח'</w:t>
      </w:r>
      <w:r w:rsidR="004858E4">
        <w:rPr>
          <w:rFonts w:hint="cs"/>
          <w:rtl/>
        </w:rPr>
        <w:t xml:space="preserve"> (12.7.10) שם דובר על שני נאשמים (4-5) אשר שכרו אולם באיזור תעשיה והפכו אותו למעבדת סמים משוכללת, שם גידלו כמות גדולה של סם מסוכן מסוג קנבוס (נאשם 1 באותו פרשה הורשע בכך שהגיע לאולם וסייע לשני הנאשמים להחזיק כ </w:t>
      </w:r>
      <w:r w:rsidR="004858E4">
        <w:rPr>
          <w:rtl/>
        </w:rPr>
        <w:t>–</w:t>
      </w:r>
      <w:r w:rsidR="004858E4">
        <w:rPr>
          <w:rFonts w:hint="cs"/>
          <w:rtl/>
        </w:rPr>
        <w:t xml:space="preserve"> </w:t>
      </w:r>
      <w:r w:rsidR="004858E4">
        <w:rPr>
          <w:rFonts w:hint="cs"/>
          <w:b/>
          <w:bCs/>
          <w:rtl/>
        </w:rPr>
        <w:t xml:space="preserve">90.5 ק"ג </w:t>
      </w:r>
      <w:r w:rsidR="004858E4">
        <w:rPr>
          <w:rFonts w:hint="cs"/>
          <w:rtl/>
        </w:rPr>
        <w:t xml:space="preserve">קנבוס, ודינו נגזר, במסגרת הסדר טיעון, ל-9 חודשי מאסר בפועל). בית המשפט המחוזי מרכז גזר על שני הנאשמים (העבריינים המרכזיים) </w:t>
      </w:r>
      <w:r w:rsidR="004858E4">
        <w:rPr>
          <w:rFonts w:hint="cs"/>
          <w:u w:val="single"/>
          <w:rtl/>
        </w:rPr>
        <w:t>עונש של 18 חודשי מאסר</w:t>
      </w:r>
      <w:r w:rsidR="004858E4">
        <w:rPr>
          <w:rFonts w:hint="cs"/>
          <w:rtl/>
        </w:rPr>
        <w:t xml:space="preserve">; </w:t>
      </w:r>
    </w:p>
    <w:p w14:paraId="3FBE295E" w14:textId="77777777" w:rsidR="00547131" w:rsidRDefault="00547131">
      <w:pPr>
        <w:spacing w:line="360" w:lineRule="auto"/>
        <w:jc w:val="both"/>
        <w:rPr>
          <w:rtl/>
        </w:rPr>
      </w:pPr>
    </w:p>
    <w:p w14:paraId="7D45C10E" w14:textId="77777777" w:rsidR="00547131" w:rsidRDefault="004858E4">
      <w:pPr>
        <w:spacing w:line="360" w:lineRule="auto"/>
        <w:ind w:left="720" w:hanging="720"/>
        <w:jc w:val="both"/>
        <w:rPr>
          <w:rtl/>
        </w:rPr>
      </w:pPr>
      <w:r>
        <w:rPr>
          <w:rFonts w:hint="cs"/>
          <w:rtl/>
        </w:rPr>
        <w:tab/>
      </w:r>
      <w:r>
        <w:rPr>
          <w:rFonts w:hint="cs"/>
          <w:b/>
          <w:bCs/>
          <w:rtl/>
        </w:rPr>
        <w:t>סיכום ביניים בנושא הפסיקה:</w:t>
      </w:r>
      <w:r>
        <w:rPr>
          <w:rFonts w:hint="cs"/>
          <w:rtl/>
        </w:rPr>
        <w:t xml:space="preserve"> עניינו של </w:t>
      </w:r>
      <w:r>
        <w:rPr>
          <w:rFonts w:hint="cs"/>
          <w:b/>
          <w:bCs/>
          <w:rtl/>
        </w:rPr>
        <w:t>תבל</w:t>
      </w:r>
      <w:r>
        <w:rPr>
          <w:rFonts w:hint="cs"/>
          <w:rtl/>
        </w:rPr>
        <w:t xml:space="preserve">, עליו נגזרו 8 חודשי מאסר, קל מענייננו, וזאת בשים לב לשוני בכמות הסם (8.9 ק"ג לעומת 24.4 ק"ג בענייננו); עניינם של נאשמים 1 ו-3 בפס"ד </w:t>
      </w:r>
      <w:r>
        <w:rPr>
          <w:rFonts w:hint="cs"/>
          <w:b/>
          <w:bCs/>
          <w:rtl/>
        </w:rPr>
        <w:t>שינגאמונג</w:t>
      </w:r>
      <w:r>
        <w:rPr>
          <w:rFonts w:hint="cs"/>
          <w:rtl/>
        </w:rPr>
        <w:t xml:space="preserve">, עליהם נגזרו 8 חודשי מאסר, קל מענייננו לאור השוני בסוג הסם (6.5 ק"ג לעומת 24.4 ק"ג בענייננו), אולם עניינו של נאשם 2 באותה פרשה, עליו נגזרו 10 חודשי מאסר, חמור באופן משמעותי לאור הרשעתו גם בביצוע 10 עסקאות למכירת הסם;  עניינו של נאשם 1 בפס"ד </w:t>
      </w:r>
      <w:r>
        <w:rPr>
          <w:rFonts w:hint="cs"/>
          <w:b/>
          <w:bCs/>
          <w:rtl/>
        </w:rPr>
        <w:t>עמר</w:t>
      </w:r>
      <w:r>
        <w:rPr>
          <w:rFonts w:hint="cs"/>
          <w:rtl/>
        </w:rPr>
        <w:t xml:space="preserve">, עליו נגזרו 9 חודשי מאסר, קל יותר מענייננו וזאת בשים לב לכמות הסם (11 ק"ג לעומת 24.4 ק"ג בענייננו), אולם יש ליתן את הדעת לשני היבטים: חזרת המדינה מהערעור שהוגש בענייננו של 2, עליו נגזרו 6 חודשי מאסר לריצוי בדרך של עבודות שירות ועמדת בית המשפט המחוזי לפיה יש בעונש משום הליכה רבתי כלפי הנאשמים; עניינו של </w:t>
      </w:r>
      <w:r>
        <w:rPr>
          <w:rFonts w:hint="cs"/>
          <w:b/>
          <w:bCs/>
          <w:rtl/>
        </w:rPr>
        <w:t>עזריה</w:t>
      </w:r>
      <w:r>
        <w:rPr>
          <w:rFonts w:hint="cs"/>
          <w:rtl/>
        </w:rPr>
        <w:t xml:space="preserve">, עליו נגזרו 6 חודשי מאסר (בערעור), חמור מאשר ענייננו בהיבט של הגיוון בסוגי הסמים, אם כי קל יותר בהיבט של כמות הסם הכוללת; עניינו של </w:t>
      </w:r>
      <w:r>
        <w:rPr>
          <w:rFonts w:hint="cs"/>
          <w:b/>
          <w:bCs/>
          <w:rtl/>
        </w:rPr>
        <w:t>ביטון</w:t>
      </w:r>
      <w:r>
        <w:rPr>
          <w:rFonts w:hint="cs"/>
          <w:rtl/>
        </w:rPr>
        <w:t>, עליו נגזרו 18 חודשים, חמור יותר מענייננו, שכן שם הכמות עמדה על 90.5 ק"ג(!), ואילו בענייננו דובר על 24.4 ק"ג.</w:t>
      </w:r>
    </w:p>
    <w:p w14:paraId="780C21FB" w14:textId="77777777" w:rsidR="00547131" w:rsidRDefault="00547131">
      <w:pPr>
        <w:spacing w:line="360" w:lineRule="auto"/>
        <w:ind w:left="720" w:hanging="720"/>
        <w:jc w:val="both"/>
        <w:rPr>
          <w:rtl/>
        </w:rPr>
      </w:pPr>
    </w:p>
    <w:p w14:paraId="0480899B" w14:textId="77777777" w:rsidR="00547131" w:rsidRDefault="004858E4">
      <w:pPr>
        <w:spacing w:line="360" w:lineRule="auto"/>
        <w:ind w:left="720" w:hanging="720"/>
        <w:jc w:val="both"/>
        <w:rPr>
          <w:rtl/>
        </w:rPr>
      </w:pPr>
      <w:r>
        <w:rPr>
          <w:rFonts w:hint="cs"/>
          <w:rtl/>
        </w:rPr>
        <w:tab/>
        <w:t xml:space="preserve">חשוב לציין כי הפסיקה המפורטת לעיל מתייחסת להיבט הקשור לעבירות הסמים בלבד, אך יש לזכור כי על המתחם בענייננו ליתן ביטוי אף לעבירת הרכוש שביצע הנאשם. </w:t>
      </w:r>
    </w:p>
    <w:p w14:paraId="522BB6AE" w14:textId="77777777" w:rsidR="00547131" w:rsidRDefault="00547131">
      <w:pPr>
        <w:spacing w:line="360" w:lineRule="auto"/>
        <w:jc w:val="both"/>
        <w:rPr>
          <w:rtl/>
        </w:rPr>
      </w:pPr>
    </w:p>
    <w:p w14:paraId="720C13F7" w14:textId="77777777" w:rsidR="00547131" w:rsidRDefault="004858E4">
      <w:pPr>
        <w:spacing w:line="360" w:lineRule="auto"/>
        <w:ind w:left="720" w:hanging="720"/>
        <w:jc w:val="both"/>
        <w:rPr>
          <w:rtl/>
        </w:rPr>
      </w:pPr>
      <w:r>
        <w:rPr>
          <w:rFonts w:hint="cs"/>
          <w:rtl/>
        </w:rPr>
        <w:t>8.</w:t>
      </w:r>
      <w:r>
        <w:rPr>
          <w:rFonts w:hint="cs"/>
          <w:rtl/>
        </w:rPr>
        <w:tab/>
        <w:t xml:space="preserve">על יסוד כלל הנתונים, ניתן לקבוע את מתחם העונש ההולם ככזה הנע בין 10 חודשי מאסר ל- 24 חודשי מאסר. </w:t>
      </w:r>
    </w:p>
    <w:p w14:paraId="5466D401" w14:textId="77777777" w:rsidR="00547131" w:rsidRDefault="00547131">
      <w:pPr>
        <w:spacing w:line="360" w:lineRule="auto"/>
        <w:ind w:left="720" w:hanging="720"/>
        <w:jc w:val="both"/>
        <w:rPr>
          <w:rtl/>
        </w:rPr>
      </w:pPr>
    </w:p>
    <w:p w14:paraId="07E00C26" w14:textId="77777777" w:rsidR="00547131" w:rsidRDefault="004858E4">
      <w:pPr>
        <w:spacing w:line="360" w:lineRule="auto"/>
        <w:ind w:left="720" w:hanging="720"/>
        <w:jc w:val="both"/>
        <w:rPr>
          <w:u w:val="single"/>
          <w:rtl/>
        </w:rPr>
      </w:pPr>
      <w:r>
        <w:rPr>
          <w:rFonts w:hint="cs"/>
          <w:rtl/>
        </w:rPr>
        <w:tab/>
      </w:r>
      <w:r>
        <w:rPr>
          <w:rFonts w:hint="cs"/>
          <w:u w:val="single"/>
          <w:rtl/>
        </w:rPr>
        <w:t>עונשו של הנאשם בתוך מתחם העונש ההולם</w:t>
      </w:r>
    </w:p>
    <w:p w14:paraId="393EC2DB" w14:textId="77777777" w:rsidR="00547131" w:rsidRDefault="00547131">
      <w:pPr>
        <w:spacing w:line="360" w:lineRule="auto"/>
        <w:jc w:val="both"/>
        <w:rPr>
          <w:rtl/>
        </w:rPr>
      </w:pPr>
    </w:p>
    <w:p w14:paraId="37C6161D" w14:textId="77777777" w:rsidR="00547131" w:rsidRDefault="004858E4">
      <w:pPr>
        <w:spacing w:line="360" w:lineRule="auto"/>
        <w:ind w:left="720" w:hanging="720"/>
        <w:jc w:val="both"/>
        <w:rPr>
          <w:noProof w:val="0"/>
          <w:rtl/>
        </w:rPr>
      </w:pPr>
      <w:r>
        <w:rPr>
          <w:rFonts w:hint="cs"/>
          <w:noProof w:val="0"/>
          <w:rtl/>
        </w:rPr>
        <w:t>9</w:t>
      </w:r>
      <w:r>
        <w:rPr>
          <w:noProof w:val="0"/>
          <w:rtl/>
        </w:rPr>
        <w:t>.</w:t>
      </w:r>
      <w:r>
        <w:rPr>
          <w:noProof w:val="0"/>
          <w:rtl/>
        </w:rPr>
        <w:tab/>
      </w:r>
      <w:r>
        <w:rPr>
          <w:rFonts w:hint="cs"/>
          <w:noProof w:val="0"/>
          <w:rtl/>
        </w:rPr>
        <w:t>כעת, לאחר קביעת המתחם, יש לבחון את הנתונים הרלוונטיים לגזירת עונשו של הנאשם בתוך מתחם הענישה, ואלה הם:</w:t>
      </w:r>
    </w:p>
    <w:p w14:paraId="454B261C" w14:textId="77777777" w:rsidR="00547131" w:rsidRDefault="00547131">
      <w:pPr>
        <w:spacing w:line="360" w:lineRule="auto"/>
        <w:jc w:val="both"/>
        <w:rPr>
          <w:noProof w:val="0"/>
          <w:rtl/>
        </w:rPr>
      </w:pPr>
    </w:p>
    <w:p w14:paraId="6F01D643" w14:textId="77777777" w:rsidR="00547131" w:rsidRDefault="004858E4">
      <w:pPr>
        <w:spacing w:line="360" w:lineRule="auto"/>
        <w:ind w:left="720"/>
        <w:jc w:val="both"/>
        <w:rPr>
          <w:noProof w:val="0"/>
          <w:rtl/>
        </w:rPr>
      </w:pPr>
      <w:r>
        <w:rPr>
          <w:b/>
          <w:bCs/>
          <w:noProof w:val="0"/>
          <w:rtl/>
        </w:rPr>
        <w:t>הודאת הנאשם ונטילת האחריות</w:t>
      </w:r>
      <w:r>
        <w:rPr>
          <w:noProof w:val="0"/>
          <w:rtl/>
        </w:rPr>
        <w:t xml:space="preserve"> – מדובר בנאשם אשר הודה כבר בישיבה הראשונה שהתקיימה בהליך, מבלי שגיבש עם התביעה הסדר כלשהו לעניין העונש. להודאה שני היבטים, הן זה הקשור לנטילת האחריות והן זה הקשור לחסכון בזמן ציבורי. במקרה דנן, ניתן להתרשם כי מדובר בנטילת אחריות משמעותית שאיננה רק מהפה אל החוץ, ובעטיה, כמקובל בפסיקה, זכאי הנאשם להקלה משמעותית בעונש.</w:t>
      </w:r>
      <w:r>
        <w:rPr>
          <w:rFonts w:hint="cs"/>
          <w:noProof w:val="0"/>
          <w:rtl/>
        </w:rPr>
        <w:t xml:space="preserve"> עוד יצוין כי הסניגור הגיש לעיוני אף את הודעתו של הנאשם במשטרה (נע/1), ממנו עולה כי כבר בחקירתו קיבל הנאשם אחריות מלאה על גידול הסמים, רכישת הציוד (הנאשם הוא זה שנקב בשוויו) והחזקת הסמים, כך שניתן לראות בכך אינדיקציה משמעותית בדבר אותנטיות לקיחת האחריות, כפי שהדברים עולים מתסקיר שירות המבחן.</w:t>
      </w:r>
    </w:p>
    <w:p w14:paraId="3485BD3B" w14:textId="77777777" w:rsidR="00547131" w:rsidRDefault="00547131">
      <w:pPr>
        <w:spacing w:line="360" w:lineRule="auto"/>
        <w:ind w:left="720"/>
        <w:jc w:val="both"/>
        <w:rPr>
          <w:noProof w:val="0"/>
          <w:rtl/>
        </w:rPr>
      </w:pPr>
    </w:p>
    <w:p w14:paraId="09B941B3" w14:textId="77777777" w:rsidR="00547131" w:rsidRDefault="004858E4">
      <w:pPr>
        <w:spacing w:line="360" w:lineRule="auto"/>
        <w:ind w:left="720"/>
        <w:jc w:val="both"/>
        <w:rPr>
          <w:noProof w:val="0"/>
          <w:rtl/>
        </w:rPr>
      </w:pPr>
      <w:r>
        <w:rPr>
          <w:b/>
          <w:bCs/>
          <w:noProof w:val="0"/>
          <w:rtl/>
        </w:rPr>
        <w:t>העדר עבר פלילי</w:t>
      </w:r>
      <w:r>
        <w:rPr>
          <w:noProof w:val="0"/>
          <w:rtl/>
        </w:rPr>
        <w:t xml:space="preserve"> - גם נתון זה מצדיק התח</w:t>
      </w:r>
      <w:r>
        <w:rPr>
          <w:rFonts w:hint="cs"/>
          <w:noProof w:val="0"/>
          <w:rtl/>
        </w:rPr>
        <w:t>שבו</w:t>
      </w:r>
      <w:r>
        <w:rPr>
          <w:noProof w:val="0"/>
          <w:rtl/>
        </w:rPr>
        <w:t xml:space="preserve">ת של ממש. מדובר במפגש הראשון של הנאשם עם החוק, ואין דומה גזירת דינו </w:t>
      </w:r>
      <w:r>
        <w:rPr>
          <w:rFonts w:hint="cs"/>
          <w:noProof w:val="0"/>
          <w:rtl/>
        </w:rPr>
        <w:t>של נאשם "סדרתי"</w:t>
      </w:r>
      <w:r>
        <w:rPr>
          <w:noProof w:val="0"/>
          <w:rtl/>
        </w:rPr>
        <w:t xml:space="preserve"> לגזירת דינו של נאשם נעדר הרשעות קודמות.</w:t>
      </w:r>
    </w:p>
    <w:p w14:paraId="231A2B86" w14:textId="77777777" w:rsidR="00547131" w:rsidRDefault="00547131">
      <w:pPr>
        <w:spacing w:line="360" w:lineRule="auto"/>
        <w:ind w:left="720"/>
        <w:jc w:val="both"/>
        <w:rPr>
          <w:noProof w:val="0"/>
          <w:rtl/>
        </w:rPr>
      </w:pPr>
    </w:p>
    <w:p w14:paraId="3E046FB3" w14:textId="77777777" w:rsidR="00547131" w:rsidRDefault="004858E4">
      <w:pPr>
        <w:spacing w:line="360" w:lineRule="auto"/>
        <w:ind w:left="720"/>
        <w:jc w:val="both"/>
        <w:rPr>
          <w:noProof w:val="0"/>
          <w:rtl/>
        </w:rPr>
      </w:pPr>
      <w:r>
        <w:rPr>
          <w:rFonts w:hint="cs"/>
          <w:b/>
          <w:bCs/>
          <w:noProof w:val="0"/>
          <w:rtl/>
        </w:rPr>
        <w:t>העובדה כי מדובר ב</w:t>
      </w:r>
      <w:r>
        <w:rPr>
          <w:b/>
          <w:bCs/>
          <w:noProof w:val="0"/>
          <w:rtl/>
        </w:rPr>
        <w:t xml:space="preserve">מעצרו ומאסרו הראשון </w:t>
      </w:r>
      <w:r>
        <w:rPr>
          <w:noProof w:val="0"/>
          <w:rtl/>
        </w:rPr>
        <w:t>- הפסיקה ראתה בנתון "המאסר הראשון" כנתון ממתן, וברור כי יש לפעול כך אף בענייננו. אין ספק כי ההלם והחוויה המטלטלת של תקופת המאסר הראשונה, בעל</w:t>
      </w:r>
      <w:r>
        <w:rPr>
          <w:rFonts w:hint="cs"/>
          <w:noProof w:val="0"/>
          <w:rtl/>
        </w:rPr>
        <w:t>י</w:t>
      </w:r>
      <w:r>
        <w:rPr>
          <w:noProof w:val="0"/>
          <w:rtl/>
        </w:rPr>
        <w:t xml:space="preserve"> משמעות מרתיעה של ממ</w:t>
      </w:r>
      <w:r>
        <w:rPr>
          <w:rFonts w:hint="cs"/>
          <w:noProof w:val="0"/>
          <w:rtl/>
        </w:rPr>
        <w:t>ש.</w:t>
      </w:r>
    </w:p>
    <w:p w14:paraId="4B3DEC76" w14:textId="77777777" w:rsidR="00547131" w:rsidRDefault="00547131">
      <w:pPr>
        <w:spacing w:line="360" w:lineRule="auto"/>
        <w:ind w:left="720"/>
        <w:jc w:val="both"/>
        <w:rPr>
          <w:noProof w:val="0"/>
          <w:rtl/>
        </w:rPr>
      </w:pPr>
    </w:p>
    <w:p w14:paraId="21A53AD1" w14:textId="77777777" w:rsidR="00547131" w:rsidRDefault="004858E4">
      <w:pPr>
        <w:spacing w:line="360" w:lineRule="auto"/>
        <w:ind w:left="720"/>
        <w:jc w:val="both"/>
        <w:rPr>
          <w:rFonts w:ascii="Niagara Solid" w:hAnsi="Niagara Solid"/>
          <w:noProof w:val="0"/>
          <w:rtl/>
        </w:rPr>
      </w:pPr>
      <w:r>
        <w:rPr>
          <w:rFonts w:hint="cs"/>
          <w:b/>
          <w:bCs/>
          <w:noProof w:val="0"/>
          <w:rtl/>
        </w:rPr>
        <w:t>נתונים אישיים וסיכויי שיקום</w:t>
      </w:r>
      <w:r>
        <w:rPr>
          <w:rFonts w:hint="cs"/>
          <w:noProof w:val="0"/>
          <w:rtl/>
        </w:rPr>
        <w:t xml:space="preserve"> </w:t>
      </w:r>
      <w:r>
        <w:rPr>
          <w:noProof w:val="0"/>
          <w:rtl/>
        </w:rPr>
        <w:t>–</w:t>
      </w:r>
      <w:r>
        <w:rPr>
          <w:rFonts w:hint="cs"/>
          <w:noProof w:val="0"/>
          <w:rtl/>
        </w:rPr>
        <w:t xml:space="preserve"> ניתן ללמוד על אופיו החיובי של הנאשם מעדותה של ד"ר </w:t>
      </w:r>
      <w:r>
        <w:rPr>
          <w:rFonts w:hint="cs"/>
          <w:rtl/>
        </w:rPr>
        <w:t xml:space="preserve">מנדיל לוין, בת דודתו. </w:t>
      </w:r>
      <w:r>
        <w:rPr>
          <w:rFonts w:hint="cs"/>
          <w:noProof w:val="0"/>
          <w:rtl/>
        </w:rPr>
        <w:t xml:space="preserve">תיאוריה בדבר ילדותו של הנאשם, השתלבה עם האמור בתסקיר שירות המבחן, ועם חוות דעתה של גב' היכל. התמונה המצטיירת היא תמונה של אדם נורמטיבי, אשר עבר משברים לא פשוטים, והתמודד עמם ללא קבלת סיוע, עד מעידתו. הנאשם שירת שירות צבאי מלא, נפצע במסגרתו, ואף המשיך לשרת במילואים, ובכך יש ללמד על ערכיו החיוביים. דומני כי מכלול הנתונים העומדים בפניי היום מצביעים קיומם של סיכויי שיקום, ונתתי דעתי בהקשר זה גם לתמיכה לה זוכה ויזכה הנאשם ממשפחתו המורחבת, וגם לחוות דעתה של גב' היכל. </w:t>
      </w:r>
    </w:p>
    <w:p w14:paraId="5ACE367F" w14:textId="77777777" w:rsidR="00547131" w:rsidRDefault="00547131">
      <w:pPr>
        <w:spacing w:line="360" w:lineRule="auto"/>
        <w:ind w:left="720"/>
        <w:jc w:val="both"/>
        <w:rPr>
          <w:rFonts w:ascii="Niagara Solid" w:hAnsi="Niagara Solid"/>
          <w:noProof w:val="0"/>
          <w:rtl/>
        </w:rPr>
      </w:pPr>
    </w:p>
    <w:p w14:paraId="340D866C" w14:textId="77777777" w:rsidR="00547131" w:rsidRDefault="00547131">
      <w:pPr>
        <w:spacing w:line="360" w:lineRule="auto"/>
        <w:ind w:left="720"/>
        <w:jc w:val="both"/>
        <w:rPr>
          <w:rFonts w:ascii="Niagara Solid" w:hAnsi="Niagara Solid"/>
          <w:noProof w:val="0"/>
          <w:rtl/>
        </w:rPr>
      </w:pPr>
    </w:p>
    <w:p w14:paraId="05EAA060" w14:textId="77777777" w:rsidR="00547131" w:rsidRDefault="00547131">
      <w:pPr>
        <w:spacing w:line="360" w:lineRule="auto"/>
        <w:ind w:left="720"/>
        <w:jc w:val="both"/>
        <w:rPr>
          <w:rFonts w:ascii="Niagara Solid" w:hAnsi="Niagara Solid"/>
          <w:noProof w:val="0"/>
          <w:rtl/>
        </w:rPr>
      </w:pPr>
    </w:p>
    <w:p w14:paraId="15172CC3" w14:textId="77777777" w:rsidR="00547131" w:rsidRDefault="004858E4">
      <w:pPr>
        <w:spacing w:line="360" w:lineRule="auto"/>
        <w:ind w:left="720"/>
        <w:jc w:val="both"/>
        <w:rPr>
          <w:rFonts w:ascii="Niagara Solid" w:hAnsi="Niagara Solid"/>
          <w:noProof w:val="0"/>
          <w:rtl/>
        </w:rPr>
      </w:pPr>
      <w:r>
        <w:rPr>
          <w:rFonts w:ascii="Niagara Solid" w:hAnsi="Niagara Solid"/>
          <w:noProof w:val="0"/>
          <w:rtl/>
        </w:rPr>
        <w:t xml:space="preserve"> </w:t>
      </w:r>
    </w:p>
    <w:p w14:paraId="351CFCEC" w14:textId="77777777" w:rsidR="00547131" w:rsidRDefault="004858E4">
      <w:pPr>
        <w:spacing w:line="360" w:lineRule="auto"/>
        <w:ind w:left="720"/>
        <w:jc w:val="both"/>
        <w:rPr>
          <w:noProof w:val="0"/>
          <w:u w:val="single"/>
          <w:rtl/>
        </w:rPr>
      </w:pPr>
      <w:r>
        <w:rPr>
          <w:noProof w:val="0"/>
          <w:u w:val="single"/>
          <w:rtl/>
        </w:rPr>
        <w:t>סיכום</w:t>
      </w:r>
    </w:p>
    <w:p w14:paraId="341FB989" w14:textId="77777777" w:rsidR="00547131" w:rsidRDefault="00547131">
      <w:pPr>
        <w:spacing w:line="360" w:lineRule="auto"/>
        <w:jc w:val="both"/>
        <w:rPr>
          <w:noProof w:val="0"/>
          <w:u w:val="single"/>
          <w:rtl/>
        </w:rPr>
      </w:pPr>
    </w:p>
    <w:p w14:paraId="401D8167" w14:textId="77777777" w:rsidR="00547131" w:rsidRDefault="004858E4">
      <w:pPr>
        <w:spacing w:line="360" w:lineRule="auto"/>
        <w:ind w:left="720" w:hanging="720"/>
        <w:jc w:val="both"/>
        <w:rPr>
          <w:noProof w:val="0"/>
          <w:rtl/>
        </w:rPr>
      </w:pPr>
      <w:r>
        <w:rPr>
          <w:rFonts w:hint="cs"/>
          <w:noProof w:val="0"/>
          <w:rtl/>
        </w:rPr>
        <w:t>10</w:t>
      </w:r>
      <w:r>
        <w:rPr>
          <w:noProof w:val="0"/>
          <w:rtl/>
        </w:rPr>
        <w:t>.</w:t>
      </w:r>
      <w:r>
        <w:rPr>
          <w:noProof w:val="0"/>
          <w:rtl/>
        </w:rPr>
        <w:tab/>
      </w:r>
      <w:r>
        <w:rPr>
          <w:rFonts w:ascii="Niagara Solid" w:hAnsi="Niagara Solid" w:hint="cs"/>
          <w:noProof w:val="0"/>
          <w:rtl/>
        </w:rPr>
        <w:t xml:space="preserve">לאחר בחינת השיקולים השונים ועריכת איזון, מצאתי כי יש מקום להטיל על הנאשם עונש מאסר משמעותי, אולם כזה אשר ישקלל גם את אותם נתונים העומדים לזכותו, וביניהם הודאתו, היעדר הרשעות קודמות, אופיו החיובי וסיכויי שיקומו הגבוהים. </w:t>
      </w:r>
      <w:r>
        <w:rPr>
          <w:rFonts w:hint="cs"/>
          <w:noProof w:val="0"/>
          <w:rtl/>
        </w:rPr>
        <w:t xml:space="preserve">בתוך מתחם העונש ההולם, ועל יסוד כלל הנתונים, נראה כי עונשו של הנאשם צריך לשקף את החלק התחתון של המתחם. אינני גוזר על הנאשם עונש המהווה אימוץ מלא של הרף התחתון וזאת לאור גילו והציפיה כי יפעל בדרך בוגרת ואחראית. לו המעשים היו מבוצעים על ידי נאשם כבן 19, אשר יש לזקוף לזכותו את כל יתר הנתונים שנמנו לעיל, היה מקום לאימוץ מלא של הרף התחתון.  </w:t>
      </w:r>
    </w:p>
    <w:p w14:paraId="46FA34F1" w14:textId="77777777" w:rsidR="00547131" w:rsidRDefault="00547131">
      <w:pPr>
        <w:spacing w:line="360" w:lineRule="auto"/>
        <w:ind w:left="720" w:hanging="720"/>
        <w:jc w:val="both"/>
        <w:rPr>
          <w:noProof w:val="0"/>
          <w:rtl/>
        </w:rPr>
      </w:pPr>
    </w:p>
    <w:p w14:paraId="07CDEA4E" w14:textId="77777777" w:rsidR="00547131" w:rsidRDefault="004858E4">
      <w:pPr>
        <w:spacing w:line="360" w:lineRule="auto"/>
        <w:jc w:val="both"/>
        <w:rPr>
          <w:noProof w:val="0"/>
          <w:rtl/>
        </w:rPr>
      </w:pPr>
      <w:r>
        <w:rPr>
          <w:rFonts w:hint="cs"/>
          <w:noProof w:val="0"/>
          <w:rtl/>
        </w:rPr>
        <w:t>11</w:t>
      </w:r>
      <w:r>
        <w:rPr>
          <w:noProof w:val="0"/>
          <w:rtl/>
        </w:rPr>
        <w:t>.</w:t>
      </w:r>
      <w:r>
        <w:rPr>
          <w:noProof w:val="0"/>
          <w:rtl/>
        </w:rPr>
        <w:tab/>
        <w:t>לאור האמור לעיל, החלטתי לגזור על הנאשם את העונשים הבאים:</w:t>
      </w:r>
    </w:p>
    <w:p w14:paraId="01A26345" w14:textId="77777777" w:rsidR="00547131" w:rsidRDefault="00547131">
      <w:pPr>
        <w:spacing w:line="360" w:lineRule="auto"/>
        <w:jc w:val="both"/>
        <w:rPr>
          <w:noProof w:val="0"/>
          <w:rtl/>
        </w:rPr>
      </w:pPr>
    </w:p>
    <w:p w14:paraId="4DC6F2A2" w14:textId="77777777" w:rsidR="00547131" w:rsidRDefault="004858E4">
      <w:pPr>
        <w:spacing w:line="360" w:lineRule="auto"/>
        <w:ind w:firstLine="720"/>
        <w:jc w:val="both"/>
        <w:rPr>
          <w:noProof w:val="0"/>
          <w:rtl/>
        </w:rPr>
      </w:pPr>
      <w:r>
        <w:rPr>
          <w:noProof w:val="0"/>
          <w:rtl/>
        </w:rPr>
        <w:t xml:space="preserve">א. </w:t>
      </w:r>
      <w:r>
        <w:rPr>
          <w:rFonts w:hint="cs"/>
          <w:noProof w:val="0"/>
          <w:rtl/>
        </w:rPr>
        <w:t xml:space="preserve">12 </w:t>
      </w:r>
      <w:r>
        <w:rPr>
          <w:noProof w:val="0"/>
          <w:rtl/>
        </w:rPr>
        <w:t xml:space="preserve">חודשי מאסר </w:t>
      </w:r>
      <w:r>
        <w:rPr>
          <w:rFonts w:hint="cs"/>
          <w:noProof w:val="0"/>
          <w:rtl/>
        </w:rPr>
        <w:t xml:space="preserve">פחות יום מאסר </w:t>
      </w:r>
      <w:bookmarkStart w:id="8" w:name="_GoBack"/>
      <w:bookmarkEnd w:id="8"/>
      <w:r>
        <w:rPr>
          <w:noProof w:val="0"/>
          <w:rtl/>
        </w:rPr>
        <w:t xml:space="preserve">לריצוי בפועל, החל מיום מעצרו </w:t>
      </w:r>
      <w:r>
        <w:rPr>
          <w:rFonts w:hint="cs"/>
          <w:noProof w:val="0"/>
          <w:rtl/>
        </w:rPr>
        <w:t>7.11.12.</w:t>
      </w:r>
    </w:p>
    <w:p w14:paraId="6456FCE7" w14:textId="77777777" w:rsidR="00547131" w:rsidRDefault="004858E4">
      <w:pPr>
        <w:spacing w:line="360" w:lineRule="auto"/>
        <w:ind w:left="720"/>
        <w:jc w:val="both"/>
        <w:rPr>
          <w:noProof w:val="0"/>
          <w:rtl/>
        </w:rPr>
      </w:pPr>
      <w:r>
        <w:rPr>
          <w:noProof w:val="0"/>
          <w:rtl/>
        </w:rPr>
        <w:t>ב. 10 חודשי מאסר אולם הנאשם לא יישא עונש זה אלא אם תוך 3 שנים מיום שחרורו יעבור עבירה על פקודת הסמים שהיא פשע.</w:t>
      </w:r>
    </w:p>
    <w:p w14:paraId="78311D3B" w14:textId="77777777" w:rsidR="00547131" w:rsidRDefault="004858E4">
      <w:pPr>
        <w:spacing w:line="360" w:lineRule="auto"/>
        <w:ind w:left="720"/>
        <w:jc w:val="both"/>
        <w:rPr>
          <w:noProof w:val="0"/>
          <w:rtl/>
        </w:rPr>
      </w:pPr>
      <w:r>
        <w:rPr>
          <w:noProof w:val="0"/>
          <w:rtl/>
        </w:rPr>
        <w:t>ג. 3 חודשי מאסר אולם הנאשם לא יישא עונש זה אלא אם תוך 3 שנים מיום שחרורו יעבור עבירה על פקודת הסמים שהיא עוון.</w:t>
      </w:r>
    </w:p>
    <w:p w14:paraId="0F3B4F2E" w14:textId="77777777" w:rsidR="00547131" w:rsidRDefault="004858E4">
      <w:pPr>
        <w:spacing w:line="360" w:lineRule="auto"/>
        <w:ind w:left="720"/>
        <w:jc w:val="both"/>
        <w:rPr>
          <w:noProof w:val="0"/>
          <w:rtl/>
        </w:rPr>
      </w:pPr>
      <w:r>
        <w:rPr>
          <w:noProof w:val="0"/>
          <w:rtl/>
        </w:rPr>
        <w:t xml:space="preserve">ד. קנס בסך </w:t>
      </w:r>
      <w:r>
        <w:rPr>
          <w:rFonts w:hint="cs"/>
          <w:noProof w:val="0"/>
          <w:rtl/>
        </w:rPr>
        <w:t>10</w:t>
      </w:r>
      <w:r>
        <w:rPr>
          <w:noProof w:val="0"/>
          <w:rtl/>
        </w:rPr>
        <w:t xml:space="preserve">,000 ₪ או </w:t>
      </w:r>
      <w:r>
        <w:rPr>
          <w:rFonts w:hint="cs"/>
          <w:noProof w:val="0"/>
          <w:rtl/>
        </w:rPr>
        <w:t>100</w:t>
      </w:r>
      <w:r>
        <w:rPr>
          <w:noProof w:val="0"/>
          <w:rtl/>
        </w:rPr>
        <w:t xml:space="preserve"> ימי מאסר תמורתו. הקנס ישולם עד ולא יאוחר מיום 1.</w:t>
      </w:r>
      <w:r>
        <w:rPr>
          <w:rFonts w:hint="cs"/>
          <w:noProof w:val="0"/>
          <w:rtl/>
        </w:rPr>
        <w:t>5</w:t>
      </w:r>
      <w:r>
        <w:rPr>
          <w:noProof w:val="0"/>
          <w:rtl/>
        </w:rPr>
        <w:t>.13.</w:t>
      </w:r>
    </w:p>
    <w:p w14:paraId="71595D2B" w14:textId="77777777" w:rsidR="00547131" w:rsidRDefault="004858E4">
      <w:pPr>
        <w:spacing w:line="360" w:lineRule="auto"/>
        <w:ind w:left="720"/>
        <w:jc w:val="both"/>
        <w:rPr>
          <w:noProof w:val="0"/>
          <w:rtl/>
        </w:rPr>
      </w:pPr>
      <w:r>
        <w:rPr>
          <w:rFonts w:hint="cs"/>
          <w:noProof w:val="0"/>
          <w:rtl/>
        </w:rPr>
        <w:t xml:space="preserve">ה. </w:t>
      </w:r>
      <w:r>
        <w:rPr>
          <w:noProof w:val="0"/>
          <w:rtl/>
        </w:rPr>
        <w:t xml:space="preserve">אני פוסל את הנאשם מלקבל או להחזיק רישיון נהיגה לתקופה של </w:t>
      </w:r>
      <w:r>
        <w:rPr>
          <w:rFonts w:hint="cs"/>
          <w:noProof w:val="0"/>
          <w:rtl/>
        </w:rPr>
        <w:t>6</w:t>
      </w:r>
      <w:r>
        <w:rPr>
          <w:noProof w:val="0"/>
          <w:rtl/>
        </w:rPr>
        <w:t xml:space="preserve"> חודשים מיום שחרורו.</w:t>
      </w:r>
    </w:p>
    <w:p w14:paraId="0C582313" w14:textId="77777777" w:rsidR="00547131" w:rsidRDefault="004858E4">
      <w:pPr>
        <w:spacing w:line="360" w:lineRule="auto"/>
        <w:ind w:firstLine="720"/>
        <w:jc w:val="both"/>
        <w:rPr>
          <w:noProof w:val="0"/>
          <w:rtl/>
        </w:rPr>
      </w:pPr>
      <w:r>
        <w:rPr>
          <w:noProof w:val="0"/>
          <w:rtl/>
        </w:rPr>
        <w:t xml:space="preserve">ז. ניתן צו כללי למוצגים לשיקול דעת קצין משטרה. </w:t>
      </w:r>
      <w:r>
        <w:rPr>
          <w:rFonts w:hint="cs"/>
          <w:noProof w:val="0"/>
          <w:rtl/>
        </w:rPr>
        <w:t>הסמים יושמדו.</w:t>
      </w:r>
    </w:p>
    <w:p w14:paraId="2C464B79" w14:textId="77777777" w:rsidR="00547131" w:rsidRDefault="004858E4">
      <w:pPr>
        <w:spacing w:line="360" w:lineRule="auto"/>
        <w:ind w:left="720"/>
        <w:jc w:val="both"/>
        <w:rPr>
          <w:rtl/>
        </w:rPr>
      </w:pPr>
      <w:r>
        <w:rPr>
          <w:rFonts w:hint="cs"/>
          <w:noProof w:val="0"/>
          <w:rtl/>
        </w:rPr>
        <w:t xml:space="preserve">ח. לבקשת התביעה, אני מורה על ביטול רישום הערות האזהרה וצווי המניעה שהוצאו על דירות המגורים במסגרת חקירה זאת (דירה ברחוב שד' יעלים 14/16 בבאר שבע, גוש 38068 חלקה 37 תת חלקה 16 ודירה ברחוב יוחנן הורקנוס 39/1 בבאר שבע גוש 38073, חלקה 147 תת חלקה 13). </w:t>
      </w:r>
    </w:p>
    <w:p w14:paraId="1FCA23F2" w14:textId="77777777" w:rsidR="00547131" w:rsidRDefault="00547131">
      <w:pPr>
        <w:spacing w:line="360" w:lineRule="auto"/>
        <w:jc w:val="both"/>
        <w:rPr>
          <w:rtl/>
        </w:rPr>
      </w:pPr>
    </w:p>
    <w:p w14:paraId="28D1BD3A" w14:textId="77777777" w:rsidR="00547131" w:rsidRDefault="004858E4">
      <w:pPr>
        <w:tabs>
          <w:tab w:val="left" w:pos="1625"/>
        </w:tabs>
        <w:jc w:val="right"/>
        <w:rPr>
          <w:rtl/>
        </w:rPr>
      </w:pPr>
      <w:r w:rsidRPr="004858E4">
        <w:rPr>
          <w:rFonts w:ascii="Arial" w:hAnsi="Arial"/>
          <w:b/>
          <w:bCs/>
          <w:color w:val="FFFFFF"/>
          <w:sz w:val="2"/>
          <w:szCs w:val="2"/>
          <w:rtl/>
        </w:rPr>
        <w:t>5129371</w:t>
      </w:r>
      <w:r>
        <w:rPr>
          <w:rFonts w:ascii="Arial" w:hAnsi="Arial"/>
          <w:b/>
          <w:bCs/>
          <w:rtl/>
        </w:rPr>
        <w:t xml:space="preserve">ניתנה היום, 25 פברואר 2013, במעמד הצדדים. </w:t>
      </w:r>
    </w:p>
    <w:p w14:paraId="11552A66" w14:textId="77777777" w:rsidR="004858E4" w:rsidRPr="004858E4" w:rsidRDefault="004858E4" w:rsidP="004858E4">
      <w:pPr>
        <w:keepNext/>
        <w:tabs>
          <w:tab w:val="left" w:pos="1625"/>
        </w:tabs>
        <w:rPr>
          <w:rFonts w:ascii="David" w:hAnsi="David"/>
          <w:color w:val="000000"/>
          <w:sz w:val="22"/>
          <w:szCs w:val="22"/>
          <w:rtl/>
        </w:rPr>
      </w:pPr>
    </w:p>
    <w:p w14:paraId="0B4833BF" w14:textId="77777777" w:rsidR="007168DB" w:rsidRPr="007168DB" w:rsidRDefault="007168DB" w:rsidP="007168DB">
      <w:pPr>
        <w:keepNext/>
        <w:tabs>
          <w:tab w:val="left" w:pos="1625"/>
        </w:tabs>
        <w:rPr>
          <w:rFonts w:ascii="David" w:hAnsi="David" w:hint="cs"/>
          <w:color w:val="000000"/>
          <w:sz w:val="22"/>
          <w:szCs w:val="22"/>
          <w:rtl/>
        </w:rPr>
      </w:pPr>
    </w:p>
    <w:p w14:paraId="6BF5CBB3" w14:textId="77777777" w:rsidR="007168DB" w:rsidRPr="007168DB" w:rsidRDefault="007168DB" w:rsidP="007168DB">
      <w:pPr>
        <w:keepNext/>
        <w:tabs>
          <w:tab w:val="left" w:pos="1625"/>
        </w:tabs>
        <w:rPr>
          <w:rFonts w:ascii="David" w:hAnsi="David"/>
          <w:color w:val="000000"/>
          <w:sz w:val="22"/>
          <w:szCs w:val="22"/>
          <w:rtl/>
        </w:rPr>
      </w:pPr>
      <w:r w:rsidRPr="007168DB">
        <w:rPr>
          <w:rFonts w:ascii="David" w:hAnsi="David" w:hint="eastAsia"/>
          <w:color w:val="000000"/>
          <w:sz w:val="22"/>
          <w:szCs w:val="22"/>
          <w:rtl/>
        </w:rPr>
        <w:t>בני</w:t>
      </w:r>
      <w:r w:rsidRPr="007168DB">
        <w:rPr>
          <w:rFonts w:ascii="David" w:hAnsi="David"/>
          <w:color w:val="000000"/>
          <w:sz w:val="22"/>
          <w:szCs w:val="22"/>
          <w:rtl/>
        </w:rPr>
        <w:t xml:space="preserve"> </w:t>
      </w:r>
      <w:r w:rsidRPr="007168DB">
        <w:rPr>
          <w:rFonts w:ascii="David" w:hAnsi="David" w:hint="eastAsia"/>
          <w:color w:val="000000"/>
          <w:sz w:val="22"/>
          <w:szCs w:val="22"/>
          <w:rtl/>
        </w:rPr>
        <w:t>שגיא</w:t>
      </w:r>
      <w:r w:rsidRPr="007168DB">
        <w:rPr>
          <w:rFonts w:ascii="David" w:hAnsi="David"/>
          <w:color w:val="000000"/>
          <w:sz w:val="22"/>
          <w:szCs w:val="22"/>
          <w:rtl/>
        </w:rPr>
        <w:t xml:space="preserve"> 54678313-/</w:t>
      </w:r>
    </w:p>
    <w:p w14:paraId="4F947D66" w14:textId="77777777" w:rsidR="00547131" w:rsidRPr="004858E4" w:rsidRDefault="007168DB">
      <w:pPr>
        <w:tabs>
          <w:tab w:val="left" w:pos="1625"/>
        </w:tabs>
        <w:ind w:left="4135" w:firstLine="1625"/>
        <w:rPr>
          <w:color w:val="FFFFFF"/>
          <w:sz w:val="2"/>
          <w:szCs w:val="2"/>
          <w:rtl/>
        </w:rPr>
      </w:pPr>
      <w:r w:rsidRPr="007168DB">
        <w:rPr>
          <w:color w:val="FFFFFF"/>
          <w:sz w:val="2"/>
          <w:szCs w:val="2"/>
          <w:rtl/>
        </w:rPr>
        <w:t>5129371</w:t>
      </w:r>
      <w:r w:rsidR="004858E4" w:rsidRPr="004858E4">
        <w:rPr>
          <w:color w:val="FFFFFF"/>
          <w:sz w:val="2"/>
          <w:szCs w:val="2"/>
          <w:rtl/>
        </w:rPr>
        <w:t>54678313</w:t>
      </w:r>
    </w:p>
    <w:tbl>
      <w:tblPr>
        <w:bidiVisual/>
        <w:tblW w:w="0" w:type="auto"/>
        <w:tblInd w:w="5733" w:type="dxa"/>
        <w:tblBorders>
          <w:top w:val="single" w:sz="4" w:space="0" w:color="auto"/>
        </w:tblBorders>
        <w:tblLook w:val="01E0" w:firstRow="1" w:lastRow="1" w:firstColumn="1" w:lastColumn="1" w:noHBand="0" w:noVBand="0"/>
      </w:tblPr>
      <w:tblGrid>
        <w:gridCol w:w="2700"/>
      </w:tblGrid>
      <w:tr w:rsidR="00547131" w14:paraId="1A5A8047" w14:textId="77777777">
        <w:tc>
          <w:tcPr>
            <w:tcW w:w="2700" w:type="dxa"/>
          </w:tcPr>
          <w:p w14:paraId="0E9B9723" w14:textId="77777777" w:rsidR="00547131" w:rsidRDefault="007168DB">
            <w:pPr>
              <w:tabs>
                <w:tab w:val="left" w:pos="1625"/>
              </w:tabs>
              <w:jc w:val="center"/>
              <w:rPr>
                <w:b/>
                <w:bCs/>
                <w:sz w:val="26"/>
                <w:szCs w:val="26"/>
                <w:rtl/>
              </w:rPr>
            </w:pPr>
            <w:r w:rsidRPr="007168DB">
              <w:rPr>
                <w:b/>
                <w:bCs/>
                <w:color w:val="FFFFFF"/>
                <w:sz w:val="2"/>
                <w:szCs w:val="2"/>
                <w:rtl/>
              </w:rPr>
              <w:t>54678313</w:t>
            </w:r>
            <w:r w:rsidR="004858E4">
              <w:rPr>
                <w:rFonts w:hint="cs"/>
                <w:b/>
                <w:bCs/>
                <w:sz w:val="26"/>
                <w:szCs w:val="26"/>
                <w:rtl/>
              </w:rPr>
              <w:t>בני שגיא, שופט</w:t>
            </w:r>
          </w:p>
          <w:p w14:paraId="0201CE78" w14:textId="77777777" w:rsidR="00547131" w:rsidRDefault="004858E4">
            <w:pPr>
              <w:tabs>
                <w:tab w:val="left" w:pos="1625"/>
              </w:tabs>
              <w:jc w:val="center"/>
              <w:rPr>
                <w:b/>
                <w:bCs/>
                <w:sz w:val="26"/>
                <w:szCs w:val="26"/>
                <w:rtl/>
              </w:rPr>
            </w:pPr>
            <w:r>
              <w:rPr>
                <w:rFonts w:hint="cs"/>
                <w:b/>
                <w:bCs/>
                <w:sz w:val="26"/>
                <w:szCs w:val="26"/>
                <w:rtl/>
              </w:rPr>
              <w:t>סגן נשיאה</w:t>
            </w:r>
          </w:p>
        </w:tc>
      </w:tr>
    </w:tbl>
    <w:p w14:paraId="1CF7DD7E" w14:textId="77777777" w:rsidR="004858E4" w:rsidRDefault="004858E4" w:rsidP="004858E4">
      <w:r w:rsidRPr="004858E4">
        <w:rPr>
          <w:rFonts w:hint="eastAsia"/>
          <w:color w:val="000000"/>
          <w:rtl/>
        </w:rPr>
        <w:t>נוסח</w:t>
      </w:r>
      <w:r w:rsidRPr="004858E4">
        <w:rPr>
          <w:color w:val="000000"/>
          <w:rtl/>
        </w:rPr>
        <w:t xml:space="preserve"> </w:t>
      </w:r>
      <w:r w:rsidRPr="004858E4">
        <w:rPr>
          <w:rFonts w:hint="eastAsia"/>
          <w:color w:val="000000"/>
          <w:rtl/>
        </w:rPr>
        <w:t>מסמך</w:t>
      </w:r>
      <w:r w:rsidRPr="004858E4">
        <w:rPr>
          <w:color w:val="000000"/>
          <w:rtl/>
        </w:rPr>
        <w:t xml:space="preserve"> </w:t>
      </w:r>
      <w:r w:rsidRPr="004858E4">
        <w:rPr>
          <w:rFonts w:hint="eastAsia"/>
          <w:color w:val="000000"/>
          <w:rtl/>
        </w:rPr>
        <w:t>זה</w:t>
      </w:r>
      <w:r w:rsidRPr="004858E4">
        <w:rPr>
          <w:color w:val="000000"/>
          <w:rtl/>
        </w:rPr>
        <w:t xml:space="preserve"> </w:t>
      </w:r>
      <w:r w:rsidRPr="004858E4">
        <w:rPr>
          <w:rFonts w:hint="eastAsia"/>
          <w:color w:val="000000"/>
          <w:rtl/>
        </w:rPr>
        <w:t>כפוף</w:t>
      </w:r>
      <w:r w:rsidRPr="004858E4">
        <w:rPr>
          <w:color w:val="000000"/>
          <w:rtl/>
        </w:rPr>
        <w:t xml:space="preserve"> </w:t>
      </w:r>
      <w:r w:rsidRPr="004858E4">
        <w:rPr>
          <w:rFonts w:hint="eastAsia"/>
          <w:color w:val="000000"/>
          <w:rtl/>
        </w:rPr>
        <w:t>לשינויי</w:t>
      </w:r>
      <w:r w:rsidRPr="004858E4">
        <w:rPr>
          <w:color w:val="000000"/>
          <w:rtl/>
        </w:rPr>
        <w:t xml:space="preserve"> </w:t>
      </w:r>
      <w:r w:rsidRPr="004858E4">
        <w:rPr>
          <w:rFonts w:hint="eastAsia"/>
          <w:color w:val="000000"/>
          <w:rtl/>
        </w:rPr>
        <w:t>ניסוח</w:t>
      </w:r>
      <w:r w:rsidRPr="004858E4">
        <w:rPr>
          <w:color w:val="000000"/>
          <w:rtl/>
        </w:rPr>
        <w:t xml:space="preserve"> </w:t>
      </w:r>
      <w:r w:rsidRPr="004858E4">
        <w:rPr>
          <w:rFonts w:hint="eastAsia"/>
          <w:color w:val="000000"/>
          <w:rtl/>
        </w:rPr>
        <w:t>ועריכה</w:t>
      </w:r>
    </w:p>
    <w:p w14:paraId="6BF8F001" w14:textId="77777777" w:rsidR="004858E4" w:rsidRDefault="004858E4" w:rsidP="004858E4">
      <w:pPr>
        <w:rPr>
          <w:rtl/>
        </w:rPr>
      </w:pPr>
    </w:p>
    <w:p w14:paraId="481C5045" w14:textId="77777777" w:rsidR="004858E4" w:rsidRDefault="004858E4" w:rsidP="004858E4">
      <w:pPr>
        <w:jc w:val="center"/>
        <w:rPr>
          <w:color w:val="0000FF"/>
          <w:u w:val="single"/>
        </w:rPr>
      </w:pPr>
      <w:r w:rsidRPr="00EA60B8">
        <w:rPr>
          <w:rFonts w:hint="eastAsia"/>
          <w:color w:val="000000"/>
          <w:rtl/>
        </w:rPr>
        <w:t>בעניין</w:t>
      </w:r>
      <w:r w:rsidRPr="00EA60B8">
        <w:rPr>
          <w:color w:val="000000"/>
          <w:rtl/>
        </w:rPr>
        <w:t xml:space="preserve"> </w:t>
      </w:r>
      <w:r w:rsidRPr="00EA60B8">
        <w:rPr>
          <w:rFonts w:hint="eastAsia"/>
          <w:color w:val="000000"/>
          <w:rtl/>
        </w:rPr>
        <w:t>עריכה</w:t>
      </w:r>
      <w:r w:rsidRPr="00EA60B8">
        <w:rPr>
          <w:color w:val="000000"/>
          <w:rtl/>
        </w:rPr>
        <w:t xml:space="preserve"> </w:t>
      </w:r>
      <w:r w:rsidRPr="00EA60B8">
        <w:rPr>
          <w:rFonts w:hint="eastAsia"/>
          <w:color w:val="000000"/>
          <w:rtl/>
        </w:rPr>
        <w:t>ושינויים</w:t>
      </w:r>
      <w:r w:rsidRPr="00EA60B8">
        <w:rPr>
          <w:color w:val="000000"/>
          <w:rtl/>
        </w:rPr>
        <w:t xml:space="preserve"> </w:t>
      </w:r>
      <w:r w:rsidRPr="00EA60B8">
        <w:rPr>
          <w:rFonts w:hint="eastAsia"/>
          <w:color w:val="000000"/>
          <w:rtl/>
        </w:rPr>
        <w:t>במסמכי</w:t>
      </w:r>
      <w:r w:rsidRPr="00EA60B8">
        <w:rPr>
          <w:color w:val="000000"/>
          <w:rtl/>
        </w:rPr>
        <w:t xml:space="preserve"> </w:t>
      </w:r>
      <w:r w:rsidRPr="00EA60B8">
        <w:rPr>
          <w:rFonts w:hint="eastAsia"/>
          <w:color w:val="000000"/>
          <w:rtl/>
        </w:rPr>
        <w:t>פסיקה</w:t>
      </w:r>
      <w:r w:rsidRPr="00EA60B8">
        <w:rPr>
          <w:color w:val="000000"/>
          <w:rtl/>
        </w:rPr>
        <w:t xml:space="preserve">, </w:t>
      </w:r>
      <w:r w:rsidRPr="00EA60B8">
        <w:rPr>
          <w:rFonts w:hint="eastAsia"/>
          <w:color w:val="000000"/>
          <w:rtl/>
        </w:rPr>
        <w:t>חקיקה</w:t>
      </w:r>
      <w:r w:rsidRPr="00EA60B8">
        <w:rPr>
          <w:color w:val="000000"/>
          <w:rtl/>
        </w:rPr>
        <w:t xml:space="preserve"> </w:t>
      </w:r>
      <w:r w:rsidRPr="00EA60B8">
        <w:rPr>
          <w:rFonts w:hint="eastAsia"/>
          <w:color w:val="000000"/>
          <w:rtl/>
        </w:rPr>
        <w:t>ועוד</w:t>
      </w:r>
      <w:r w:rsidRPr="00EA60B8">
        <w:rPr>
          <w:color w:val="000000"/>
          <w:rtl/>
        </w:rPr>
        <w:t xml:space="preserve"> </w:t>
      </w:r>
      <w:r w:rsidRPr="00EA60B8">
        <w:rPr>
          <w:rFonts w:hint="eastAsia"/>
          <w:color w:val="000000"/>
          <w:rtl/>
        </w:rPr>
        <w:t>באתר</w:t>
      </w:r>
      <w:r w:rsidRPr="00EA60B8">
        <w:rPr>
          <w:color w:val="000000"/>
          <w:rtl/>
        </w:rPr>
        <w:t xml:space="preserve"> </w:t>
      </w:r>
      <w:r w:rsidRPr="00EA60B8">
        <w:rPr>
          <w:rFonts w:hint="eastAsia"/>
          <w:color w:val="000000"/>
          <w:rtl/>
        </w:rPr>
        <w:t>נבו</w:t>
      </w:r>
      <w:r w:rsidRPr="00EA60B8">
        <w:rPr>
          <w:color w:val="000000"/>
          <w:rtl/>
        </w:rPr>
        <w:t xml:space="preserve"> – </w:t>
      </w:r>
      <w:r w:rsidRPr="00EA60B8">
        <w:rPr>
          <w:rFonts w:hint="eastAsia"/>
          <w:color w:val="000000"/>
          <w:rtl/>
        </w:rPr>
        <w:t>הקש</w:t>
      </w:r>
      <w:r w:rsidRPr="00EA60B8">
        <w:rPr>
          <w:color w:val="000000"/>
          <w:rtl/>
        </w:rPr>
        <w:t xml:space="preserve"> </w:t>
      </w:r>
      <w:r w:rsidRPr="00EA60B8">
        <w:rPr>
          <w:rFonts w:hint="eastAsia"/>
          <w:color w:val="000000"/>
          <w:rtl/>
        </w:rPr>
        <w:t>כאן</w:t>
      </w:r>
    </w:p>
    <w:sectPr w:rsidR="004858E4" w:rsidSect="007168DB">
      <w:headerReference w:type="even" r:id="rId15"/>
      <w:headerReference w:type="default" r:id="rId16"/>
      <w:footerReference w:type="even" r:id="rId17"/>
      <w:footerReference w:type="default" r:id="rId18"/>
      <w:pgSz w:w="11907" w:h="16840" w:code="9"/>
      <w:pgMar w:top="1701" w:right="720" w:bottom="720" w:left="72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090C5" w14:textId="77777777" w:rsidR="006C50F7" w:rsidRPr="0063125F" w:rsidRDefault="006C50F7">
      <w:pPr>
        <w:rPr>
          <w:rFonts w:cs="Arial"/>
          <w:szCs w:val="20"/>
        </w:rPr>
      </w:pPr>
      <w:r>
        <w:separator/>
      </w:r>
    </w:p>
  </w:endnote>
  <w:endnote w:type="continuationSeparator" w:id="0">
    <w:p w14:paraId="393CA258" w14:textId="77777777" w:rsidR="006C50F7" w:rsidRPr="0063125F" w:rsidRDefault="006C50F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Niagara Solid">
    <w:panose1 w:val="04020502070702020202"/>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C547F" w14:textId="77777777" w:rsidR="001E052B" w:rsidRDefault="001E052B" w:rsidP="007168D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0127D0D" w14:textId="77777777" w:rsidR="001E052B" w:rsidRPr="007168DB" w:rsidRDefault="001E052B" w:rsidP="007168DB">
    <w:pPr>
      <w:pStyle w:val="a4"/>
      <w:pBdr>
        <w:top w:val="single" w:sz="4" w:space="1" w:color="auto"/>
        <w:between w:val="single" w:sz="4" w:space="0" w:color="auto"/>
      </w:pBdr>
      <w:spacing w:after="60"/>
      <w:jc w:val="center"/>
      <w:rPr>
        <w:rFonts w:ascii="FrankRuehl" w:hAnsi="FrankRuehl" w:cs="FrankRuehl"/>
        <w:color w:val="000000"/>
      </w:rPr>
    </w:pPr>
    <w:r w:rsidRPr="007168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D967C" w14:textId="77777777" w:rsidR="001E052B" w:rsidRDefault="001E052B" w:rsidP="007168DB">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9D3CFC">
      <w:rPr>
        <w:rFonts w:ascii="FrankRuehl" w:hAnsi="FrankRuehl" w:cs="FrankRuehl"/>
        <w:rtl/>
      </w:rPr>
      <w:t>1</w:t>
    </w:r>
    <w:r>
      <w:rPr>
        <w:rFonts w:ascii="FrankRuehl" w:hAnsi="FrankRuehl" w:cs="FrankRuehl"/>
        <w:rtl/>
      </w:rPr>
      <w:fldChar w:fldCharType="end"/>
    </w:r>
  </w:p>
  <w:p w14:paraId="531307EF" w14:textId="77777777" w:rsidR="001E052B" w:rsidRPr="007168DB" w:rsidRDefault="001E052B" w:rsidP="007168DB">
    <w:pPr>
      <w:pStyle w:val="a4"/>
      <w:pBdr>
        <w:top w:val="single" w:sz="4" w:space="1" w:color="auto"/>
        <w:between w:val="single" w:sz="4" w:space="0" w:color="auto"/>
      </w:pBdr>
      <w:spacing w:after="60"/>
      <w:jc w:val="center"/>
      <w:rPr>
        <w:rFonts w:ascii="FrankRuehl" w:hAnsi="FrankRuehl" w:cs="FrankRuehl" w:hint="cs"/>
        <w:color w:val="000000"/>
        <w:rtl/>
      </w:rPr>
    </w:pPr>
    <w:r w:rsidRPr="007168DB">
      <w:rPr>
        <w:rFonts w:ascii="FrankRuehl" w:hAnsi="FrankRuehl" w:cs="FrankRuehl" w:hint="cs"/>
        <w:color w:val="000000"/>
      </w:rPr>
      <w:pict w14:anchorId="48534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4B2C7" w14:textId="77777777" w:rsidR="006C50F7" w:rsidRPr="0063125F" w:rsidRDefault="006C50F7">
      <w:pPr>
        <w:rPr>
          <w:rFonts w:cs="Arial"/>
          <w:szCs w:val="20"/>
        </w:rPr>
      </w:pPr>
      <w:r>
        <w:separator/>
      </w:r>
    </w:p>
  </w:footnote>
  <w:footnote w:type="continuationSeparator" w:id="0">
    <w:p w14:paraId="6F7102C8" w14:textId="77777777" w:rsidR="006C50F7" w:rsidRPr="0063125F" w:rsidRDefault="006C50F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8CC43" w14:textId="77777777" w:rsidR="001E052B" w:rsidRPr="007168DB" w:rsidRDefault="001E052B" w:rsidP="007168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29401-11-12</w:t>
    </w:r>
    <w:r>
      <w:rPr>
        <w:rFonts w:ascii="David" w:hAnsi="David"/>
        <w:color w:val="000000"/>
        <w:sz w:val="22"/>
        <w:szCs w:val="22"/>
        <w:rtl/>
      </w:rPr>
      <w:tab/>
      <w:t xml:space="preserve"> מדינת ישראל משטרת ישראל נ' רונן לוין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6C6FE" w14:textId="77777777" w:rsidR="001E052B" w:rsidRPr="007168DB" w:rsidRDefault="001E052B" w:rsidP="007168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29401-11-12</w:t>
    </w:r>
    <w:r>
      <w:rPr>
        <w:rFonts w:ascii="David" w:hAnsi="David"/>
        <w:color w:val="000000"/>
        <w:sz w:val="22"/>
        <w:szCs w:val="22"/>
        <w:rtl/>
      </w:rPr>
      <w:tab/>
      <w:t xml:space="preserve"> מדינת ישראל משטרת ישראל נ' רונן לוין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47131"/>
    <w:rsid w:val="0005599A"/>
    <w:rsid w:val="001E052B"/>
    <w:rsid w:val="0025460D"/>
    <w:rsid w:val="004858E4"/>
    <w:rsid w:val="00547131"/>
    <w:rsid w:val="006172E7"/>
    <w:rsid w:val="006C50F7"/>
    <w:rsid w:val="007168DB"/>
    <w:rsid w:val="008D6BCD"/>
    <w:rsid w:val="009D3CFC"/>
    <w:rsid w:val="00B36F91"/>
    <w:rsid w:val="00C60CFE"/>
    <w:rsid w:val="00EA60B8"/>
    <w:rsid w:val="00EF3B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565061"/>
  <w15:chartTrackingRefBased/>
  <w15:docId w15:val="{1ABFAD66-8280-4629-A0EA-05C888AF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7131"/>
    <w:pPr>
      <w:bidi/>
    </w:pPr>
    <w:rPr>
      <w:rFonts w:ascii="Arial (W1)" w:hAnsi="Arial (W1)"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47131"/>
    <w:pPr>
      <w:tabs>
        <w:tab w:val="center" w:pos="4153"/>
        <w:tab w:val="right" w:pos="8306"/>
      </w:tabs>
    </w:pPr>
  </w:style>
  <w:style w:type="paragraph" w:styleId="a4">
    <w:name w:val="footer"/>
    <w:basedOn w:val="a"/>
    <w:rsid w:val="00547131"/>
    <w:pPr>
      <w:tabs>
        <w:tab w:val="center" w:pos="4153"/>
        <w:tab w:val="right" w:pos="8306"/>
      </w:tabs>
    </w:pPr>
  </w:style>
  <w:style w:type="character" w:styleId="a5">
    <w:name w:val="page number"/>
    <w:basedOn w:val="a0"/>
    <w:rsid w:val="004858E4"/>
  </w:style>
  <w:style w:type="character" w:styleId="Hyperlink">
    <w:name w:val="Hyperlink"/>
    <w:rsid w:val="004858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i" TargetMode="External"/><Relationship Id="rId13" Type="http://schemas.openxmlformats.org/officeDocument/2006/relationships/hyperlink" Target="http://www.nevo.co.il/case/5079155"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40i" TargetMode="External"/><Relationship Id="rId12" Type="http://schemas.openxmlformats.org/officeDocument/2006/relationships/hyperlink" Target="http://www.nevo.co.il/case/4773189"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41995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case/485572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491467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2303</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13791</CharactersWithSpaces>
  <SharedDoc>false</SharedDoc>
  <HLinks>
    <vt:vector size="54" baseType="variant">
      <vt:variant>
        <vt:i4>3866750</vt:i4>
      </vt:variant>
      <vt:variant>
        <vt:i4>24</vt:i4>
      </vt:variant>
      <vt:variant>
        <vt:i4>0</vt:i4>
      </vt:variant>
      <vt:variant>
        <vt:i4>5</vt:i4>
      </vt:variant>
      <vt:variant>
        <vt:lpwstr>http://www.nevo.co.il/case/4914678</vt:lpwstr>
      </vt:variant>
      <vt:variant>
        <vt:lpwstr/>
      </vt:variant>
      <vt:variant>
        <vt:i4>3539064</vt:i4>
      </vt:variant>
      <vt:variant>
        <vt:i4>21</vt:i4>
      </vt:variant>
      <vt:variant>
        <vt:i4>0</vt:i4>
      </vt:variant>
      <vt:variant>
        <vt:i4>5</vt:i4>
      </vt:variant>
      <vt:variant>
        <vt:lpwstr>http://www.nevo.co.il/case/5079155</vt:lpwstr>
      </vt:variant>
      <vt:variant>
        <vt:lpwstr/>
      </vt:variant>
      <vt:variant>
        <vt:i4>3866744</vt:i4>
      </vt:variant>
      <vt:variant>
        <vt:i4>18</vt:i4>
      </vt:variant>
      <vt:variant>
        <vt:i4>0</vt:i4>
      </vt:variant>
      <vt:variant>
        <vt:i4>5</vt:i4>
      </vt:variant>
      <vt:variant>
        <vt:lpwstr>http://www.nevo.co.il/case/4773189</vt:lpwstr>
      </vt:variant>
      <vt:variant>
        <vt:lpwstr/>
      </vt:variant>
      <vt:variant>
        <vt:i4>524364</vt:i4>
      </vt:variant>
      <vt:variant>
        <vt:i4>15</vt:i4>
      </vt:variant>
      <vt:variant>
        <vt:i4>0</vt:i4>
      </vt:variant>
      <vt:variant>
        <vt:i4>5</vt:i4>
      </vt:variant>
      <vt:variant>
        <vt:lpwstr>http://www.nevo.co.il/case/419951</vt:lpwstr>
      </vt:variant>
      <vt:variant>
        <vt:lpwstr/>
      </vt:variant>
      <vt:variant>
        <vt:i4>3604603</vt:i4>
      </vt:variant>
      <vt:variant>
        <vt:i4>12</vt:i4>
      </vt:variant>
      <vt:variant>
        <vt:i4>0</vt:i4>
      </vt:variant>
      <vt:variant>
        <vt:i4>5</vt:i4>
      </vt:variant>
      <vt:variant>
        <vt:lpwstr>http://www.nevo.co.il/case/4855721</vt:lpwstr>
      </vt:variant>
      <vt:variant>
        <vt:lpwstr/>
      </vt:variant>
      <vt:variant>
        <vt:i4>7995492</vt:i4>
      </vt:variant>
      <vt:variant>
        <vt:i4>9</vt:i4>
      </vt:variant>
      <vt:variant>
        <vt:i4>0</vt:i4>
      </vt:variant>
      <vt:variant>
        <vt:i4>5</vt:i4>
      </vt:variant>
      <vt:variant>
        <vt:lpwstr>http://www.nevo.co.il/law/70301</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2025-04-22T21:51:00Z</dcterms:created>
  <dcterms:modified xsi:type="dcterms:W3CDTF">2025-04-22T21:51:00Z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29401</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 משטרת ישראל</vt:lpwstr>
  </property>
  <property fmtid="{D5CDD505-2E9C-101B-9397-08002B2CF9AE}" pid="9" name="APPELLEE">
    <vt:lpwstr>רונן לוין</vt:lpwstr>
  </property>
  <property fmtid="{D5CDD505-2E9C-101B-9397-08002B2CF9AE}" pid="10" name="LAWYER">
    <vt:lpwstr>אבי שגב;יוסי זילברברג</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20130225</vt:lpwstr>
  </property>
  <property fmtid="{D5CDD505-2E9C-101B-9397-08002B2CF9AE}" pid="14" name="TYPE_N_DATE">
    <vt:lpwstr>38020130225</vt:lpwstr>
  </property>
  <property fmtid="{D5CDD505-2E9C-101B-9397-08002B2CF9AE}" pid="15" name="WORDNUMPAGES">
    <vt:lpwstr>6</vt:lpwstr>
  </property>
  <property fmtid="{D5CDD505-2E9C-101B-9397-08002B2CF9AE}" pid="16" name="TYPE_ABS_DATE">
    <vt:lpwstr>380020130225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4855721;419951;4773189;5079155;4914678</vt:lpwstr>
  </property>
  <property fmtid="{D5CDD505-2E9C-101B-9397-08002B2CF9AE}" pid="36" name="LAWLISTTMP1">
    <vt:lpwstr>70301/040i</vt:lpwstr>
  </property>
</Properties>
</file>