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188"/>
        <w:gridCol w:w="4424"/>
        <w:gridCol w:w="108"/>
      </w:tblGrid>
      <w:tr w:rsidR="004C6E69" w:rsidRPr="00322FFF" w14:paraId="17A72A82" w14:textId="77777777">
        <w:trPr>
          <w:trHeight w:hRule="exact" w:val="418"/>
          <w:jc w:val="center"/>
        </w:trPr>
        <w:tc>
          <w:tcPr>
            <w:tcW w:w="8720" w:type="dxa"/>
            <w:gridSpan w:val="3"/>
          </w:tcPr>
          <w:p w14:paraId="3280F0EB" w14:textId="77777777" w:rsidR="004C6E69" w:rsidRPr="00322FFF" w:rsidRDefault="00322FFF">
            <w:pPr>
              <w:pStyle w:val="a3"/>
              <w:tabs>
                <w:tab w:val="clear" w:pos="8306"/>
              </w:tabs>
              <w:jc w:val="center"/>
              <w:rPr>
                <w:rFonts w:ascii="Tahoma" w:hAnsi="Tahoma" w:cs="Tahoma"/>
                <w:b/>
                <w:bCs/>
                <w:color w:val="000080"/>
                <w:sz w:val="20"/>
                <w:szCs w:val="20"/>
                <w:rtl/>
              </w:rPr>
            </w:pPr>
            <w:r w:rsidRPr="00322FFF">
              <w:rPr>
                <w:rFonts w:ascii="Tahoma" w:hAnsi="Tahoma" w:cs="Tahoma"/>
                <w:b/>
                <w:bCs/>
                <w:color w:val="000080"/>
                <w:sz w:val="20"/>
                <w:szCs w:val="20"/>
                <w:rtl/>
              </w:rPr>
              <w:t>בית משפט השלום בטבריה</w:t>
            </w:r>
            <w:r w:rsidRPr="00322FFF">
              <w:rPr>
                <w:rFonts w:ascii="Tahoma" w:hAnsi="Tahoma" w:cs="Tahoma" w:hint="cs"/>
                <w:b/>
                <w:bCs/>
                <w:color w:val="000080"/>
                <w:sz w:val="20"/>
                <w:szCs w:val="20"/>
                <w:rtl/>
              </w:rPr>
              <w:t xml:space="preserve"> </w:t>
            </w:r>
          </w:p>
        </w:tc>
      </w:tr>
      <w:tr w:rsidR="004C6E69" w:rsidRPr="00322FFF" w14:paraId="5792C438" w14:textId="77777777">
        <w:trPr>
          <w:gridAfter w:val="1"/>
          <w:wAfter w:w="108" w:type="dxa"/>
          <w:trHeight w:val="360"/>
          <w:jc w:val="center"/>
        </w:trPr>
        <w:tc>
          <w:tcPr>
            <w:tcW w:w="4188" w:type="dxa"/>
          </w:tcPr>
          <w:p w14:paraId="03168D7B" w14:textId="77777777" w:rsidR="004C6E69" w:rsidRPr="00322FFF" w:rsidRDefault="00322FFF">
            <w:pPr>
              <w:rPr>
                <w:b/>
                <w:bCs/>
                <w:rtl/>
              </w:rPr>
            </w:pPr>
            <w:r w:rsidRPr="00322FFF">
              <w:rPr>
                <w:rFonts w:hint="cs"/>
                <w:b/>
                <w:bCs/>
                <w:rtl/>
              </w:rPr>
              <w:t>בפני כב' השופט דורון פורת, סגן נשיא</w:t>
            </w:r>
          </w:p>
        </w:tc>
        <w:tc>
          <w:tcPr>
            <w:tcW w:w="4424" w:type="dxa"/>
          </w:tcPr>
          <w:p w14:paraId="133E4968" w14:textId="77777777" w:rsidR="004C6E69" w:rsidRPr="00322FFF" w:rsidRDefault="00322FFF">
            <w:pPr>
              <w:jc w:val="right"/>
              <w:rPr>
                <w:rtl/>
              </w:rPr>
            </w:pPr>
            <w:r w:rsidRPr="00322FFF">
              <w:rPr>
                <w:rtl/>
              </w:rPr>
              <w:t>ת"פ</w:t>
            </w:r>
            <w:r w:rsidRPr="00322FFF">
              <w:rPr>
                <w:rFonts w:hint="cs"/>
                <w:rtl/>
              </w:rPr>
              <w:t xml:space="preserve"> </w:t>
            </w:r>
            <w:r w:rsidRPr="00322FFF">
              <w:rPr>
                <w:rtl/>
              </w:rPr>
              <w:t>31271-11-12</w:t>
            </w:r>
            <w:r w:rsidRPr="00322FFF">
              <w:rPr>
                <w:rFonts w:hint="cs"/>
                <w:rtl/>
              </w:rPr>
              <w:t xml:space="preserve"> </w:t>
            </w:r>
            <w:r w:rsidRPr="00322FFF">
              <w:rPr>
                <w:rtl/>
              </w:rPr>
              <w:t>מדינת ישראל נ' אביטל</w:t>
            </w:r>
          </w:p>
        </w:tc>
      </w:tr>
      <w:tr w:rsidR="004C6E69" w:rsidRPr="00322FFF" w14:paraId="5A13D427" w14:textId="77777777">
        <w:trPr>
          <w:gridAfter w:val="1"/>
          <w:wAfter w:w="108" w:type="dxa"/>
          <w:trHeight w:val="360"/>
          <w:jc w:val="center"/>
        </w:trPr>
        <w:tc>
          <w:tcPr>
            <w:tcW w:w="4188" w:type="dxa"/>
          </w:tcPr>
          <w:p w14:paraId="347E73FB" w14:textId="77777777" w:rsidR="004C6E69" w:rsidRPr="00322FFF" w:rsidRDefault="004C6E69">
            <w:pPr>
              <w:rPr>
                <w:rtl/>
              </w:rPr>
            </w:pPr>
            <w:bookmarkStart w:id="0" w:name="LastJudge"/>
            <w:bookmarkEnd w:id="0"/>
          </w:p>
        </w:tc>
        <w:tc>
          <w:tcPr>
            <w:tcW w:w="4424" w:type="dxa"/>
          </w:tcPr>
          <w:p w14:paraId="723443A4" w14:textId="77777777" w:rsidR="004C6E69" w:rsidRPr="00322FFF" w:rsidRDefault="00322FFF">
            <w:pPr>
              <w:jc w:val="right"/>
              <w:rPr>
                <w:b/>
                <w:bCs/>
                <w:rtl/>
              </w:rPr>
            </w:pPr>
            <w:r w:rsidRPr="00322FFF">
              <w:rPr>
                <w:b/>
                <w:bCs/>
                <w:rtl/>
              </w:rPr>
              <w:t>12 נובמבר 2013</w:t>
            </w:r>
          </w:p>
        </w:tc>
      </w:tr>
    </w:tbl>
    <w:p w14:paraId="45BEB376" w14:textId="77777777" w:rsidR="004C6E69" w:rsidRPr="00322FFF" w:rsidRDefault="004C6E69">
      <w:pPr>
        <w:pStyle w:val="a3"/>
        <w:rPr>
          <w:rFonts w:ascii="Tahoma" w:hAnsi="Tahoma" w:cs="Tahoma"/>
          <w:b/>
          <w:bCs/>
          <w:color w:val="000080"/>
          <w:sz w:val="20"/>
          <w:szCs w:val="20"/>
          <w:rtl/>
        </w:rPr>
      </w:pPr>
    </w:p>
    <w:p w14:paraId="3FF780CC" w14:textId="77777777" w:rsidR="004C6E69" w:rsidRPr="00322FFF" w:rsidRDefault="004C6E69">
      <w:pPr>
        <w:spacing w:line="360" w:lineRule="auto"/>
        <w:rPr>
          <w:b/>
          <w:bCs/>
          <w:rtl/>
        </w:rPr>
      </w:pPr>
    </w:p>
    <w:tbl>
      <w:tblPr>
        <w:bidiVisual/>
        <w:tblW w:w="0" w:type="auto"/>
        <w:jc w:val="center"/>
        <w:tblLook w:val="0000" w:firstRow="0" w:lastRow="0" w:firstColumn="0" w:lastColumn="0" w:noHBand="0" w:noVBand="0"/>
      </w:tblPr>
      <w:tblGrid>
        <w:gridCol w:w="3935"/>
        <w:gridCol w:w="700"/>
        <w:gridCol w:w="361"/>
        <w:gridCol w:w="3643"/>
        <w:gridCol w:w="81"/>
      </w:tblGrid>
      <w:tr w:rsidR="004C6E69" w:rsidRPr="00322FFF" w14:paraId="165B0A0A" w14:textId="77777777">
        <w:trPr>
          <w:gridAfter w:val="1"/>
          <w:wAfter w:w="54" w:type="dxa"/>
          <w:trHeight w:val="337"/>
          <w:jc w:val="center"/>
        </w:trPr>
        <w:tc>
          <w:tcPr>
            <w:tcW w:w="3973" w:type="dxa"/>
          </w:tcPr>
          <w:p w14:paraId="1514DE2A" w14:textId="77777777" w:rsidR="004C6E69" w:rsidRPr="00322FFF" w:rsidRDefault="00322FFF">
            <w:pPr>
              <w:rPr>
                <w:rFonts w:ascii="Times New Roman" w:hAnsi="Times New Roman"/>
                <w:b/>
                <w:bCs/>
                <w:sz w:val="26"/>
                <w:szCs w:val="26"/>
                <w:rtl/>
              </w:rPr>
            </w:pPr>
            <w:r w:rsidRPr="00322FFF">
              <w:rPr>
                <w:rFonts w:hint="cs"/>
                <w:b/>
                <w:bCs/>
                <w:sz w:val="26"/>
                <w:szCs w:val="26"/>
                <w:rtl/>
              </w:rPr>
              <w:t>בעניין:</w:t>
            </w:r>
          </w:p>
        </w:tc>
        <w:tc>
          <w:tcPr>
            <w:tcW w:w="1071" w:type="dxa"/>
            <w:gridSpan w:val="2"/>
          </w:tcPr>
          <w:p w14:paraId="5C9BB2BE" w14:textId="77777777" w:rsidR="004C6E69" w:rsidRPr="00322FFF" w:rsidRDefault="004C6E69">
            <w:pPr>
              <w:pStyle w:val="a3"/>
              <w:jc w:val="both"/>
              <w:rPr>
                <w:b/>
                <w:bCs/>
                <w:sz w:val="26"/>
                <w:szCs w:val="26"/>
                <w:rtl/>
              </w:rPr>
            </w:pPr>
          </w:p>
        </w:tc>
        <w:tc>
          <w:tcPr>
            <w:tcW w:w="3676" w:type="dxa"/>
          </w:tcPr>
          <w:p w14:paraId="5C2519C9" w14:textId="77777777" w:rsidR="004C6E69" w:rsidRPr="00322FFF" w:rsidRDefault="004C6E69">
            <w:pPr>
              <w:pStyle w:val="a3"/>
              <w:jc w:val="right"/>
              <w:rPr>
                <w:b/>
                <w:bCs/>
                <w:rtl/>
              </w:rPr>
            </w:pPr>
          </w:p>
        </w:tc>
      </w:tr>
      <w:tr w:rsidR="004C6E69" w:rsidRPr="00322FFF" w14:paraId="7AB33B7C" w14:textId="77777777">
        <w:tblPrEx>
          <w:jc w:val="left"/>
          <w:tblLook w:val="01E0" w:firstRow="1" w:lastRow="1" w:firstColumn="1" w:lastColumn="1" w:noHBand="0" w:noVBand="0"/>
        </w:tblPrEx>
        <w:tc>
          <w:tcPr>
            <w:tcW w:w="4680" w:type="dxa"/>
            <w:gridSpan w:val="2"/>
          </w:tcPr>
          <w:p w14:paraId="3D9CE931" w14:textId="77777777" w:rsidR="004C6E69" w:rsidRPr="00322FFF" w:rsidRDefault="00322FFF">
            <w:pPr>
              <w:rPr>
                <w:b/>
                <w:bCs/>
              </w:rPr>
            </w:pPr>
            <w:bookmarkStart w:id="1" w:name="FirstAppellant"/>
            <w:r w:rsidRPr="00322FFF">
              <w:rPr>
                <w:rFonts w:ascii="Times New Roman" w:eastAsia="Times New Roman" w:hAnsi="Times New Roman" w:hint="cs"/>
                <w:b/>
                <w:bCs/>
                <w:sz w:val="26"/>
                <w:szCs w:val="26"/>
                <w:rtl/>
              </w:rPr>
              <w:t xml:space="preserve"> </w:t>
            </w:r>
            <w:r w:rsidRPr="00322FFF">
              <w:rPr>
                <w:rFonts w:ascii="Times New Roman" w:eastAsia="Times New Roman" w:hAnsi="Times New Roman" w:hint="cs"/>
                <w:b/>
                <w:bCs/>
                <w:rtl/>
              </w:rPr>
              <w:t>מדינת ישראל</w:t>
            </w:r>
          </w:p>
          <w:p w14:paraId="47AAC22F" w14:textId="77777777" w:rsidR="004C6E69" w:rsidRPr="00322FFF" w:rsidRDefault="004C6E69">
            <w:pPr>
              <w:ind w:left="26"/>
              <w:rPr>
                <w:rFonts w:ascii="Times New Roman" w:eastAsia="Times New Roman" w:hAnsi="Times New Roman"/>
                <w:b/>
                <w:bCs/>
                <w:sz w:val="26"/>
                <w:szCs w:val="26"/>
                <w:rtl/>
              </w:rPr>
            </w:pPr>
          </w:p>
        </w:tc>
        <w:tc>
          <w:tcPr>
            <w:tcW w:w="4122" w:type="dxa"/>
            <w:gridSpan w:val="3"/>
          </w:tcPr>
          <w:p w14:paraId="7CE8668D" w14:textId="77777777" w:rsidR="004C6E69" w:rsidRPr="00322FFF" w:rsidRDefault="00322FFF">
            <w:pPr>
              <w:jc w:val="right"/>
              <w:rPr>
                <w:rFonts w:ascii="Times New Roman" w:eastAsia="Times New Roman" w:hAnsi="Times New Roman"/>
                <w:b/>
                <w:bCs/>
                <w:sz w:val="26"/>
                <w:szCs w:val="26"/>
                <w:rtl/>
              </w:rPr>
            </w:pPr>
            <w:r w:rsidRPr="00322FFF">
              <w:rPr>
                <w:rFonts w:ascii="Times New Roman" w:eastAsia="Times New Roman" w:hAnsi="Times New Roman" w:hint="cs"/>
                <w:b/>
                <w:bCs/>
                <w:sz w:val="26"/>
                <w:szCs w:val="26"/>
                <w:rtl/>
              </w:rPr>
              <w:t>ה</w:t>
            </w:r>
            <w:r w:rsidRPr="00322FFF">
              <w:rPr>
                <w:rFonts w:ascii="Times New Roman" w:eastAsia="Times New Roman" w:hAnsi="Times New Roman" w:hint="cs"/>
                <w:b/>
                <w:bCs/>
                <w:rtl/>
              </w:rPr>
              <w:t>מאשימה</w:t>
            </w:r>
          </w:p>
        </w:tc>
      </w:tr>
      <w:bookmarkEnd w:id="1"/>
      <w:tr w:rsidR="004C6E69" w:rsidRPr="00322FFF" w14:paraId="5A40BDFC" w14:textId="77777777">
        <w:tblPrEx>
          <w:jc w:val="left"/>
          <w:tblLook w:val="01E0" w:firstRow="1" w:lastRow="1" w:firstColumn="1" w:lastColumn="1" w:noHBand="0" w:noVBand="0"/>
        </w:tblPrEx>
        <w:tc>
          <w:tcPr>
            <w:tcW w:w="8802" w:type="dxa"/>
            <w:gridSpan w:val="5"/>
          </w:tcPr>
          <w:p w14:paraId="48FE0573" w14:textId="77777777" w:rsidR="004C6E69" w:rsidRPr="00322FFF" w:rsidRDefault="004C6E69">
            <w:pPr>
              <w:jc w:val="both"/>
              <w:rPr>
                <w:rFonts w:ascii="Arial" w:eastAsia="Times New Roman" w:hAnsi="Arial"/>
                <w:b/>
                <w:bCs/>
                <w:sz w:val="26"/>
                <w:szCs w:val="26"/>
                <w:rtl/>
              </w:rPr>
            </w:pPr>
          </w:p>
          <w:p w14:paraId="5423DAED" w14:textId="77777777" w:rsidR="004C6E69" w:rsidRPr="00322FFF" w:rsidRDefault="00322FFF">
            <w:pPr>
              <w:jc w:val="center"/>
              <w:rPr>
                <w:rFonts w:ascii="Arial" w:eastAsia="Times New Roman" w:hAnsi="Arial"/>
                <w:b/>
                <w:bCs/>
                <w:sz w:val="26"/>
                <w:szCs w:val="26"/>
                <w:rtl/>
              </w:rPr>
            </w:pPr>
            <w:r w:rsidRPr="00322FFF">
              <w:rPr>
                <w:rFonts w:ascii="Arial" w:eastAsia="Times New Roman" w:hAnsi="Arial"/>
                <w:b/>
                <w:bCs/>
                <w:sz w:val="26"/>
                <w:szCs w:val="26"/>
                <w:rtl/>
              </w:rPr>
              <w:t>נגד</w:t>
            </w:r>
          </w:p>
          <w:p w14:paraId="7E92A13E" w14:textId="77777777" w:rsidR="004C6E69" w:rsidRPr="00322FFF" w:rsidRDefault="004C6E69">
            <w:pPr>
              <w:jc w:val="center"/>
              <w:rPr>
                <w:rFonts w:ascii="Arial" w:eastAsia="Times New Roman" w:hAnsi="Arial"/>
                <w:b/>
                <w:bCs/>
                <w:sz w:val="26"/>
                <w:szCs w:val="26"/>
              </w:rPr>
            </w:pPr>
          </w:p>
        </w:tc>
      </w:tr>
      <w:tr w:rsidR="004C6E69" w:rsidRPr="00322FFF" w14:paraId="49723149" w14:textId="77777777">
        <w:tblPrEx>
          <w:jc w:val="left"/>
          <w:tblLook w:val="01E0" w:firstRow="1" w:lastRow="1" w:firstColumn="1" w:lastColumn="1" w:noHBand="0" w:noVBand="0"/>
        </w:tblPrEx>
        <w:tc>
          <w:tcPr>
            <w:tcW w:w="4680" w:type="dxa"/>
            <w:gridSpan w:val="2"/>
          </w:tcPr>
          <w:p w14:paraId="00C54D22" w14:textId="77777777" w:rsidR="004C6E69" w:rsidRPr="00322FFF" w:rsidRDefault="00322FFF">
            <w:pPr>
              <w:rPr>
                <w:b/>
                <w:bCs/>
              </w:rPr>
            </w:pPr>
            <w:r w:rsidRPr="00322FFF">
              <w:rPr>
                <w:rFonts w:ascii="Times New Roman" w:eastAsia="Times New Roman" w:hAnsi="Times New Roman" w:hint="cs"/>
                <w:b/>
                <w:bCs/>
                <w:sz w:val="26"/>
                <w:szCs w:val="26"/>
                <w:rtl/>
              </w:rPr>
              <w:t xml:space="preserve"> </w:t>
            </w:r>
            <w:r w:rsidRPr="00322FFF">
              <w:rPr>
                <w:rFonts w:ascii="Times New Roman" w:eastAsia="Times New Roman" w:hAnsi="Times New Roman" w:hint="cs"/>
                <w:b/>
                <w:bCs/>
                <w:rtl/>
              </w:rPr>
              <w:t>חן אביטל</w:t>
            </w:r>
          </w:p>
          <w:p w14:paraId="2C2CCA00" w14:textId="77777777" w:rsidR="004C6E69" w:rsidRPr="00322FFF" w:rsidRDefault="004C6E69">
            <w:pPr>
              <w:ind w:left="26"/>
              <w:rPr>
                <w:rFonts w:ascii="Times New Roman" w:eastAsia="Times New Roman" w:hAnsi="Times New Roman"/>
                <w:b/>
                <w:bCs/>
                <w:sz w:val="26"/>
                <w:szCs w:val="26"/>
                <w:rtl/>
              </w:rPr>
            </w:pPr>
          </w:p>
        </w:tc>
        <w:tc>
          <w:tcPr>
            <w:tcW w:w="4122" w:type="dxa"/>
            <w:gridSpan w:val="3"/>
          </w:tcPr>
          <w:p w14:paraId="4D4E21C4" w14:textId="77777777" w:rsidR="004C6E69" w:rsidRPr="00322FFF" w:rsidRDefault="00322FFF">
            <w:pPr>
              <w:jc w:val="right"/>
              <w:rPr>
                <w:rFonts w:ascii="Times New Roman" w:eastAsia="Times New Roman" w:hAnsi="Times New Roman"/>
                <w:b/>
                <w:bCs/>
                <w:sz w:val="26"/>
                <w:szCs w:val="26"/>
                <w:rtl/>
              </w:rPr>
            </w:pPr>
            <w:r w:rsidRPr="00322FFF">
              <w:rPr>
                <w:rFonts w:ascii="Times New Roman" w:eastAsia="Times New Roman" w:hAnsi="Times New Roman" w:hint="cs"/>
                <w:b/>
                <w:bCs/>
                <w:sz w:val="26"/>
                <w:szCs w:val="26"/>
                <w:rtl/>
              </w:rPr>
              <w:t>הנאשם</w:t>
            </w:r>
          </w:p>
        </w:tc>
      </w:tr>
    </w:tbl>
    <w:p w14:paraId="3CD98DD8" w14:textId="77777777" w:rsidR="004C6E69" w:rsidRPr="00322FFF" w:rsidRDefault="00322FFF">
      <w:pPr>
        <w:spacing w:line="360" w:lineRule="auto"/>
        <w:jc w:val="both"/>
        <w:rPr>
          <w:sz w:val="6"/>
          <w:szCs w:val="6"/>
          <w:rtl/>
        </w:rPr>
      </w:pPr>
      <w:r w:rsidRPr="00322FFF">
        <w:rPr>
          <w:sz w:val="6"/>
          <w:szCs w:val="6"/>
          <w:rtl/>
        </w:rPr>
        <w:t>&lt;#2#&gt;</w:t>
      </w:r>
    </w:p>
    <w:p w14:paraId="01236686" w14:textId="77777777" w:rsidR="004C6E69" w:rsidRPr="00322FFF" w:rsidRDefault="00322FFF">
      <w:pPr>
        <w:pStyle w:val="12"/>
        <w:rPr>
          <w:u w:val="none"/>
          <w:rtl/>
        </w:rPr>
      </w:pPr>
      <w:r w:rsidRPr="00322FFF">
        <w:rPr>
          <w:rFonts w:hint="cs"/>
          <w:u w:val="none"/>
          <w:rtl/>
        </w:rPr>
        <w:t>נוכחים:</w:t>
      </w:r>
    </w:p>
    <w:p w14:paraId="4620C7FE" w14:textId="77777777" w:rsidR="004C6E69" w:rsidRPr="00322FFF" w:rsidRDefault="00322FFF">
      <w:pPr>
        <w:pStyle w:val="12"/>
        <w:rPr>
          <w:u w:val="none"/>
          <w:rtl/>
        </w:rPr>
      </w:pPr>
      <w:r w:rsidRPr="00322FFF">
        <w:rPr>
          <w:rFonts w:hint="cs"/>
          <w:u w:val="none"/>
          <w:rtl/>
        </w:rPr>
        <w:t>מטעם המאשימה: עו"ד שלומי גולן</w:t>
      </w:r>
    </w:p>
    <w:p w14:paraId="72A546A5" w14:textId="77777777" w:rsidR="008621B6" w:rsidRDefault="00322FFF" w:rsidP="008621B6">
      <w:pPr>
        <w:pStyle w:val="12"/>
        <w:rPr>
          <w:u w:val="none"/>
          <w:rtl/>
        </w:rPr>
      </w:pPr>
      <w:r w:rsidRPr="00322FFF">
        <w:rPr>
          <w:rFonts w:hint="cs"/>
          <w:u w:val="none"/>
          <w:rtl/>
        </w:rPr>
        <w:t>מטעם הנאשם: בעצמו ו</w:t>
      </w:r>
      <w:bookmarkStart w:id="2" w:name="FirstLawyer"/>
      <w:r w:rsidRPr="00322FFF">
        <w:rPr>
          <w:rFonts w:hint="cs"/>
          <w:u w:val="none"/>
          <w:rtl/>
        </w:rPr>
        <w:t>ב"כ</w:t>
      </w:r>
      <w:bookmarkEnd w:id="2"/>
      <w:r w:rsidRPr="00322FFF">
        <w:rPr>
          <w:rFonts w:hint="cs"/>
          <w:u w:val="none"/>
          <w:rtl/>
        </w:rPr>
        <w:t xml:space="preserve"> עו"ד פאהו</w:t>
      </w:r>
      <w:bookmarkStart w:id="3" w:name="LawTable"/>
      <w:bookmarkEnd w:id="3"/>
    </w:p>
    <w:p w14:paraId="49941869" w14:textId="77777777" w:rsidR="008621B6" w:rsidRPr="008621B6" w:rsidRDefault="008621B6" w:rsidP="008621B6">
      <w:pPr>
        <w:pStyle w:val="12"/>
        <w:spacing w:after="120" w:line="240" w:lineRule="exact"/>
        <w:ind w:left="283" w:hanging="283"/>
        <w:jc w:val="both"/>
        <w:rPr>
          <w:rFonts w:ascii="FrankRuehl" w:hAnsi="FrankRuehl" w:cs="FrankRuehl"/>
          <w:b w:val="0"/>
          <w:bCs w:val="0"/>
          <w:u w:val="none"/>
          <w:rtl/>
        </w:rPr>
      </w:pPr>
    </w:p>
    <w:p w14:paraId="51794059" w14:textId="77777777" w:rsidR="008621B6" w:rsidRPr="008621B6" w:rsidRDefault="008621B6" w:rsidP="008621B6">
      <w:pPr>
        <w:pStyle w:val="12"/>
        <w:spacing w:after="120" w:line="240" w:lineRule="exact"/>
        <w:ind w:left="283" w:hanging="283"/>
        <w:jc w:val="both"/>
        <w:rPr>
          <w:rFonts w:ascii="FrankRuehl" w:hAnsi="FrankRuehl" w:cs="FrankRuehl"/>
          <w:b w:val="0"/>
          <w:bCs w:val="0"/>
          <w:u w:val="none"/>
          <w:rtl/>
        </w:rPr>
      </w:pPr>
      <w:r w:rsidRPr="008621B6">
        <w:rPr>
          <w:rFonts w:ascii="FrankRuehl" w:hAnsi="FrankRuehl" w:cs="FrankRuehl"/>
          <w:b w:val="0"/>
          <w:bCs w:val="0"/>
          <w:u w:val="none"/>
          <w:rtl/>
        </w:rPr>
        <w:t xml:space="preserve">חקיקה שאוזכרה: </w:t>
      </w:r>
    </w:p>
    <w:p w14:paraId="33A665C2" w14:textId="77777777" w:rsidR="008621B6" w:rsidRPr="008621B6" w:rsidRDefault="008621B6" w:rsidP="008621B6">
      <w:pPr>
        <w:pStyle w:val="12"/>
        <w:spacing w:after="120" w:line="240" w:lineRule="exact"/>
        <w:ind w:left="283" w:hanging="283"/>
        <w:jc w:val="both"/>
        <w:rPr>
          <w:rFonts w:ascii="FrankRuehl" w:hAnsi="FrankRuehl" w:cs="FrankRuehl"/>
          <w:b w:val="0"/>
          <w:bCs w:val="0"/>
          <w:color w:val="0000FF"/>
          <w:rtl/>
        </w:rPr>
      </w:pPr>
      <w:hyperlink r:id="rId6" w:history="1">
        <w:r w:rsidRPr="008621B6">
          <w:rPr>
            <w:rStyle w:val="Hyperlink"/>
            <w:rFonts w:ascii="FrankRuehl" w:eastAsia="David" w:hAnsi="FrankRuehl" w:cs="FrankRuehl"/>
            <w:b w:val="0"/>
            <w:bCs w:val="0"/>
            <w:rtl/>
          </w:rPr>
          <w:t>פקודת הסמים המסוכנים [נוסח חדש], תשל"ג-1973</w:t>
        </w:r>
      </w:hyperlink>
      <w:r w:rsidRPr="008621B6">
        <w:rPr>
          <w:rFonts w:ascii="FrankRuehl" w:hAnsi="FrankRuehl" w:cs="FrankRuehl"/>
          <w:b w:val="0"/>
          <w:bCs w:val="0"/>
          <w:color w:val="0000FF"/>
          <w:rtl/>
        </w:rPr>
        <w:t xml:space="preserve">: סע'  </w:t>
      </w:r>
      <w:hyperlink r:id="rId7" w:history="1">
        <w:r w:rsidRPr="008621B6">
          <w:rPr>
            <w:rStyle w:val="Hyperlink"/>
            <w:rFonts w:ascii="FrankRuehl" w:eastAsia="David" w:hAnsi="FrankRuehl" w:cs="FrankRuehl"/>
            <w:b w:val="0"/>
            <w:bCs w:val="0"/>
            <w:rtl/>
          </w:rPr>
          <w:t>7(א)ּ</w:t>
        </w:r>
      </w:hyperlink>
      <w:r w:rsidRPr="008621B6">
        <w:rPr>
          <w:rFonts w:ascii="FrankRuehl" w:hAnsi="FrankRuehl" w:cs="FrankRuehl"/>
          <w:b w:val="0"/>
          <w:bCs w:val="0"/>
          <w:color w:val="0000FF"/>
          <w:rtl/>
        </w:rPr>
        <w:t xml:space="preserve">, </w:t>
      </w:r>
      <w:hyperlink r:id="rId8" w:history="1">
        <w:r w:rsidRPr="008621B6">
          <w:rPr>
            <w:rStyle w:val="Hyperlink"/>
            <w:rFonts w:ascii="FrankRuehl" w:eastAsia="David" w:hAnsi="FrankRuehl" w:cs="FrankRuehl"/>
            <w:b w:val="0"/>
            <w:bCs w:val="0"/>
          </w:rPr>
          <w:t>7(</w:t>
        </w:r>
        <w:r w:rsidRPr="008621B6">
          <w:rPr>
            <w:rStyle w:val="Hyperlink"/>
            <w:rFonts w:ascii="FrankRuehl" w:eastAsia="David" w:hAnsi="FrankRuehl" w:cs="FrankRuehl"/>
            <w:b w:val="0"/>
            <w:bCs w:val="0"/>
            <w:rtl/>
          </w:rPr>
          <w:t>ג</w:t>
        </w:r>
        <w:r w:rsidRPr="008621B6">
          <w:rPr>
            <w:rStyle w:val="Hyperlink"/>
            <w:rFonts w:ascii="FrankRuehl" w:eastAsia="David" w:hAnsi="FrankRuehl" w:cs="FrankRuehl"/>
            <w:b w:val="0"/>
            <w:bCs w:val="0"/>
          </w:rPr>
          <w:t>)</w:t>
        </w:r>
      </w:hyperlink>
      <w:r w:rsidRPr="008621B6">
        <w:rPr>
          <w:rFonts w:ascii="FrankRuehl" w:hAnsi="FrankRuehl" w:cs="FrankRuehl"/>
          <w:b w:val="0"/>
          <w:bCs w:val="0"/>
          <w:color w:val="0000FF"/>
          <w:rtl/>
        </w:rPr>
        <w:t xml:space="preserve">, </w:t>
      </w:r>
      <w:hyperlink r:id="rId9" w:history="1">
        <w:r w:rsidRPr="008621B6">
          <w:rPr>
            <w:rStyle w:val="Hyperlink"/>
            <w:rFonts w:ascii="FrankRuehl" w:eastAsia="David" w:hAnsi="FrankRuehl" w:cs="FrankRuehl"/>
            <w:b w:val="0"/>
            <w:bCs w:val="0"/>
          </w:rPr>
          <w:t>37</w:t>
        </w:r>
        <w:r w:rsidRPr="008621B6">
          <w:rPr>
            <w:rStyle w:val="Hyperlink"/>
            <w:rFonts w:ascii="FrankRuehl" w:eastAsia="David" w:hAnsi="FrankRuehl" w:cs="FrankRuehl"/>
            <w:b w:val="0"/>
            <w:bCs w:val="0"/>
            <w:rtl/>
          </w:rPr>
          <w:t>א</w:t>
        </w:r>
      </w:hyperlink>
    </w:p>
    <w:p w14:paraId="119A8BA3" w14:textId="77777777" w:rsidR="008621B6" w:rsidRPr="008621B6" w:rsidRDefault="008621B6" w:rsidP="008621B6">
      <w:pPr>
        <w:pStyle w:val="12"/>
        <w:spacing w:after="120" w:line="240" w:lineRule="exact"/>
        <w:ind w:left="283" w:hanging="283"/>
        <w:jc w:val="both"/>
        <w:rPr>
          <w:rFonts w:ascii="FrankRuehl" w:hAnsi="FrankRuehl" w:cs="FrankRuehl"/>
          <w:b w:val="0"/>
          <w:bCs w:val="0"/>
          <w:color w:val="0000FF"/>
          <w:rtl/>
        </w:rPr>
      </w:pPr>
      <w:hyperlink r:id="rId10" w:history="1">
        <w:r w:rsidRPr="008621B6">
          <w:rPr>
            <w:rStyle w:val="Hyperlink"/>
            <w:rFonts w:ascii="FrankRuehl" w:eastAsia="David" w:hAnsi="FrankRuehl" w:cs="FrankRuehl"/>
            <w:b w:val="0"/>
            <w:bCs w:val="0"/>
            <w:rtl/>
          </w:rPr>
          <w:t>חוק העונשין, תשל"ז-1977</w:t>
        </w:r>
      </w:hyperlink>
      <w:r w:rsidRPr="008621B6">
        <w:rPr>
          <w:rFonts w:ascii="FrankRuehl" w:hAnsi="FrankRuehl" w:cs="FrankRuehl"/>
          <w:b w:val="0"/>
          <w:bCs w:val="0"/>
          <w:color w:val="0000FF"/>
          <w:rtl/>
        </w:rPr>
        <w:t xml:space="preserve">: סע'  </w:t>
      </w:r>
      <w:hyperlink r:id="rId11" w:history="1">
        <w:r w:rsidRPr="008621B6">
          <w:rPr>
            <w:rStyle w:val="Hyperlink"/>
            <w:rFonts w:ascii="FrankRuehl" w:eastAsia="David" w:hAnsi="FrankRuehl" w:cs="FrankRuehl"/>
            <w:b w:val="0"/>
            <w:bCs w:val="0"/>
          </w:rPr>
          <w:t xml:space="preserve">40 </w:t>
        </w:r>
        <w:r w:rsidRPr="008621B6">
          <w:rPr>
            <w:rStyle w:val="Hyperlink"/>
            <w:rFonts w:ascii="FrankRuehl" w:eastAsia="David" w:hAnsi="FrankRuehl" w:cs="FrankRuehl"/>
            <w:b w:val="0"/>
            <w:bCs w:val="0"/>
            <w:rtl/>
          </w:rPr>
          <w:t>יא</w:t>
        </w:r>
        <w:r w:rsidRPr="008621B6">
          <w:rPr>
            <w:rStyle w:val="Hyperlink"/>
            <w:rFonts w:ascii="FrankRuehl" w:eastAsia="David" w:hAnsi="FrankRuehl" w:cs="FrankRuehl"/>
            <w:b w:val="0"/>
            <w:bCs w:val="0"/>
          </w:rPr>
          <w:t>'</w:t>
        </w:r>
      </w:hyperlink>
    </w:p>
    <w:p w14:paraId="70EB9C9E" w14:textId="77777777" w:rsidR="008621B6" w:rsidRPr="008621B6" w:rsidRDefault="008621B6" w:rsidP="008621B6">
      <w:pPr>
        <w:pStyle w:val="12"/>
        <w:spacing w:after="120" w:line="240" w:lineRule="exact"/>
        <w:ind w:left="283" w:hanging="283"/>
        <w:jc w:val="both"/>
        <w:rPr>
          <w:rFonts w:ascii="FrankRuehl" w:hAnsi="FrankRuehl" w:cs="FrankRuehl"/>
          <w:b w:val="0"/>
          <w:bCs w:val="0"/>
          <w:u w:val="none"/>
          <w:rtl/>
        </w:rPr>
      </w:pPr>
    </w:p>
    <w:p w14:paraId="19E44047" w14:textId="77777777" w:rsidR="008621B6" w:rsidRPr="008621B6" w:rsidRDefault="008621B6" w:rsidP="008621B6">
      <w:pPr>
        <w:pStyle w:val="12"/>
        <w:rPr>
          <w:b w:val="0"/>
          <w:bCs w:val="0"/>
          <w:u w:val="none"/>
          <w:rtl/>
        </w:rPr>
      </w:pPr>
      <w:bookmarkStart w:id="4" w:name="LawTable_End"/>
      <w:bookmarkEnd w:id="4"/>
    </w:p>
    <w:p w14:paraId="6482A667" w14:textId="77777777" w:rsidR="008621B6" w:rsidRPr="008621B6" w:rsidRDefault="008621B6" w:rsidP="008621B6">
      <w:pPr>
        <w:pStyle w:val="12"/>
        <w:rPr>
          <w:u w:val="none"/>
          <w:rtl/>
        </w:rPr>
      </w:pPr>
    </w:p>
    <w:p w14:paraId="0336A99E" w14:textId="77777777" w:rsidR="008621B6" w:rsidRPr="008621B6" w:rsidRDefault="00322FFF" w:rsidP="008621B6">
      <w:pPr>
        <w:pStyle w:val="12"/>
        <w:rPr>
          <w:rFonts w:ascii="FrankRuehl" w:hAnsi="FrankRuehl" w:cs="FrankRuehl"/>
          <w:b w:val="0"/>
          <w:bCs w:val="0"/>
          <w:u w:val="none"/>
          <w:rtl/>
        </w:rPr>
      </w:pPr>
      <w:r w:rsidRPr="008621B6">
        <w:rPr>
          <w:rFonts w:hint="cs"/>
          <w:u w:val="none"/>
          <w:rtl/>
        </w:rPr>
        <w:t>ם</w:t>
      </w:r>
    </w:p>
    <w:p w14:paraId="6315D0F6" w14:textId="77777777" w:rsidR="008621B6" w:rsidRPr="008621B6" w:rsidRDefault="008621B6">
      <w:pPr>
        <w:pStyle w:val="12"/>
        <w:rPr>
          <w:b w:val="0"/>
          <w:bCs w:val="0"/>
          <w:u w:val="none"/>
          <w:rtl/>
        </w:rPr>
      </w:pPr>
    </w:p>
    <w:p w14:paraId="56FE60E8" w14:textId="77777777" w:rsidR="008621B6" w:rsidRPr="008621B6" w:rsidRDefault="008621B6">
      <w:pPr>
        <w:pStyle w:val="12"/>
        <w:rPr>
          <w:u w:val="none"/>
          <w:rtl/>
        </w:rPr>
      </w:pPr>
    </w:p>
    <w:p w14:paraId="77D89891" w14:textId="77777777" w:rsidR="004C6E69" w:rsidRPr="008621B6" w:rsidRDefault="004C6E69">
      <w:pPr>
        <w:pStyle w:val="12"/>
        <w:rPr>
          <w:u w:val="none"/>
          <w:rtl/>
        </w:rPr>
      </w:pPr>
    </w:p>
    <w:p w14:paraId="4B61EF48" w14:textId="77777777" w:rsidR="005723DF" w:rsidRPr="005723DF" w:rsidRDefault="005723DF">
      <w:pPr>
        <w:spacing w:line="360" w:lineRule="auto"/>
        <w:jc w:val="center"/>
        <w:rPr>
          <w:rFonts w:ascii="Arial" w:hAnsi="Arial"/>
          <w:sz w:val="28"/>
          <w:szCs w:val="28"/>
          <w:rtl/>
        </w:rPr>
      </w:pPr>
    </w:p>
    <w:p w14:paraId="072579B2" w14:textId="77777777" w:rsidR="005723DF" w:rsidRPr="005723DF" w:rsidRDefault="005723DF">
      <w:pPr>
        <w:spacing w:line="360" w:lineRule="auto"/>
        <w:jc w:val="center"/>
        <w:rPr>
          <w:rFonts w:ascii="Arial" w:hAnsi="Arial"/>
          <w:b/>
          <w:bCs/>
          <w:sz w:val="28"/>
          <w:szCs w:val="28"/>
          <w:rtl/>
        </w:rPr>
      </w:pPr>
    </w:p>
    <w:p w14:paraId="43BA61A7" w14:textId="77777777" w:rsidR="00322FFF" w:rsidRPr="005723DF" w:rsidRDefault="00322FFF">
      <w:pPr>
        <w:spacing w:line="360" w:lineRule="auto"/>
        <w:jc w:val="center"/>
        <w:rPr>
          <w:rFonts w:ascii="Arial" w:hAnsi="Arial"/>
          <w:b/>
          <w:bCs/>
          <w:sz w:val="28"/>
          <w:szCs w:val="28"/>
          <w:rtl/>
        </w:rPr>
      </w:pPr>
    </w:p>
    <w:p w14:paraId="60412227" w14:textId="77777777" w:rsidR="00322FFF" w:rsidRPr="00322FFF" w:rsidRDefault="00322FFF" w:rsidP="00322FFF">
      <w:pPr>
        <w:spacing w:line="360" w:lineRule="auto"/>
        <w:jc w:val="center"/>
        <w:rPr>
          <w:rFonts w:ascii="Arial" w:hAnsi="Arial"/>
          <w:b/>
          <w:bCs/>
          <w:sz w:val="28"/>
          <w:szCs w:val="28"/>
          <w:u w:val="single"/>
          <w:rtl/>
        </w:rPr>
      </w:pPr>
      <w:bookmarkStart w:id="5" w:name="PsakDin"/>
      <w:r w:rsidRPr="00322FFF">
        <w:rPr>
          <w:rFonts w:ascii="Arial" w:hAnsi="Arial"/>
          <w:b/>
          <w:bCs/>
          <w:sz w:val="28"/>
          <w:szCs w:val="28"/>
          <w:u w:val="single"/>
          <w:rtl/>
        </w:rPr>
        <w:t>גזר דין</w:t>
      </w:r>
    </w:p>
    <w:bookmarkEnd w:id="5"/>
    <w:p w14:paraId="3DC80DE1" w14:textId="77777777" w:rsidR="004C6E69" w:rsidRDefault="004C6E69">
      <w:pPr>
        <w:spacing w:line="360" w:lineRule="auto"/>
        <w:jc w:val="both"/>
        <w:rPr>
          <w:rFonts w:ascii="Arial" w:hAnsi="Arial"/>
        </w:rPr>
      </w:pPr>
    </w:p>
    <w:p w14:paraId="3EC9572A" w14:textId="77777777" w:rsidR="004C6E69" w:rsidRDefault="00322FFF">
      <w:pPr>
        <w:spacing w:line="360" w:lineRule="auto"/>
        <w:jc w:val="both"/>
      </w:pPr>
      <w:bookmarkStart w:id="6" w:name="ABSTRACT_START"/>
      <w:bookmarkEnd w:id="6"/>
      <w:r>
        <w:rPr>
          <w:rFonts w:hint="cs"/>
          <w:rtl/>
        </w:rPr>
        <w:t xml:space="preserve">הנאשם הורשע על פי הודאתו בעבירות אשר יוחסו לו בכתב אישום זה ובתיק המצורף. עבירות של </w:t>
      </w:r>
      <w:r>
        <w:rPr>
          <w:rFonts w:hint="cs"/>
          <w:b/>
          <w:bCs/>
          <w:rtl/>
        </w:rPr>
        <w:t>החזקת סמים לצריכה עצמית</w:t>
      </w:r>
      <w:r>
        <w:rPr>
          <w:rFonts w:hint="cs"/>
          <w:rtl/>
        </w:rPr>
        <w:t xml:space="preserve">, עבירה לפי </w:t>
      </w:r>
      <w:hyperlink r:id="rId12" w:history="1">
        <w:r w:rsidR="008621B6" w:rsidRPr="008621B6">
          <w:rPr>
            <w:rStyle w:val="Hyperlink"/>
            <w:rFonts w:hint="eastAsia"/>
            <w:rtl/>
          </w:rPr>
          <w:t>סעיף</w:t>
        </w:r>
        <w:r w:rsidR="008621B6" w:rsidRPr="008621B6">
          <w:rPr>
            <w:rStyle w:val="Hyperlink"/>
            <w:rtl/>
          </w:rPr>
          <w:t xml:space="preserve"> 7(א)ּ</w:t>
        </w:r>
      </w:hyperlink>
      <w:r>
        <w:rPr>
          <w:rFonts w:hint="cs"/>
          <w:rtl/>
        </w:rPr>
        <w:t>+</w:t>
      </w:r>
      <w:hyperlink r:id="rId13" w:history="1">
        <w:r w:rsidR="008621B6" w:rsidRPr="008621B6">
          <w:rPr>
            <w:rStyle w:val="Hyperlink"/>
            <w:rtl/>
          </w:rPr>
          <w:t>7(ג)</w:t>
        </w:r>
      </w:hyperlink>
      <w:r>
        <w:rPr>
          <w:rFonts w:hint="cs"/>
          <w:rtl/>
        </w:rPr>
        <w:t xml:space="preserve"> סיפא ל</w:t>
      </w:r>
      <w:hyperlink r:id="rId14" w:history="1">
        <w:r w:rsidR="005723DF" w:rsidRPr="005723DF">
          <w:rPr>
            <w:rStyle w:val="Hyperlink"/>
            <w:rtl/>
          </w:rPr>
          <w:t>פקודת הסמים המסוכנים</w:t>
        </w:r>
      </w:hyperlink>
      <w:r>
        <w:rPr>
          <w:rFonts w:hint="cs"/>
          <w:rtl/>
        </w:rPr>
        <w:t xml:space="preserve"> (נוסח חדש) סיפא לפקודת הסמים המסוכנים (נוסח חדש), תשל"ג -1973. </w:t>
      </w:r>
    </w:p>
    <w:p w14:paraId="4D21CBB6" w14:textId="77777777" w:rsidR="004C6E69" w:rsidRDefault="004C6E69">
      <w:pPr>
        <w:spacing w:line="360" w:lineRule="auto"/>
        <w:jc w:val="both"/>
        <w:rPr>
          <w:rtl/>
        </w:rPr>
      </w:pPr>
      <w:bookmarkStart w:id="7" w:name="ABSTRACT_END"/>
      <w:bookmarkEnd w:id="7"/>
    </w:p>
    <w:p w14:paraId="2490DCB6" w14:textId="77777777" w:rsidR="004C6E69" w:rsidRDefault="00322FFF">
      <w:pPr>
        <w:spacing w:line="360" w:lineRule="auto"/>
        <w:jc w:val="both"/>
        <w:rPr>
          <w:rFonts w:ascii="Times New Roman-Normal-1255"/>
          <w:rtl/>
        </w:rPr>
      </w:pPr>
      <w:r>
        <w:rPr>
          <w:rFonts w:hint="cs"/>
          <w:rtl/>
        </w:rPr>
        <w:t xml:space="preserve">עובדות המקרה פורטו בהרחבה בכתב האישום. בקליפת האגוז יאמר, כי ביום 27.6.12 </w:t>
      </w:r>
      <w:r>
        <w:rPr>
          <w:rFonts w:ascii="Times New Roman-Normal-1255" w:hint="cs"/>
          <w:rtl/>
        </w:rPr>
        <w:t>במהלך</w:t>
      </w:r>
      <w:r>
        <w:rPr>
          <w:rFonts w:ascii="Times New Roman-Normal-1255" w:hint="cs"/>
        </w:rPr>
        <w:t xml:space="preserve"> </w:t>
      </w:r>
      <w:r>
        <w:rPr>
          <w:rFonts w:ascii="Times New Roman-Normal-1255" w:hint="cs"/>
          <w:rtl/>
        </w:rPr>
        <w:t>חיפוש</w:t>
      </w:r>
      <w:r>
        <w:rPr>
          <w:rFonts w:ascii="Times New Roman-Normal-1255" w:hint="cs"/>
        </w:rPr>
        <w:t xml:space="preserve"> </w:t>
      </w:r>
      <w:r>
        <w:rPr>
          <w:rFonts w:ascii="Times New Roman-Normal-1255" w:hint="cs"/>
          <w:rtl/>
        </w:rPr>
        <w:t>משטרתי</w:t>
      </w:r>
      <w:r>
        <w:rPr>
          <w:rFonts w:ascii="Calibri" w:hAnsi="Calibri"/>
        </w:rPr>
        <w:t xml:space="preserve"> </w:t>
      </w:r>
      <w:r>
        <w:rPr>
          <w:rFonts w:ascii="Calibri" w:hAnsi="Calibri" w:hint="cs"/>
          <w:rtl/>
        </w:rPr>
        <w:t xml:space="preserve">בביתו של הנאשם, </w:t>
      </w:r>
      <w:r>
        <w:rPr>
          <w:rFonts w:ascii="Times New Roman-Normal-1255" w:hint="cs"/>
          <w:rtl/>
        </w:rPr>
        <w:t>נתפס  סם מסוכן מסוג חשיש</w:t>
      </w:r>
      <w:r>
        <w:rPr>
          <w:rFonts w:ascii="Times New Roman-Normal-1255" w:hint="cs"/>
        </w:rPr>
        <w:t xml:space="preserve"> </w:t>
      </w:r>
      <w:r>
        <w:rPr>
          <w:rFonts w:ascii="Times New Roman-Normal-1255" w:hint="cs"/>
          <w:rtl/>
        </w:rPr>
        <w:t>במשקל</w:t>
      </w:r>
      <w:r>
        <w:rPr>
          <w:rFonts w:ascii="Times New Roman-Normal-1255" w:hint="cs"/>
        </w:rPr>
        <w:t xml:space="preserve"> </w:t>
      </w:r>
      <w:r>
        <w:rPr>
          <w:rFonts w:ascii="Times New Roman-Normal-1255" w:hint="cs"/>
          <w:rtl/>
        </w:rPr>
        <w:t>נטו</w:t>
      </w:r>
      <w:r>
        <w:rPr>
          <w:rFonts w:ascii="Times New Roman-Normal-1255" w:hint="cs"/>
        </w:rPr>
        <w:t xml:space="preserve"> </w:t>
      </w:r>
      <w:r>
        <w:rPr>
          <w:rFonts w:ascii="Times New Roman-Normal-1255" w:hint="cs"/>
          <w:rtl/>
        </w:rPr>
        <w:t xml:space="preserve">כולל 1.63 גרם. </w:t>
      </w:r>
    </w:p>
    <w:p w14:paraId="646FF28E" w14:textId="77777777" w:rsidR="004C6E69" w:rsidRDefault="00322FFF">
      <w:pPr>
        <w:spacing w:line="360" w:lineRule="auto"/>
        <w:jc w:val="both"/>
        <w:rPr>
          <w:rFonts w:ascii="Times New Roman-Normal-1255"/>
          <w:rtl/>
        </w:rPr>
      </w:pPr>
      <w:r>
        <w:rPr>
          <w:rFonts w:ascii="Times New Roman-Normal-1255" w:hint="cs"/>
          <w:rtl/>
        </w:rPr>
        <w:t xml:space="preserve">על פי הנטען בכתב האישום המצורף בתיק פ.א 103822/2012 הנאשם החזיק בתאריך 7.3.12 במספר מקומות במתחם בית מגוריו, בסם מסוכן מסוג חשיש במשקל נטו כולל של 148.82 גרם ובסם מסוכן מסוג קנבוס, במשקל נטו של 4.17 גרם. </w:t>
      </w:r>
    </w:p>
    <w:p w14:paraId="35B91385" w14:textId="77777777" w:rsidR="004C6E69" w:rsidRDefault="004C6E69">
      <w:pPr>
        <w:spacing w:line="360" w:lineRule="auto"/>
        <w:jc w:val="both"/>
        <w:rPr>
          <w:rFonts w:ascii="Arial" w:hAnsi="Arial"/>
          <w:b/>
          <w:bCs/>
          <w:noProof/>
          <w:rtl/>
        </w:rPr>
      </w:pPr>
    </w:p>
    <w:p w14:paraId="182E984E" w14:textId="77777777" w:rsidR="004C6E69" w:rsidRDefault="00322FFF">
      <w:pPr>
        <w:spacing w:line="360" w:lineRule="auto"/>
        <w:jc w:val="both"/>
        <w:rPr>
          <w:rFonts w:ascii="Arial" w:hAnsi="Arial"/>
          <w:b/>
          <w:bCs/>
          <w:u w:val="single"/>
          <w:rtl/>
        </w:rPr>
      </w:pPr>
      <w:r>
        <w:rPr>
          <w:rFonts w:ascii="Arial" w:hAnsi="Arial" w:hint="cs"/>
          <w:b/>
          <w:bCs/>
          <w:u w:val="single"/>
          <w:rtl/>
        </w:rPr>
        <w:t xml:space="preserve">טיעונים לעונש מטעם הצדדים: </w:t>
      </w:r>
    </w:p>
    <w:p w14:paraId="4E95AAA6" w14:textId="77777777" w:rsidR="004C6E69" w:rsidRDefault="00322FFF">
      <w:pPr>
        <w:spacing w:line="360" w:lineRule="auto"/>
        <w:jc w:val="both"/>
        <w:rPr>
          <w:rFonts w:ascii="Times New Roman" w:hAnsi="Times New Roman"/>
          <w:b/>
          <w:bCs/>
          <w:u w:val="single"/>
          <w:rtl/>
        </w:rPr>
      </w:pPr>
      <w:r>
        <w:rPr>
          <w:rFonts w:hint="cs"/>
          <w:b/>
          <w:bCs/>
          <w:u w:val="single"/>
          <w:rtl/>
        </w:rPr>
        <w:t>טיעונים לעונש מטעם התביעה:</w:t>
      </w:r>
    </w:p>
    <w:p w14:paraId="5EC072A0" w14:textId="77777777" w:rsidR="004C6E69" w:rsidRDefault="00322FFF">
      <w:pPr>
        <w:spacing w:line="360" w:lineRule="auto"/>
        <w:jc w:val="both"/>
        <w:rPr>
          <w:rtl/>
        </w:rPr>
      </w:pPr>
      <w:r>
        <w:rPr>
          <w:rFonts w:hint="cs"/>
          <w:rtl/>
        </w:rPr>
        <w:t>התביעה הדגישה את חומרת העבירות בהן הורשע הנאשם וציינה כי לנאשם אין הרשעות קודמות.</w:t>
      </w:r>
    </w:p>
    <w:p w14:paraId="17FA598A" w14:textId="77777777" w:rsidR="004C6E69" w:rsidRDefault="00322FFF">
      <w:pPr>
        <w:spacing w:line="360" w:lineRule="auto"/>
        <w:jc w:val="both"/>
        <w:rPr>
          <w:rtl/>
        </w:rPr>
      </w:pPr>
      <w:r>
        <w:rPr>
          <w:rFonts w:hint="cs"/>
          <w:rtl/>
        </w:rPr>
        <w:t xml:space="preserve">התביעה עתרה להטלת צו מבחן לתקופה של 36 חודשים, מאסר על תנאי ופסילה משמעותית.  </w:t>
      </w:r>
    </w:p>
    <w:p w14:paraId="7A49CECF" w14:textId="77777777" w:rsidR="004C6E69" w:rsidRDefault="004C6E69">
      <w:pPr>
        <w:spacing w:line="360" w:lineRule="auto"/>
        <w:jc w:val="both"/>
        <w:rPr>
          <w:b/>
          <w:bCs/>
        </w:rPr>
      </w:pPr>
    </w:p>
    <w:p w14:paraId="7C8FC691" w14:textId="77777777" w:rsidR="004C6E69" w:rsidRDefault="00322FFF">
      <w:pPr>
        <w:spacing w:line="360" w:lineRule="auto"/>
        <w:jc w:val="both"/>
        <w:rPr>
          <w:b/>
          <w:bCs/>
          <w:u w:val="single"/>
          <w:rtl/>
        </w:rPr>
      </w:pPr>
      <w:r>
        <w:rPr>
          <w:rFonts w:hint="cs"/>
          <w:b/>
          <w:bCs/>
          <w:u w:val="single"/>
          <w:rtl/>
        </w:rPr>
        <w:t>טיעונים לעונש מטעם ההגנה:</w:t>
      </w:r>
    </w:p>
    <w:p w14:paraId="32C1B41E" w14:textId="77777777" w:rsidR="004C6E69" w:rsidRDefault="00322FFF">
      <w:pPr>
        <w:spacing w:line="360" w:lineRule="auto"/>
        <w:jc w:val="both"/>
        <w:rPr>
          <w:rtl/>
        </w:rPr>
      </w:pPr>
      <w:r>
        <w:rPr>
          <w:rFonts w:hint="cs"/>
          <w:rtl/>
        </w:rPr>
        <w:t xml:space="preserve">הסנגור ביקש להתחשב בהודאת הנאשם, אשר באה למרות שקיימת בעיה בחוקיות צו החיפוש. </w:t>
      </w:r>
    </w:p>
    <w:p w14:paraId="4C27BE16" w14:textId="77777777" w:rsidR="004C6E69" w:rsidRDefault="00322FFF">
      <w:pPr>
        <w:spacing w:line="360" w:lineRule="auto"/>
        <w:jc w:val="both"/>
        <w:rPr>
          <w:rtl/>
        </w:rPr>
      </w:pPr>
      <w:r>
        <w:rPr>
          <w:rFonts w:hint="cs"/>
          <w:rtl/>
        </w:rPr>
        <w:t xml:space="preserve">הסנגור הפנה לאמור בתסקיר שירות ולבדיקות הרפואיות שנערכו לו לפיהן הנאשם נקי משימוש בסמים. </w:t>
      </w:r>
    </w:p>
    <w:p w14:paraId="2BB42E01" w14:textId="77777777" w:rsidR="004C6E69" w:rsidRDefault="00322FFF">
      <w:pPr>
        <w:spacing w:line="360" w:lineRule="auto"/>
        <w:jc w:val="both"/>
        <w:rPr>
          <w:rtl/>
        </w:rPr>
      </w:pPr>
      <w:r>
        <w:rPr>
          <w:rFonts w:hint="cs"/>
          <w:rtl/>
        </w:rPr>
        <w:t xml:space="preserve">הסנגור ביקש להתחשב בכך שהנאשם עובד כנהג משאית ופסילת רישיון הנהיגה תפגע בפרנסתו. </w:t>
      </w:r>
    </w:p>
    <w:p w14:paraId="3A55B84D" w14:textId="77777777" w:rsidR="004C6E69" w:rsidRDefault="00322FFF">
      <w:pPr>
        <w:spacing w:line="360" w:lineRule="auto"/>
        <w:jc w:val="both"/>
        <w:rPr>
          <w:rtl/>
        </w:rPr>
      </w:pPr>
      <w:r>
        <w:rPr>
          <w:rFonts w:hint="cs"/>
          <w:rtl/>
        </w:rPr>
        <w:t xml:space="preserve">הסנגור ביקש לאמץ את המלצת שירות המבחן לפיה יש הטיל עליו מבחן לתקופה של -18 חודשים. </w:t>
      </w:r>
    </w:p>
    <w:p w14:paraId="058C36F2" w14:textId="77777777" w:rsidR="004C6E69" w:rsidRDefault="004C6E69">
      <w:pPr>
        <w:spacing w:line="360" w:lineRule="auto"/>
        <w:jc w:val="both"/>
        <w:rPr>
          <w:b/>
          <w:bCs/>
          <w:u w:val="single"/>
          <w:rtl/>
        </w:rPr>
      </w:pPr>
    </w:p>
    <w:p w14:paraId="6F2494A3" w14:textId="77777777" w:rsidR="004C6E69" w:rsidRDefault="00322FFF">
      <w:pPr>
        <w:spacing w:line="360" w:lineRule="auto"/>
        <w:jc w:val="both"/>
        <w:rPr>
          <w:b/>
          <w:bCs/>
          <w:u w:val="single"/>
          <w:rtl/>
        </w:rPr>
      </w:pPr>
      <w:r>
        <w:rPr>
          <w:rFonts w:hint="cs"/>
          <w:b/>
          <w:bCs/>
          <w:u w:val="single"/>
          <w:rtl/>
        </w:rPr>
        <w:t>דברי הנאשם:</w:t>
      </w:r>
    </w:p>
    <w:p w14:paraId="6967304B" w14:textId="77777777" w:rsidR="004C6E69" w:rsidRDefault="00322FFF">
      <w:pPr>
        <w:spacing w:line="360" w:lineRule="auto"/>
        <w:jc w:val="both"/>
        <w:rPr>
          <w:rtl/>
        </w:rPr>
      </w:pPr>
      <w:r>
        <w:rPr>
          <w:rFonts w:hint="cs"/>
          <w:rtl/>
        </w:rPr>
        <w:t xml:space="preserve">הנאשם ביקש להתחשב בנסיבותיו האישיות ובכך שהוא מפרנס את בני משפחתו מעבודותו כנהג משאית. </w:t>
      </w:r>
    </w:p>
    <w:p w14:paraId="36B4897C" w14:textId="77777777" w:rsidR="004C6E69" w:rsidRDefault="004C6E69">
      <w:pPr>
        <w:spacing w:line="360" w:lineRule="auto"/>
        <w:jc w:val="both"/>
        <w:rPr>
          <w:rtl/>
        </w:rPr>
      </w:pPr>
    </w:p>
    <w:p w14:paraId="470B2487" w14:textId="77777777" w:rsidR="004C6E69" w:rsidRDefault="00322FFF">
      <w:pPr>
        <w:spacing w:line="360" w:lineRule="auto"/>
        <w:jc w:val="both"/>
        <w:rPr>
          <w:b/>
          <w:bCs/>
          <w:u w:val="single"/>
          <w:rtl/>
        </w:rPr>
      </w:pPr>
      <w:r>
        <w:rPr>
          <w:rFonts w:hint="cs"/>
          <w:b/>
          <w:bCs/>
          <w:u w:val="single"/>
          <w:rtl/>
        </w:rPr>
        <w:t>תסקיר שירות המבחן:</w:t>
      </w:r>
    </w:p>
    <w:p w14:paraId="118517A7" w14:textId="77777777" w:rsidR="004C6E69" w:rsidRDefault="00322FFF">
      <w:pPr>
        <w:spacing w:line="360" w:lineRule="auto"/>
        <w:jc w:val="both"/>
        <w:rPr>
          <w:rtl/>
        </w:rPr>
      </w:pPr>
      <w:r>
        <w:rPr>
          <w:rFonts w:hint="cs"/>
          <w:rtl/>
        </w:rPr>
        <w:t xml:space="preserve">מתסקיר שירות המבחן, עולה כי הנאשם כבן 30, עובד כנהג משאית. הנאשם טען בפני שירות המבחן  כי הוא משתמש בסמים על מנת להקל  עליו בשל נסיבותיו האישיות. הנאשם נשוי ואב לילד. </w:t>
      </w:r>
    </w:p>
    <w:p w14:paraId="39E91585" w14:textId="77777777" w:rsidR="004C6E69" w:rsidRDefault="00322FFF">
      <w:pPr>
        <w:spacing w:line="360" w:lineRule="auto"/>
        <w:jc w:val="both"/>
        <w:rPr>
          <w:rtl/>
        </w:rPr>
      </w:pPr>
      <w:r>
        <w:rPr>
          <w:rFonts w:hint="cs"/>
          <w:rtl/>
        </w:rPr>
        <w:t xml:space="preserve">הנאשם לקח אחריות על מעשיו בפני שירות המבחן וטען כי כמות הסמים שהוחזקה בביתו, הייתה מיועדת לשימוש העצמי. שירות המבחן לא התרשם מדפוסים עבריינים או אנטי סוציאלייים אך התרשם מסיכון להתנהגות אימפולסיבית ולא מווסתת. שירות המבחן התרשם מנזקקות טיפולית ועל כן המליץ על הטלת צו מבחן למשך 18 חודשים וצו של"צ למשך 100 שעות. </w:t>
      </w:r>
    </w:p>
    <w:p w14:paraId="3DEB5D78" w14:textId="77777777" w:rsidR="004C6E69" w:rsidRDefault="00322FFF">
      <w:pPr>
        <w:spacing w:line="360" w:lineRule="auto"/>
        <w:jc w:val="both"/>
        <w:rPr>
          <w:rtl/>
        </w:rPr>
      </w:pPr>
      <w:r>
        <w:rPr>
          <w:rFonts w:hint="cs"/>
          <w:rtl/>
        </w:rPr>
        <w:t xml:space="preserve">שירות המבחן המליץ בתסקיר המשלים עוד, על הטלת מאסר מותנה ופסילה על תנאי. </w:t>
      </w:r>
    </w:p>
    <w:p w14:paraId="096D8962" w14:textId="77777777" w:rsidR="004C6E69" w:rsidRDefault="00322FFF">
      <w:pPr>
        <w:spacing w:line="360" w:lineRule="auto"/>
        <w:jc w:val="both"/>
        <w:rPr>
          <w:rtl/>
        </w:rPr>
      </w:pPr>
      <w:r>
        <w:rPr>
          <w:rFonts w:hint="cs"/>
          <w:rtl/>
        </w:rPr>
        <w:t xml:space="preserve"> </w:t>
      </w:r>
    </w:p>
    <w:p w14:paraId="4A3C1E56" w14:textId="77777777" w:rsidR="004C6E69" w:rsidRDefault="00322FFF">
      <w:pPr>
        <w:spacing w:line="360" w:lineRule="auto"/>
        <w:jc w:val="both"/>
        <w:rPr>
          <w:rFonts w:ascii="Arial" w:hAnsi="Arial"/>
          <w:b/>
          <w:bCs/>
          <w:u w:val="single"/>
          <w:rtl/>
        </w:rPr>
      </w:pPr>
      <w:r>
        <w:rPr>
          <w:rFonts w:ascii="Arial" w:hAnsi="Arial" w:hint="cs"/>
          <w:b/>
          <w:bCs/>
          <w:u w:val="single"/>
          <w:rtl/>
        </w:rPr>
        <w:t>דיון:</w:t>
      </w:r>
    </w:p>
    <w:p w14:paraId="7F64A9BF" w14:textId="77777777" w:rsidR="004C6E69" w:rsidRDefault="00322FFF">
      <w:pPr>
        <w:spacing w:after="120" w:line="360" w:lineRule="auto"/>
        <w:jc w:val="both"/>
        <w:rPr>
          <w:rFonts w:ascii="Times New Roman" w:hAnsi="Times New Roman"/>
          <w:rtl/>
        </w:rPr>
      </w:pPr>
      <w:r>
        <w:rPr>
          <w:rFonts w:ascii="Arial" w:hAnsi="Arial" w:hint="cs"/>
          <w:rtl/>
        </w:rPr>
        <w:t xml:space="preserve">הנאשם הורשע על פי הודאתו בעבירות חמורות של החזקת סמים לשימוש עצמי ושלא לשימוש עצמי. </w:t>
      </w:r>
      <w:r>
        <w:rPr>
          <w:rFonts w:hint="cs"/>
          <w:rtl/>
        </w:rPr>
        <w:t xml:space="preserve">לשם קביעת מתחם העונש ההולם, בהתאם לעקרון ההלימה, יש להתחשב בערך החברתי שנפגע, במידת הפגיעה בו, במדיניות הענישה הנוהגת ובנסיבות הקשורות בביצוע העבירה. </w:t>
      </w:r>
    </w:p>
    <w:p w14:paraId="53D102CA" w14:textId="77777777" w:rsidR="004C6E69" w:rsidRDefault="00322FFF">
      <w:pPr>
        <w:spacing w:line="360" w:lineRule="auto"/>
        <w:jc w:val="both"/>
        <w:rPr>
          <w:rtl/>
        </w:rPr>
      </w:pPr>
      <w:r>
        <w:rPr>
          <w:rFonts w:ascii="Arial" w:hAnsi="Arial" w:hint="cs"/>
          <w:rtl/>
        </w:rPr>
        <w:t xml:space="preserve">אין להכביר מילים אודות הנזקים שנגרמים לחברה בשל השימוש בסמים. </w:t>
      </w:r>
      <w:r>
        <w:rPr>
          <w:rFonts w:hint="cs"/>
          <w:rtl/>
        </w:rPr>
        <w:t>בית המשפט העליון עמד ב</w:t>
      </w:r>
      <w:hyperlink r:id="rId15" w:history="1">
        <w:r w:rsidR="005723DF" w:rsidRPr="005723DF">
          <w:rPr>
            <w:rStyle w:val="Hyperlink"/>
            <w:rtl/>
          </w:rPr>
          <w:t>רע"פ 8595/06</w:t>
        </w:r>
      </w:hyperlink>
      <w:r>
        <w:rPr>
          <w:rFonts w:hint="cs"/>
          <w:rtl/>
        </w:rPr>
        <w:t xml:space="preserve"> </w:t>
      </w:r>
      <w:r>
        <w:rPr>
          <w:rFonts w:hint="cs"/>
          <w:b/>
          <w:bCs/>
          <w:rtl/>
        </w:rPr>
        <w:t>עמוס שנגלוף נ' מדינת ישראל</w:t>
      </w:r>
      <w:r>
        <w:rPr>
          <w:rFonts w:hint="cs"/>
          <w:rtl/>
        </w:rPr>
        <w:t xml:space="preserve">, תק-על 2006(4), 4426, עמ' 4428 , על הצורך בנקיטת מדיניות ענישה מרתיעה וקבע כדלקמן: </w:t>
      </w:r>
    </w:p>
    <w:p w14:paraId="1464E9B6" w14:textId="77777777" w:rsidR="004C6E69" w:rsidRDefault="00322FFF">
      <w:pPr>
        <w:spacing w:line="360" w:lineRule="auto"/>
        <w:ind w:left="1417" w:right="1417"/>
        <w:jc w:val="both"/>
        <w:rPr>
          <w:b/>
          <w:bCs/>
          <w:rtl/>
        </w:rPr>
      </w:pPr>
      <w:r>
        <w:rPr>
          <w:rFonts w:hint="cs"/>
          <w:b/>
          <w:bCs/>
          <w:rtl/>
        </w:rPr>
        <w:t xml:space="preserve">"עבירות הסמים בהן הורשע המבקש הינן עבירות חמורות. בית-משפט זה חזר לא פעם על הצורך בנקיטת מדיניות ענישה מרתיעה בעבירות מסוג זה: </w:t>
      </w:r>
    </w:p>
    <w:p w14:paraId="7E6694EC" w14:textId="77777777" w:rsidR="004C6E69" w:rsidRDefault="00322FFF">
      <w:pPr>
        <w:spacing w:line="360" w:lineRule="auto"/>
        <w:ind w:left="1417" w:right="1417"/>
        <w:jc w:val="both"/>
        <w:rPr>
          <w:rFonts w:ascii="Arial" w:hAnsi="Arial"/>
          <w:rtl/>
        </w:rPr>
      </w:pPr>
      <w:r>
        <w:rPr>
          <w:rFonts w:hint="cs"/>
          <w:b/>
          <w:bCs/>
          <w:rtl/>
        </w:rPr>
        <w:lastRenderedPageBreak/>
        <w:t>כאשר בעבירות סמים עסקינן, לא ניתן להתעלם מהחובה המוטלת עלינו כמערכת וכחברה להיאבק בנגע הסמים. פן חשוב של מאבק זה הינו הטלת עונשים מחמירים על מי שבוחרים לעסוק בסחר בסמים. הסחר בסמים מסוכנים הינו אמצעי קל ונוח לעשיית רווחים נכבדים</w:t>
      </w:r>
      <w:r>
        <w:rPr>
          <w:rFonts w:ascii="Arial" w:hAnsi="Arial" w:hint="cs"/>
          <w:rtl/>
        </w:rPr>
        <w:t xml:space="preserve">". </w:t>
      </w:r>
    </w:p>
    <w:p w14:paraId="406C2F93" w14:textId="77777777" w:rsidR="004C6E69" w:rsidRDefault="004C6E69">
      <w:pPr>
        <w:spacing w:line="360" w:lineRule="auto"/>
        <w:ind w:left="1665" w:right="1080"/>
        <w:jc w:val="both"/>
        <w:rPr>
          <w:rFonts w:ascii="Arial" w:hAnsi="Arial"/>
          <w:rtl/>
        </w:rPr>
      </w:pPr>
    </w:p>
    <w:p w14:paraId="1169EE66" w14:textId="77777777" w:rsidR="004C6E69" w:rsidRDefault="00322FFF">
      <w:pPr>
        <w:spacing w:line="360" w:lineRule="auto"/>
        <w:jc w:val="both"/>
        <w:rPr>
          <w:rFonts w:ascii="Times New Roman" w:hAnsi="Times New Roman"/>
          <w:rtl/>
        </w:rPr>
      </w:pPr>
      <w:r>
        <w:rPr>
          <w:rFonts w:hint="cs"/>
          <w:rtl/>
        </w:rPr>
        <w:t xml:space="preserve">התביעה עתרה להטלת צו מבחן לתקופה של 36 חודשים ואילו הסנגור ביקש לאמץ את המלצת שירות המבחן ולהטיל צו מבחן 18 חודשים. </w:t>
      </w:r>
    </w:p>
    <w:p w14:paraId="27EB8A49" w14:textId="77777777" w:rsidR="004C6E69" w:rsidRDefault="004C6E69">
      <w:pPr>
        <w:spacing w:line="360" w:lineRule="auto"/>
        <w:jc w:val="both"/>
        <w:rPr>
          <w:b/>
          <w:bCs/>
          <w:rtl/>
        </w:rPr>
      </w:pPr>
    </w:p>
    <w:p w14:paraId="1224D416" w14:textId="77777777" w:rsidR="004C6E69" w:rsidRDefault="00322FFF">
      <w:pPr>
        <w:spacing w:line="360" w:lineRule="auto"/>
        <w:jc w:val="both"/>
        <w:rPr>
          <w:b/>
          <w:bCs/>
          <w:u w:val="single"/>
          <w:rtl/>
        </w:rPr>
      </w:pPr>
      <w:r>
        <w:rPr>
          <w:rFonts w:hint="cs"/>
          <w:b/>
          <w:bCs/>
          <w:u w:val="single"/>
          <w:rtl/>
        </w:rPr>
        <w:t xml:space="preserve">נסיבות שאינן קשורות בביצוע העבירה: </w:t>
      </w:r>
    </w:p>
    <w:p w14:paraId="29E900FF" w14:textId="77777777" w:rsidR="004C6E69" w:rsidRDefault="00322FFF">
      <w:pPr>
        <w:spacing w:line="360" w:lineRule="auto"/>
        <w:jc w:val="both"/>
        <w:rPr>
          <w:rtl/>
        </w:rPr>
      </w:pPr>
      <w:r>
        <w:rPr>
          <w:rFonts w:hint="cs"/>
          <w:rtl/>
        </w:rPr>
        <w:t xml:space="preserve">בגזירת העונש המתאים לנאשם, בגדרי מתחם העונש ההולם, יש להתחשב </w:t>
      </w:r>
      <w:r>
        <w:rPr>
          <w:rFonts w:hint="cs"/>
          <w:b/>
          <w:bCs/>
          <w:rtl/>
        </w:rPr>
        <w:t>בנסיבות שאינן קשורות בביצוע העבירה</w:t>
      </w:r>
      <w:r>
        <w:rPr>
          <w:rFonts w:hint="cs"/>
          <w:rtl/>
        </w:rPr>
        <w:t xml:space="preserve"> (</w:t>
      </w:r>
      <w:hyperlink r:id="rId16" w:history="1">
        <w:r w:rsidR="008621B6" w:rsidRPr="008621B6">
          <w:rPr>
            <w:rStyle w:val="Hyperlink"/>
            <w:rFonts w:hint="eastAsia"/>
            <w:rtl/>
          </w:rPr>
          <w:t>סעיף</w:t>
        </w:r>
        <w:r w:rsidR="008621B6" w:rsidRPr="008621B6">
          <w:rPr>
            <w:rStyle w:val="Hyperlink"/>
            <w:rtl/>
          </w:rPr>
          <w:t xml:space="preserve"> 40 יא'</w:t>
        </w:r>
      </w:hyperlink>
      <w:r>
        <w:rPr>
          <w:rFonts w:hint="cs"/>
          <w:rtl/>
        </w:rPr>
        <w:t xml:space="preserve">). במסגרת זו נתתי דעתי לנסיבותיו האישיות של הנאשם כפי שפורטו בתסקיר שירות המבחן. </w:t>
      </w:r>
    </w:p>
    <w:p w14:paraId="6AD80888" w14:textId="77777777" w:rsidR="004C6E69" w:rsidRDefault="00322FFF">
      <w:pPr>
        <w:spacing w:line="360" w:lineRule="auto"/>
        <w:jc w:val="both"/>
        <w:rPr>
          <w:rtl/>
        </w:rPr>
      </w:pPr>
      <w:r>
        <w:rPr>
          <w:rFonts w:hint="cs"/>
          <w:rtl/>
        </w:rPr>
        <w:t xml:space="preserve">נתתי דעתי לנטילת האחריות של הנאשם על מעשיו והבעת החרטה כפי שעולה מתסקיר שירות המבחן. </w:t>
      </w:r>
    </w:p>
    <w:p w14:paraId="7CCC37B3" w14:textId="77777777" w:rsidR="004C6E69" w:rsidRDefault="00322FFF">
      <w:pPr>
        <w:spacing w:line="360" w:lineRule="auto"/>
        <w:jc w:val="both"/>
        <w:rPr>
          <w:rtl/>
        </w:rPr>
      </w:pPr>
      <w:r>
        <w:rPr>
          <w:rFonts w:hint="cs"/>
          <w:rtl/>
        </w:rPr>
        <w:t xml:space="preserve">נתתי דעתי לכך שלנאשם אין עבר פלילי. </w:t>
      </w:r>
    </w:p>
    <w:p w14:paraId="4181B641" w14:textId="77777777" w:rsidR="004C6E69" w:rsidRDefault="004C6E69">
      <w:pPr>
        <w:spacing w:line="360" w:lineRule="auto"/>
        <w:rPr>
          <w:rtl/>
        </w:rPr>
      </w:pPr>
    </w:p>
    <w:p w14:paraId="2839A891" w14:textId="77777777" w:rsidR="004C6E69" w:rsidRDefault="00322FFF">
      <w:pPr>
        <w:spacing w:line="360" w:lineRule="auto"/>
        <w:jc w:val="both"/>
        <w:rPr>
          <w:b/>
          <w:bCs/>
          <w:u w:val="single"/>
          <w:rtl/>
        </w:rPr>
      </w:pPr>
      <w:r>
        <w:rPr>
          <w:rFonts w:hint="cs"/>
          <w:b/>
          <w:bCs/>
          <w:u w:val="single"/>
          <w:rtl/>
        </w:rPr>
        <w:t>פסילת רישיון הנהיגה:</w:t>
      </w:r>
    </w:p>
    <w:p w14:paraId="47048B0E" w14:textId="77777777" w:rsidR="004C6E69" w:rsidRDefault="00322FFF">
      <w:pPr>
        <w:spacing w:line="360" w:lineRule="auto"/>
        <w:jc w:val="both"/>
        <w:rPr>
          <w:color w:val="000000"/>
          <w:rtl/>
        </w:rPr>
      </w:pPr>
      <w:r>
        <w:rPr>
          <w:rFonts w:hint="cs"/>
          <w:rtl/>
        </w:rPr>
        <w:t xml:space="preserve">הנאשם עתר להימנע מפסילת רישיונו של הנאשם. </w:t>
      </w:r>
      <w:hyperlink r:id="rId17" w:history="1">
        <w:r w:rsidR="008621B6" w:rsidRPr="008621B6">
          <w:rPr>
            <w:rStyle w:val="Hyperlink"/>
            <w:rFonts w:hint="eastAsia"/>
            <w:rtl/>
          </w:rPr>
          <w:t>סעיף</w:t>
        </w:r>
        <w:r w:rsidR="008621B6" w:rsidRPr="008621B6">
          <w:rPr>
            <w:rStyle w:val="Hyperlink"/>
            <w:rtl/>
          </w:rPr>
          <w:t xml:space="preserve"> 37א</w:t>
        </w:r>
      </w:hyperlink>
      <w:r>
        <w:rPr>
          <w:rFonts w:hint="cs"/>
          <w:rtl/>
        </w:rPr>
        <w:t xml:space="preserve"> לפקודת הסמים מסמיך את בית המשפט להורות על פסילת רישיונו של אדם שהורשע בעבירה לפי פקודת הסמים. </w:t>
      </w:r>
      <w:r>
        <w:rPr>
          <w:rFonts w:hint="cs"/>
          <w:color w:val="000000"/>
          <w:rtl/>
        </w:rPr>
        <w:t>מטרת שלילת הרישיון בהתאם לסעיף הנ"ל אינה רק מניעתית. ב</w:t>
      </w:r>
      <w:hyperlink r:id="rId18" w:history="1">
        <w:r w:rsidR="005723DF" w:rsidRPr="005723DF">
          <w:rPr>
            <w:rStyle w:val="Hyperlink"/>
            <w:rtl/>
          </w:rPr>
          <w:t>רע"פ 5343/05</w:t>
        </w:r>
      </w:hyperlink>
      <w:r>
        <w:rPr>
          <w:rFonts w:hint="cs"/>
          <w:color w:val="000000"/>
          <w:rtl/>
        </w:rPr>
        <w:t xml:space="preserve"> </w:t>
      </w:r>
      <w:r>
        <w:rPr>
          <w:rFonts w:hint="cs"/>
          <w:b/>
          <w:bCs/>
          <w:color w:val="000000"/>
          <w:rtl/>
        </w:rPr>
        <w:t>מכלוף רווח נ' מדינת ישראל</w:t>
      </w:r>
      <w:r>
        <w:rPr>
          <w:rFonts w:hint="cs"/>
          <w:color w:val="000000"/>
          <w:rtl/>
        </w:rPr>
        <w:t>, תק-על 2005(3),3979 בית המשפט דן בתכלית סעיף זה ומטרת פסילת רישיון הנהיגה בעבירות סמים, באופן הבא:</w:t>
      </w:r>
    </w:p>
    <w:p w14:paraId="145783C3" w14:textId="77777777" w:rsidR="004C6E69" w:rsidRDefault="004C6E69">
      <w:pPr>
        <w:spacing w:line="360" w:lineRule="auto"/>
        <w:jc w:val="both"/>
        <w:rPr>
          <w:color w:val="000000"/>
          <w:rtl/>
        </w:rPr>
      </w:pPr>
    </w:p>
    <w:p w14:paraId="7C6683FD" w14:textId="77777777" w:rsidR="004C6E69" w:rsidRDefault="00322FFF">
      <w:pPr>
        <w:spacing w:line="360" w:lineRule="auto"/>
        <w:ind w:left="1417" w:right="1417"/>
        <w:jc w:val="both"/>
        <w:rPr>
          <w:b/>
          <w:bCs/>
          <w:color w:val="000000"/>
          <w:spacing w:val="10"/>
          <w:rtl/>
        </w:rPr>
      </w:pPr>
      <w:r>
        <w:rPr>
          <w:rFonts w:hint="cs"/>
          <w:b/>
          <w:bCs/>
          <w:color w:val="000000"/>
          <w:spacing w:val="10"/>
          <w:rtl/>
        </w:rPr>
        <w:t xml:space="preserve">"אוסיף ואעיר, כי המבקש יוצא מנקודת ההנחה כי המטרה היחידה של פסילת רשיון בגין עבירות סמים היא מניעתית והסמכות להטיל עונש זה קיימת אך ורק כאשר בית המשפט מגיע למסקנה כי הנידון עודנו משתמש בסמים. כשלעצמי, איני סבורה בהכרח כי מטרת עונש זה מצומצמת רק להיבט המניעתי. אכן, ניתן להניח כי הרצון לשלול רשיונותיהם של עברייני סמים נובע גם מן הרצון להגן על הציבור מפני נהיגה מסוכנת תחת השפעת סמים (ראו: דברי ההסבר לסעיף 15 להצעת החוק לתיקון </w:t>
      </w:r>
      <w:hyperlink r:id="rId19" w:history="1">
        <w:r w:rsidR="005723DF" w:rsidRPr="005723DF">
          <w:rPr>
            <w:rStyle w:val="Hyperlink"/>
            <w:b/>
            <w:bCs/>
            <w:spacing w:val="10"/>
            <w:rtl/>
          </w:rPr>
          <w:t>פקודת הסמים המסוכנים</w:t>
        </w:r>
      </w:hyperlink>
      <w:r>
        <w:rPr>
          <w:rFonts w:hint="cs"/>
          <w:b/>
          <w:bCs/>
          <w:color w:val="000000"/>
          <w:spacing w:val="10"/>
          <w:rtl/>
        </w:rPr>
        <w:t xml:space="preserve"> (מס' 3), תשמ"ח; </w:t>
      </w:r>
      <w:hyperlink r:id="rId20" w:history="1">
        <w:r w:rsidR="005723DF" w:rsidRPr="005723DF">
          <w:rPr>
            <w:rStyle w:val="Hyperlink"/>
            <w:b/>
            <w:bCs/>
            <w:spacing w:val="10"/>
            <w:rtl/>
          </w:rPr>
          <w:t>ע"פ 10322/01</w:t>
        </w:r>
      </w:hyperlink>
      <w:r>
        <w:rPr>
          <w:rFonts w:hint="cs"/>
          <w:b/>
          <w:bCs/>
          <w:color w:val="000000"/>
          <w:spacing w:val="10"/>
          <w:rtl/>
        </w:rPr>
        <w:t xml:space="preserve"> </w:t>
      </w:r>
      <w:r>
        <w:rPr>
          <w:rFonts w:hint="cs"/>
          <w:b/>
          <w:bCs/>
          <w:color w:val="000000"/>
          <w:rtl/>
        </w:rPr>
        <w:t>אברהם גבריאל נ' מדינת ישראל</w:t>
      </w:r>
      <w:r>
        <w:rPr>
          <w:rFonts w:hint="cs"/>
          <w:b/>
          <w:bCs/>
          <w:color w:val="000000"/>
          <w:spacing w:val="10"/>
          <w:rtl/>
        </w:rPr>
        <w:t xml:space="preserve"> (לא פורסם, ניתן ביום 15.7.02)). אולם, ניתן לטעון טענה דומה לגבי עונש מאסר ולומר שמטרתו הינה להרחיק את העבריין מהחברה על מנת למנוע המשך הפגיעה בה. טענה שכזו היא ודאי נכונה, אך היא משקפת רק היבט אחד של התמונה העונשית. עונש המאסר בא לשרת מספר מטרות, ביניהן: גמול, הרתעה, שיקום ומניעה (ראו: </w:t>
      </w:r>
      <w:hyperlink r:id="rId21" w:history="1">
        <w:r w:rsidR="005723DF" w:rsidRPr="005723DF">
          <w:rPr>
            <w:rStyle w:val="Hyperlink"/>
            <w:b/>
            <w:bCs/>
            <w:spacing w:val="10"/>
            <w:rtl/>
          </w:rPr>
          <w:t>ע"פ 4920/01</w:t>
        </w:r>
      </w:hyperlink>
      <w:r>
        <w:rPr>
          <w:rFonts w:hint="cs"/>
          <w:b/>
          <w:bCs/>
          <w:color w:val="000000"/>
          <w:spacing w:val="10"/>
          <w:rtl/>
        </w:rPr>
        <w:t xml:space="preserve"> </w:t>
      </w:r>
      <w:r>
        <w:rPr>
          <w:rFonts w:hint="cs"/>
          <w:b/>
          <w:bCs/>
          <w:color w:val="000000"/>
          <w:rtl/>
        </w:rPr>
        <w:t>מדינת ישראל נ פלוני</w:t>
      </w:r>
      <w:r>
        <w:rPr>
          <w:rFonts w:hint="cs"/>
          <w:b/>
          <w:bCs/>
          <w:color w:val="000000"/>
          <w:spacing w:val="10"/>
          <w:rtl/>
        </w:rPr>
        <w:t xml:space="preserve"> (לא פורסם, ניתן ביום 18.10.01). עונש הפסילה גם הוא, בדומה ליתר דרכי הענישה, בא להשיג מספר מטרות. מוכנה אני להניח כי השיקול המניעתי בא לידי ביטוי בולט בשיקולי בית המשפט בבואו להטיל עונש זה, יותר מאשר, למשל, בבואו להטיל עונש הקנס. ברם, אין משמעות הדבר כי השיקול המניעתי הוא השיקול היחיד וההכרחי ששוקל בית המשפט, או אפילו השיקול הדומיננטי." </w:t>
      </w:r>
    </w:p>
    <w:p w14:paraId="03E26AF0" w14:textId="77777777" w:rsidR="004C6E69" w:rsidRDefault="004C6E69">
      <w:pPr>
        <w:pStyle w:val="a6"/>
        <w:spacing w:line="360" w:lineRule="auto"/>
        <w:ind w:left="1417" w:right="1417"/>
        <w:jc w:val="both"/>
        <w:rPr>
          <w:rtl/>
          <w:lang w:eastAsia="he-IL"/>
        </w:rPr>
      </w:pPr>
    </w:p>
    <w:p w14:paraId="202D2D91" w14:textId="77777777" w:rsidR="004C6E69" w:rsidRDefault="00322FFF">
      <w:pPr>
        <w:pStyle w:val="a6"/>
        <w:spacing w:line="360" w:lineRule="auto"/>
        <w:jc w:val="both"/>
        <w:rPr>
          <w:color w:val="000000"/>
          <w:rtl/>
        </w:rPr>
      </w:pPr>
      <w:r>
        <w:rPr>
          <w:rFonts w:hint="cs"/>
          <w:rtl/>
          <w:lang w:eastAsia="he-IL"/>
        </w:rPr>
        <w:t>לאור האמור לעיל, מצאתי כי בנסיבות הענין כי יש להורות על פסילת רישיון הנהיגה שמחזיק הנאשם למשך 3 חודשים. אני מפנה את הנאשם למכון הרפואי לבטיחות בדרכים אשר יחזור ויבדוק כי אכן הנאשם כשיר לנהוג בכלי רכב מנועי וכי הוא חדל משימוש בסם.</w:t>
      </w:r>
    </w:p>
    <w:p w14:paraId="0039C5E2" w14:textId="77777777" w:rsidR="004C6E69" w:rsidRDefault="004C6E69">
      <w:pPr>
        <w:spacing w:line="360" w:lineRule="auto"/>
        <w:rPr>
          <w:rtl/>
        </w:rPr>
      </w:pPr>
    </w:p>
    <w:p w14:paraId="4369170A" w14:textId="77777777" w:rsidR="004C6E69" w:rsidRDefault="00322FFF">
      <w:pPr>
        <w:pStyle w:val="a6"/>
        <w:rPr>
          <w:b/>
          <w:bCs/>
          <w:u w:val="single"/>
          <w:rtl/>
        </w:rPr>
      </w:pPr>
      <w:r>
        <w:rPr>
          <w:rFonts w:hint="cs"/>
          <w:b/>
          <w:bCs/>
          <w:u w:val="single"/>
          <w:rtl/>
        </w:rPr>
        <w:t>אני דן את הנאשם לעונשים הבאים:</w:t>
      </w:r>
    </w:p>
    <w:p w14:paraId="31A5AD5B" w14:textId="77777777" w:rsidR="004C6E69" w:rsidRDefault="00322FFF">
      <w:pPr>
        <w:spacing w:line="360" w:lineRule="auto"/>
        <w:jc w:val="both"/>
        <w:rPr>
          <w:rFonts w:cs="Times New Roman"/>
          <w:rtl/>
        </w:rPr>
      </w:pPr>
      <w:r>
        <w:rPr>
          <w:rFonts w:hint="cs"/>
          <w:rtl/>
        </w:rPr>
        <w:t>א.</w:t>
      </w:r>
      <w:r>
        <w:rPr>
          <w:rFonts w:hint="cs"/>
          <w:rtl/>
        </w:rPr>
        <w:tab/>
        <w:t xml:space="preserve">מוצא בזאת צו מבחן המעמיד את הנאשם בפיקוח שרות המבחן למשך 24 חודשים </w:t>
      </w:r>
      <w:r>
        <w:rPr>
          <w:rFonts w:hint="cs"/>
          <w:rtl/>
        </w:rPr>
        <w:tab/>
        <w:t xml:space="preserve">מהיום. </w:t>
      </w:r>
      <w:r>
        <w:rPr>
          <w:rFonts w:hint="cs"/>
          <w:rtl/>
        </w:rPr>
        <w:br/>
      </w:r>
      <w:r>
        <w:rPr>
          <w:rFonts w:hint="cs"/>
          <w:rtl/>
        </w:rPr>
        <w:tab/>
        <w:t xml:space="preserve">הנאשם יהיה בקשר עם שרות המבחן, ויפעל על פי הוראות שיינתנו לו מפעם לפעם על ידי </w:t>
      </w:r>
      <w:r>
        <w:rPr>
          <w:rFonts w:hint="cs"/>
          <w:rtl/>
        </w:rPr>
        <w:tab/>
        <w:t>שרות המבחן ויתייצב לשיחות ו/או לטיפולים כפי שיקבע.</w:t>
      </w:r>
    </w:p>
    <w:p w14:paraId="3BF8524D" w14:textId="77777777" w:rsidR="004C6E69" w:rsidRDefault="00322FFF">
      <w:pPr>
        <w:spacing w:line="360" w:lineRule="auto"/>
        <w:jc w:val="both"/>
        <w:rPr>
          <w:rFonts w:cs="Times New Roman"/>
          <w:rtl/>
        </w:rPr>
      </w:pPr>
      <w:r>
        <w:rPr>
          <w:rFonts w:hint="cs"/>
          <w:rtl/>
        </w:rPr>
        <w:tab/>
        <w:t xml:space="preserve">הודע לנאשם כי במידה וייפר את צו המבחן, יוחזר עניינו לבית המשפט ובית המשפט </w:t>
      </w:r>
      <w:r>
        <w:rPr>
          <w:rFonts w:hint="cs"/>
          <w:rtl/>
        </w:rPr>
        <w:tab/>
        <w:t xml:space="preserve">יהיה רשאי להרשיע אותו ולגזור כל עונש אשר ימצא לנכון. </w:t>
      </w:r>
    </w:p>
    <w:p w14:paraId="407A306F" w14:textId="77777777" w:rsidR="004C6E69" w:rsidRDefault="00322FFF">
      <w:pPr>
        <w:spacing w:line="360" w:lineRule="auto"/>
        <w:jc w:val="both"/>
        <w:rPr>
          <w:rFonts w:cs="Times New Roman"/>
          <w:rtl/>
        </w:rPr>
      </w:pPr>
      <w:r>
        <w:rPr>
          <w:rFonts w:hint="cs"/>
          <w:rtl/>
        </w:rPr>
        <w:tab/>
        <w:t xml:space="preserve">הנאשם יהיה בקשר עם שרות המבחן, על פי קביעת שרות המבחן ועל פי תדירות ששרות </w:t>
      </w:r>
      <w:r>
        <w:rPr>
          <w:rFonts w:hint="cs"/>
          <w:rtl/>
        </w:rPr>
        <w:tab/>
        <w:t xml:space="preserve">המבחן יקבע. </w:t>
      </w:r>
    </w:p>
    <w:p w14:paraId="2AA0F1B6" w14:textId="77777777" w:rsidR="004C6E69" w:rsidRDefault="00322FFF">
      <w:pPr>
        <w:spacing w:line="360" w:lineRule="auto"/>
        <w:jc w:val="both"/>
        <w:rPr>
          <w:rtl/>
        </w:rPr>
      </w:pPr>
      <w:r>
        <w:rPr>
          <w:rFonts w:hint="cs"/>
          <w:rtl/>
        </w:rPr>
        <w:tab/>
        <w:t xml:space="preserve">שרות המבחן יודיע לבית המשפט במידה שתהיה הפרה של צו המבחן, וכן בסיום תקופת </w:t>
      </w:r>
      <w:r>
        <w:rPr>
          <w:rFonts w:hint="cs"/>
          <w:rtl/>
        </w:rPr>
        <w:tab/>
        <w:t xml:space="preserve">המבחן. </w:t>
      </w:r>
    </w:p>
    <w:p w14:paraId="7B658F5B" w14:textId="77777777" w:rsidR="004C6E69" w:rsidRDefault="004C6E69">
      <w:pPr>
        <w:spacing w:line="360" w:lineRule="auto"/>
        <w:jc w:val="both"/>
        <w:rPr>
          <w:rFonts w:cs="Times New Roman"/>
          <w:rtl/>
        </w:rPr>
      </w:pPr>
    </w:p>
    <w:p w14:paraId="023997C3" w14:textId="77777777" w:rsidR="004C6E69" w:rsidRDefault="00322FFF">
      <w:pPr>
        <w:spacing w:line="360" w:lineRule="auto"/>
        <w:jc w:val="both"/>
        <w:rPr>
          <w:rtl/>
        </w:rPr>
      </w:pPr>
      <w:r>
        <w:rPr>
          <w:rFonts w:hint="cs"/>
          <w:rtl/>
        </w:rPr>
        <w:t xml:space="preserve"> </w:t>
      </w:r>
      <w:r>
        <w:rPr>
          <w:rFonts w:ascii="Arial" w:hAnsi="Arial" w:hint="cs"/>
          <w:rtl/>
        </w:rPr>
        <w:t>ב.</w:t>
      </w:r>
      <w:r>
        <w:rPr>
          <w:rFonts w:ascii="Arial" w:hAnsi="Arial" w:hint="cs"/>
          <w:rtl/>
        </w:rPr>
        <w:tab/>
        <w:t>אני מטיל על הנאשם מאסר על תנאי של  12 חודשים</w:t>
      </w:r>
      <w:r>
        <w:rPr>
          <w:rFonts w:hint="cs"/>
          <w:rtl/>
        </w:rPr>
        <w:t>, למשך 3 שנים החל מהיום,</w:t>
      </w:r>
      <w:r>
        <w:rPr>
          <w:rFonts w:hint="cs"/>
          <w:rtl/>
        </w:rPr>
        <w:tab/>
        <w:t xml:space="preserve">והתנאי שלא יעבור ויורשע על כל עבירה על </w:t>
      </w:r>
      <w:hyperlink r:id="rId22" w:history="1">
        <w:r w:rsidR="005723DF" w:rsidRPr="005723DF">
          <w:rPr>
            <w:rStyle w:val="Hyperlink"/>
            <w:rtl/>
          </w:rPr>
          <w:t>פקודת הסמים המסוכנים</w:t>
        </w:r>
      </w:hyperlink>
      <w:r>
        <w:rPr>
          <w:rFonts w:hint="cs"/>
          <w:rtl/>
        </w:rPr>
        <w:t xml:space="preserve"> מסוג פשע.</w:t>
      </w:r>
    </w:p>
    <w:p w14:paraId="767FD77F" w14:textId="77777777" w:rsidR="004C6E69" w:rsidRDefault="004C6E69">
      <w:pPr>
        <w:spacing w:line="360" w:lineRule="auto"/>
        <w:jc w:val="both"/>
        <w:rPr>
          <w:rtl/>
        </w:rPr>
      </w:pPr>
    </w:p>
    <w:p w14:paraId="217B242B" w14:textId="77777777" w:rsidR="004C6E69" w:rsidRDefault="00322FFF">
      <w:pPr>
        <w:spacing w:line="360" w:lineRule="auto"/>
        <w:jc w:val="both"/>
        <w:textAlignment w:val="top"/>
        <w:rPr>
          <w:rFonts w:ascii="Arial" w:hAnsi="Arial"/>
          <w:rtl/>
        </w:rPr>
      </w:pPr>
      <w:r>
        <w:rPr>
          <w:rFonts w:hint="cs"/>
          <w:rtl/>
        </w:rPr>
        <w:t xml:space="preserve">ג.      </w:t>
      </w:r>
      <w:r>
        <w:rPr>
          <w:rFonts w:hint="cs"/>
          <w:rtl/>
        </w:rPr>
        <w:tab/>
      </w:r>
      <w:r>
        <w:rPr>
          <w:rFonts w:ascii="Arial" w:hAnsi="Arial" w:hint="cs"/>
          <w:rtl/>
        </w:rPr>
        <w:t xml:space="preserve">אני מטיל על הנאשם מאסר על תנאי של 3 חודשים, למשך 3 שנים החל מהיום, והתנאי שלא </w:t>
      </w:r>
      <w:r>
        <w:rPr>
          <w:rFonts w:ascii="Arial" w:hAnsi="Arial" w:hint="cs"/>
          <w:rtl/>
        </w:rPr>
        <w:tab/>
        <w:t xml:space="preserve">יעבור ויורשע על כל עבירה על </w:t>
      </w:r>
      <w:hyperlink r:id="rId23" w:history="1">
        <w:r w:rsidR="005723DF" w:rsidRPr="005723DF">
          <w:rPr>
            <w:rStyle w:val="Hyperlink"/>
            <w:rFonts w:ascii="Arial" w:hAnsi="Arial"/>
            <w:rtl/>
          </w:rPr>
          <w:t>פקודת הסמים המסוכנים</w:t>
        </w:r>
      </w:hyperlink>
      <w:r>
        <w:rPr>
          <w:rFonts w:ascii="Arial" w:hAnsi="Arial" w:hint="cs"/>
          <w:rtl/>
        </w:rPr>
        <w:t xml:space="preserve"> מסוג עוון.</w:t>
      </w:r>
    </w:p>
    <w:p w14:paraId="0C2747F0" w14:textId="77777777" w:rsidR="004C6E69" w:rsidRDefault="00322FFF">
      <w:pPr>
        <w:spacing w:line="360" w:lineRule="auto"/>
        <w:rPr>
          <w:rFonts w:ascii="Times New Roman" w:hAnsi="Times New Roman"/>
          <w:rtl/>
        </w:rPr>
      </w:pPr>
      <w:r>
        <w:rPr>
          <w:rFonts w:ascii="Arial" w:hAnsi="Arial" w:hint="cs"/>
          <w:rtl/>
        </w:rPr>
        <w:br/>
      </w:r>
      <w:r>
        <w:rPr>
          <w:rFonts w:hint="cs"/>
          <w:rtl/>
        </w:rPr>
        <w:t>ד.</w:t>
      </w:r>
      <w:r>
        <w:rPr>
          <w:rFonts w:hint="cs"/>
          <w:rtl/>
        </w:rPr>
        <w:tab/>
        <w:t xml:space="preserve">אני פוסל את הנאשם מלנהוג ברכב מנועי ו/או להחזיק ברישיון נהיגה למשך 3 חודשים </w:t>
      </w:r>
      <w:r>
        <w:rPr>
          <w:rFonts w:hint="cs"/>
          <w:rtl/>
        </w:rPr>
        <w:tab/>
        <w:t xml:space="preserve">מהיום. הסברתי לנאשם כי עליו להפקיד את רישיון הנהיגה במזכירות בית המשפט על מנת </w:t>
      </w:r>
      <w:r>
        <w:rPr>
          <w:rFonts w:hint="cs"/>
          <w:rtl/>
        </w:rPr>
        <w:tab/>
        <w:t xml:space="preserve">שמרוץ הפסילה ימנה. </w:t>
      </w:r>
    </w:p>
    <w:p w14:paraId="59FF6C25" w14:textId="77777777" w:rsidR="004C6E69" w:rsidRDefault="004C6E69">
      <w:pPr>
        <w:spacing w:line="360" w:lineRule="auto"/>
        <w:jc w:val="both"/>
        <w:rPr>
          <w:rFonts w:ascii="Arial" w:hAnsi="Arial"/>
          <w:u w:val="single"/>
          <w:rtl/>
        </w:rPr>
      </w:pPr>
    </w:p>
    <w:p w14:paraId="36E4BCDB" w14:textId="77777777" w:rsidR="004C6E69" w:rsidRDefault="00322FFF">
      <w:pPr>
        <w:spacing w:line="360" w:lineRule="auto"/>
        <w:jc w:val="both"/>
        <w:rPr>
          <w:rFonts w:ascii="Arial" w:hAnsi="Arial"/>
          <w:b/>
          <w:bCs/>
          <w:rtl/>
        </w:rPr>
      </w:pPr>
      <w:r>
        <w:rPr>
          <w:rFonts w:ascii="Arial" w:hAnsi="Arial" w:hint="cs"/>
          <w:b/>
          <w:bCs/>
          <w:u w:val="single"/>
          <w:rtl/>
        </w:rPr>
        <w:t xml:space="preserve">סמים להשמדה </w:t>
      </w:r>
      <w:r>
        <w:rPr>
          <w:rFonts w:ascii="Arial" w:hAnsi="Arial"/>
          <w:b/>
          <w:bCs/>
          <w:u w:val="single"/>
          <w:rtl/>
        </w:rPr>
        <w:t>–</w:t>
      </w:r>
      <w:r>
        <w:rPr>
          <w:rFonts w:ascii="Arial" w:hAnsi="Arial" w:hint="cs"/>
          <w:b/>
          <w:bCs/>
          <w:u w:val="single"/>
          <w:rtl/>
        </w:rPr>
        <w:t xml:space="preserve"> בחלוף מועד הערעור</w:t>
      </w:r>
    </w:p>
    <w:p w14:paraId="002DE93E" w14:textId="77777777" w:rsidR="004C6E69" w:rsidRDefault="004C6E69">
      <w:pPr>
        <w:spacing w:line="360" w:lineRule="auto"/>
        <w:jc w:val="both"/>
        <w:rPr>
          <w:rtl/>
        </w:rPr>
      </w:pPr>
    </w:p>
    <w:p w14:paraId="7C598E2A" w14:textId="77777777" w:rsidR="004C6E69" w:rsidRDefault="00322FFF">
      <w:pPr>
        <w:spacing w:line="360" w:lineRule="auto"/>
        <w:jc w:val="both"/>
        <w:rPr>
          <w:b/>
          <w:bCs/>
          <w:rtl/>
        </w:rPr>
      </w:pPr>
      <w:r>
        <w:rPr>
          <w:rFonts w:hint="cs"/>
          <w:b/>
          <w:bCs/>
          <w:rtl/>
        </w:rPr>
        <w:t xml:space="preserve">זכות ערעור בית משפט מחוזי תוך 45 יום. </w:t>
      </w:r>
    </w:p>
    <w:p w14:paraId="12AFECA1" w14:textId="77777777" w:rsidR="004C6E69" w:rsidRDefault="00322FFF">
      <w:pPr>
        <w:spacing w:line="360" w:lineRule="auto"/>
        <w:jc w:val="both"/>
        <w:rPr>
          <w:b/>
          <w:bCs/>
          <w:sz w:val="6"/>
          <w:szCs w:val="6"/>
          <w:rtl/>
        </w:rPr>
      </w:pPr>
      <w:r>
        <w:rPr>
          <w:b/>
          <w:bCs/>
          <w:sz w:val="6"/>
          <w:szCs w:val="6"/>
          <w:rtl/>
        </w:rPr>
        <w:t>&lt;#4#&gt;</w:t>
      </w:r>
    </w:p>
    <w:p w14:paraId="021598A9" w14:textId="77777777" w:rsidR="004C6E69" w:rsidRDefault="004C6E69">
      <w:pPr>
        <w:jc w:val="right"/>
        <w:rPr>
          <w:rtl/>
        </w:rPr>
      </w:pPr>
    </w:p>
    <w:p w14:paraId="118E3967" w14:textId="77777777" w:rsidR="004C6E69" w:rsidRDefault="00322FFF">
      <w:pPr>
        <w:spacing w:line="360" w:lineRule="auto"/>
        <w:rPr>
          <w:rtl/>
        </w:rPr>
      </w:pPr>
      <w:r>
        <w:rPr>
          <w:rFonts w:hint="cs"/>
          <w:b/>
          <w:bCs/>
          <w:rtl/>
        </w:rPr>
        <w:t xml:space="preserve">ניתנה והודעה היום </w:t>
      </w:r>
      <w:r>
        <w:rPr>
          <w:rFonts w:hint="cs"/>
          <w:rtl/>
        </w:rPr>
        <w:t>ט' כסלו תשע"ד</w:t>
      </w:r>
      <w:r>
        <w:rPr>
          <w:rFonts w:hint="cs"/>
          <w:b/>
          <w:bCs/>
          <w:rtl/>
        </w:rPr>
        <w:t xml:space="preserve">, </w:t>
      </w:r>
      <w:r>
        <w:rPr>
          <w:rFonts w:hint="cs"/>
          <w:rtl/>
        </w:rPr>
        <w:t>12/11/2013</w:t>
      </w:r>
      <w:r>
        <w:rPr>
          <w:rFonts w:hint="cs"/>
          <w:b/>
          <w:bCs/>
          <w:rtl/>
        </w:rPr>
        <w:t xml:space="preserve"> במעמד הנוכחים.</w:t>
      </w:r>
    </w:p>
    <w:p w14:paraId="183CEC21" w14:textId="77777777" w:rsidR="004C6E69" w:rsidRDefault="004C6E69">
      <w:pPr>
        <w:jc w:val="right"/>
        <w:rPr>
          <w:rtl/>
        </w:rPr>
      </w:pPr>
    </w:p>
    <w:p w14:paraId="743B71F2" w14:textId="77777777" w:rsidR="004C6E69" w:rsidRDefault="004C6E69">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4C6E69" w14:paraId="3E2AC746" w14:textId="77777777">
        <w:trPr>
          <w:trHeight w:val="364"/>
          <w:jc w:val="right"/>
        </w:trPr>
        <w:tc>
          <w:tcPr>
            <w:tcW w:w="3708" w:type="dxa"/>
          </w:tcPr>
          <w:p w14:paraId="278F4774" w14:textId="77777777" w:rsidR="004C6E69" w:rsidRDefault="004C6E69">
            <w:pPr>
              <w:jc w:val="center"/>
              <w:rPr>
                <w:rFonts w:ascii="Times New Roman" w:eastAsia="Times New Roman" w:hAnsi="Times New Roman" w:cs="Times New Roman"/>
              </w:rPr>
            </w:pPr>
          </w:p>
          <w:p w14:paraId="3EB4EE67" w14:textId="77777777" w:rsidR="004C6E69" w:rsidRDefault="004C6E69">
            <w:pPr>
              <w:jc w:val="center"/>
              <w:rPr>
                <w:rFonts w:ascii="Times New Roman" w:eastAsia="Times New Roman" w:hAnsi="Times New Roman" w:cs="Times New Roman"/>
                <w:rtl/>
              </w:rPr>
            </w:pPr>
          </w:p>
        </w:tc>
      </w:tr>
      <w:tr w:rsidR="004C6E69" w14:paraId="4844B3FF" w14:textId="77777777">
        <w:trPr>
          <w:trHeight w:val="415"/>
          <w:jc w:val="right"/>
        </w:trPr>
        <w:tc>
          <w:tcPr>
            <w:tcW w:w="3708" w:type="dxa"/>
          </w:tcPr>
          <w:p w14:paraId="0A2BAAD0" w14:textId="77777777" w:rsidR="004C6E69" w:rsidRDefault="00322FFF">
            <w:pPr>
              <w:jc w:val="center"/>
              <w:rPr>
                <w:rFonts w:ascii="Times New Roman" w:eastAsia="Times New Roman" w:hAnsi="Times New Roman"/>
                <w:b/>
                <w:bCs/>
                <w:rtl/>
              </w:rPr>
            </w:pPr>
            <w:r>
              <w:rPr>
                <w:rFonts w:ascii="Times New Roman" w:eastAsia="Times New Roman" w:hAnsi="Times New Roman" w:hint="cs"/>
                <w:b/>
                <w:bCs/>
                <w:rtl/>
              </w:rPr>
              <w:t>דורון פורת</w:t>
            </w:r>
            <w:r>
              <w:rPr>
                <w:rFonts w:ascii="Times New Roman" w:eastAsia="Times New Roman" w:hAnsi="Times New Roman" w:cs="Times New Roman" w:hint="cs"/>
                <w:rtl/>
              </w:rPr>
              <w:t>,</w:t>
            </w:r>
            <w:r>
              <w:rPr>
                <w:rFonts w:ascii="Times New Roman" w:eastAsia="Times New Roman" w:hAnsi="Times New Roman" w:hint="cs"/>
                <w:b/>
                <w:bCs/>
                <w:rtl/>
              </w:rPr>
              <w:t xml:space="preserve"> שופט </w:t>
            </w:r>
            <w:r>
              <w:rPr>
                <w:rFonts w:ascii="Times New Roman" w:eastAsia="Times New Roman" w:hAnsi="Times New Roman" w:cs="Times New Roman" w:hint="cs"/>
                <w:rtl/>
              </w:rPr>
              <w:br/>
            </w:r>
            <w:r>
              <w:rPr>
                <w:rFonts w:ascii="Times New Roman" w:eastAsia="Times New Roman" w:hAnsi="Times New Roman" w:hint="cs"/>
                <w:b/>
                <w:bCs/>
                <w:rtl/>
              </w:rPr>
              <w:t>סגן נשיא</w:t>
            </w:r>
          </w:p>
        </w:tc>
      </w:tr>
    </w:tbl>
    <w:p w14:paraId="0EBA0D97" w14:textId="77777777" w:rsidR="004C6E69" w:rsidRDefault="004C6E69">
      <w:pPr>
        <w:jc w:val="right"/>
        <w:rPr>
          <w:rtl/>
        </w:rPr>
      </w:pPr>
    </w:p>
    <w:p w14:paraId="12A80611" w14:textId="77777777" w:rsidR="004C6E69" w:rsidRDefault="004C6E69">
      <w:pPr>
        <w:jc w:val="center"/>
        <w:rPr>
          <w:rtl/>
        </w:rPr>
      </w:pPr>
    </w:p>
    <w:p w14:paraId="52FD7418" w14:textId="77777777" w:rsidR="004C6E69" w:rsidRDefault="004C6E69">
      <w:pPr>
        <w:spacing w:line="360" w:lineRule="auto"/>
        <w:jc w:val="center"/>
        <w:rPr>
          <w:rtl/>
        </w:rPr>
      </w:pPr>
    </w:p>
    <w:p w14:paraId="605BA637" w14:textId="77777777" w:rsidR="004C6E69" w:rsidRDefault="004C6E69">
      <w:pPr>
        <w:spacing w:line="360" w:lineRule="auto"/>
        <w:jc w:val="both"/>
        <w:rPr>
          <w:rtl/>
        </w:rPr>
      </w:pPr>
    </w:p>
    <w:p w14:paraId="37048298" w14:textId="77777777" w:rsidR="004C6E69" w:rsidRDefault="004C6E69">
      <w:pPr>
        <w:spacing w:line="360" w:lineRule="auto"/>
        <w:jc w:val="both"/>
        <w:rPr>
          <w:rtl/>
        </w:rPr>
      </w:pPr>
    </w:p>
    <w:p w14:paraId="4312C94D" w14:textId="77777777" w:rsidR="004C6E69" w:rsidRDefault="004C6E69">
      <w:pPr>
        <w:spacing w:line="360" w:lineRule="auto"/>
        <w:jc w:val="both"/>
        <w:rPr>
          <w:rtl/>
        </w:rPr>
      </w:pPr>
    </w:p>
    <w:p w14:paraId="42C15EC5" w14:textId="77777777" w:rsidR="004C6E69" w:rsidRDefault="004C6E69">
      <w:pPr>
        <w:spacing w:line="360" w:lineRule="auto"/>
        <w:jc w:val="both"/>
        <w:rPr>
          <w:rtl/>
        </w:rPr>
      </w:pPr>
    </w:p>
    <w:p w14:paraId="0F5D9691" w14:textId="77777777" w:rsidR="004C6E69" w:rsidRDefault="004C6E69">
      <w:pPr>
        <w:spacing w:line="360" w:lineRule="auto"/>
        <w:jc w:val="both"/>
        <w:rPr>
          <w:rtl/>
        </w:rPr>
      </w:pPr>
    </w:p>
    <w:p w14:paraId="1465FAD7" w14:textId="77777777" w:rsidR="004C6E69" w:rsidRDefault="004C6E69">
      <w:pPr>
        <w:spacing w:line="360" w:lineRule="auto"/>
        <w:jc w:val="both"/>
        <w:rPr>
          <w:rtl/>
        </w:rPr>
      </w:pPr>
    </w:p>
    <w:p w14:paraId="2754CC7E" w14:textId="77777777" w:rsidR="004C6E69" w:rsidRDefault="004C6E69">
      <w:pPr>
        <w:spacing w:line="360" w:lineRule="auto"/>
        <w:jc w:val="both"/>
        <w:rPr>
          <w:rtl/>
        </w:rPr>
      </w:pPr>
    </w:p>
    <w:p w14:paraId="7B35D510" w14:textId="77777777" w:rsidR="004C6E69" w:rsidRDefault="004C6E69">
      <w:pPr>
        <w:spacing w:line="360" w:lineRule="auto"/>
        <w:jc w:val="both"/>
        <w:rPr>
          <w:rtl/>
        </w:rPr>
      </w:pPr>
    </w:p>
    <w:p w14:paraId="5B3BB81A" w14:textId="77777777" w:rsidR="004C6E69" w:rsidRDefault="004C6E69">
      <w:pPr>
        <w:spacing w:line="360" w:lineRule="auto"/>
        <w:jc w:val="both"/>
        <w:rPr>
          <w:rtl/>
        </w:rPr>
      </w:pPr>
    </w:p>
    <w:p w14:paraId="1D12AFDD" w14:textId="77777777" w:rsidR="004C6E69" w:rsidRDefault="004C6E69">
      <w:pPr>
        <w:spacing w:line="360" w:lineRule="auto"/>
        <w:jc w:val="both"/>
        <w:rPr>
          <w:rtl/>
        </w:rPr>
      </w:pPr>
    </w:p>
    <w:p w14:paraId="70F172C5" w14:textId="77777777" w:rsidR="004C6E69" w:rsidRDefault="004C6E69">
      <w:pPr>
        <w:spacing w:line="360" w:lineRule="auto"/>
        <w:jc w:val="both"/>
        <w:rPr>
          <w:rtl/>
        </w:rPr>
      </w:pPr>
    </w:p>
    <w:p w14:paraId="79CCE653" w14:textId="77777777" w:rsidR="004C6E69" w:rsidRDefault="004C6E69">
      <w:pPr>
        <w:spacing w:line="360" w:lineRule="auto"/>
        <w:jc w:val="both"/>
        <w:rPr>
          <w:rtl/>
        </w:rPr>
      </w:pPr>
    </w:p>
    <w:p w14:paraId="44ACFA9C" w14:textId="77777777" w:rsidR="004C6E69" w:rsidRDefault="004C6E69">
      <w:pPr>
        <w:spacing w:line="360" w:lineRule="auto"/>
        <w:jc w:val="both"/>
        <w:rPr>
          <w:rtl/>
        </w:rPr>
      </w:pPr>
    </w:p>
    <w:p w14:paraId="3B170146" w14:textId="77777777" w:rsidR="004C6E69" w:rsidRDefault="00322FFF">
      <w:pPr>
        <w:spacing w:line="360" w:lineRule="auto"/>
        <w:jc w:val="both"/>
        <w:rPr>
          <w:rtl/>
        </w:rPr>
      </w:pPr>
      <w:r>
        <w:rPr>
          <w:rFonts w:hint="cs"/>
          <w:b/>
          <w:bCs/>
          <w:u w:val="single"/>
          <w:rtl/>
        </w:rPr>
        <w:t>הסנגור</w:t>
      </w:r>
      <w:r>
        <w:rPr>
          <w:rFonts w:hint="cs"/>
          <w:rtl/>
        </w:rPr>
        <w:t xml:space="preserve">: אנו נבקש עיכוב ביצוע לעניין הפסילה למשך 45 יום, אם יוחלט לא להגיש ערעור תבוצע הפקדה לאלתר. </w:t>
      </w:r>
    </w:p>
    <w:p w14:paraId="7C98A2A8" w14:textId="77777777" w:rsidR="004C6E69" w:rsidRDefault="004C6E69">
      <w:pPr>
        <w:spacing w:line="360" w:lineRule="auto"/>
        <w:jc w:val="both"/>
        <w:rPr>
          <w:rtl/>
        </w:rPr>
      </w:pPr>
    </w:p>
    <w:p w14:paraId="06A50B22" w14:textId="77777777" w:rsidR="004C6E69" w:rsidRDefault="00322FFF">
      <w:pPr>
        <w:spacing w:line="360" w:lineRule="auto"/>
        <w:jc w:val="both"/>
        <w:rPr>
          <w:rtl/>
        </w:rPr>
      </w:pPr>
      <w:r>
        <w:rPr>
          <w:rFonts w:hint="cs"/>
          <w:b/>
          <w:bCs/>
          <w:u w:val="single"/>
          <w:rtl/>
        </w:rPr>
        <w:t>התובע:</w:t>
      </w:r>
      <w:r>
        <w:rPr>
          <w:rFonts w:hint="cs"/>
          <w:rtl/>
        </w:rPr>
        <w:t xml:space="preserve"> אני מתנגד. אם בית המשפט קבע שיש לפסול אותו לא מן הנמנע שהוא יסכן עוברים ושבים, אני לא חושב שיש סיכוי לערעור, מדובר בשני תיקים. </w:t>
      </w:r>
    </w:p>
    <w:p w14:paraId="04A8D3D3" w14:textId="77777777" w:rsidR="004C6E69" w:rsidRDefault="004C6E69">
      <w:pPr>
        <w:spacing w:line="360" w:lineRule="auto"/>
        <w:jc w:val="both"/>
        <w:rPr>
          <w:rtl/>
        </w:rPr>
      </w:pPr>
    </w:p>
    <w:p w14:paraId="5BD2E92B" w14:textId="77777777" w:rsidR="004C6E69" w:rsidRDefault="00322FFF">
      <w:pPr>
        <w:spacing w:line="360" w:lineRule="auto"/>
        <w:jc w:val="both"/>
        <w:rPr>
          <w:sz w:val="6"/>
          <w:szCs w:val="6"/>
          <w:rtl/>
        </w:rPr>
      </w:pPr>
      <w:r>
        <w:rPr>
          <w:sz w:val="6"/>
          <w:szCs w:val="6"/>
          <w:rtl/>
        </w:rPr>
        <w:t>&lt;#5#&gt;</w:t>
      </w:r>
    </w:p>
    <w:p w14:paraId="4547F435" w14:textId="77777777" w:rsidR="004C6E69" w:rsidRDefault="00322FFF">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74706A12" w14:textId="77777777" w:rsidR="004C6E69" w:rsidRDefault="004C6E69">
      <w:pPr>
        <w:spacing w:line="360" w:lineRule="auto"/>
        <w:jc w:val="both"/>
        <w:rPr>
          <w:rtl/>
        </w:rPr>
      </w:pPr>
    </w:p>
    <w:p w14:paraId="17A2260F" w14:textId="77777777" w:rsidR="004C6E69" w:rsidRDefault="00322FFF">
      <w:pPr>
        <w:spacing w:line="360" w:lineRule="auto"/>
        <w:jc w:val="both"/>
        <w:rPr>
          <w:rtl/>
        </w:rPr>
      </w:pPr>
      <w:r>
        <w:rPr>
          <w:rFonts w:hint="cs"/>
          <w:rtl/>
        </w:rPr>
        <w:t xml:space="preserve">הפסיקה מאוד ברורה באשר לעיכוב ביצוע פסילה. </w:t>
      </w:r>
    </w:p>
    <w:p w14:paraId="429AC81E" w14:textId="77777777" w:rsidR="004C6E69" w:rsidRDefault="004C6E69">
      <w:pPr>
        <w:spacing w:line="360" w:lineRule="auto"/>
        <w:jc w:val="both"/>
        <w:rPr>
          <w:rtl/>
        </w:rPr>
      </w:pPr>
    </w:p>
    <w:p w14:paraId="46FC095B" w14:textId="77777777" w:rsidR="004C6E69" w:rsidRDefault="00322FFF">
      <w:pPr>
        <w:spacing w:line="360" w:lineRule="auto"/>
        <w:jc w:val="both"/>
        <w:rPr>
          <w:rtl/>
        </w:rPr>
      </w:pPr>
      <w:r>
        <w:rPr>
          <w:rFonts w:hint="cs"/>
          <w:rtl/>
        </w:rPr>
        <w:t>לפנים משורת הדין, ועל מנת לאפשר בחינה מחודשת של החלטת הפסילה, אני מורה על עיכוב ביצוע הפסילה עד ליום 12.12.13 שעה 12:00.</w:t>
      </w:r>
    </w:p>
    <w:p w14:paraId="4DFFB576" w14:textId="77777777" w:rsidR="004C6E69" w:rsidRDefault="004C6E69">
      <w:pPr>
        <w:spacing w:line="360" w:lineRule="auto"/>
        <w:jc w:val="both"/>
        <w:rPr>
          <w:rtl/>
        </w:rPr>
      </w:pPr>
    </w:p>
    <w:p w14:paraId="65E13BB1" w14:textId="77777777" w:rsidR="004C6E69" w:rsidRDefault="00322FFF">
      <w:pPr>
        <w:spacing w:line="360" w:lineRule="auto"/>
        <w:jc w:val="both"/>
        <w:rPr>
          <w:rtl/>
        </w:rPr>
      </w:pPr>
      <w:r>
        <w:rPr>
          <w:rFonts w:hint="cs"/>
          <w:rtl/>
        </w:rPr>
        <w:t>יודגש כי מרוץ הפסילה יימנה רק מרגע הפקדת רישיון הנהיגה יחד עם זאת חל איסור על הנאשם לנהוג ברכב מנועי החל מיום 12.12.13.</w:t>
      </w:r>
    </w:p>
    <w:p w14:paraId="0CBBEE9D" w14:textId="77777777" w:rsidR="004C6E69" w:rsidRDefault="004C6E69">
      <w:pPr>
        <w:spacing w:line="360" w:lineRule="auto"/>
        <w:jc w:val="both"/>
        <w:rPr>
          <w:rtl/>
        </w:rPr>
      </w:pPr>
    </w:p>
    <w:p w14:paraId="20BDB36F" w14:textId="77777777" w:rsidR="004C6E69" w:rsidRDefault="00322FFF">
      <w:pPr>
        <w:spacing w:line="360" w:lineRule="auto"/>
        <w:jc w:val="both"/>
        <w:rPr>
          <w:sz w:val="6"/>
          <w:szCs w:val="6"/>
          <w:rtl/>
        </w:rPr>
      </w:pPr>
      <w:r>
        <w:rPr>
          <w:sz w:val="6"/>
          <w:szCs w:val="6"/>
          <w:rtl/>
        </w:rPr>
        <w:t>&lt;#6#&gt;</w:t>
      </w:r>
    </w:p>
    <w:p w14:paraId="28997E38" w14:textId="77777777" w:rsidR="004C6E69" w:rsidRDefault="004C6E69">
      <w:pPr>
        <w:jc w:val="right"/>
        <w:rPr>
          <w:rtl/>
        </w:rPr>
      </w:pPr>
    </w:p>
    <w:p w14:paraId="238BFC78" w14:textId="77777777" w:rsidR="004C6E69" w:rsidRDefault="00322FFF">
      <w:pPr>
        <w:jc w:val="right"/>
        <w:rPr>
          <w:rtl/>
        </w:rPr>
      </w:pPr>
      <w:r>
        <w:rPr>
          <w:b/>
          <w:bCs/>
          <w:rtl/>
        </w:rPr>
        <w:t xml:space="preserve">ניתנה והודעה היום ט' כסלו תשע"ד, 12/11/2013 במעמד הנוכחים. </w:t>
      </w:r>
    </w:p>
    <w:p w14:paraId="4C613E11" w14:textId="77777777" w:rsidR="004C6E69" w:rsidRDefault="004C6E69">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4C6E69" w14:paraId="55FBFB10" w14:textId="77777777">
        <w:trPr>
          <w:trHeight w:val="364"/>
          <w:jc w:val="right"/>
        </w:trPr>
        <w:tc>
          <w:tcPr>
            <w:tcW w:w="3708" w:type="dxa"/>
          </w:tcPr>
          <w:p w14:paraId="4996EE0A" w14:textId="77777777" w:rsidR="004C6E69" w:rsidRDefault="004C6E69">
            <w:pPr>
              <w:jc w:val="center"/>
              <w:rPr>
                <w:rFonts w:ascii="Times New Roman" w:eastAsia="Times New Roman" w:hAnsi="Times New Roman" w:cs="Times New Roman"/>
              </w:rPr>
            </w:pPr>
          </w:p>
          <w:p w14:paraId="3E36C3A2" w14:textId="77777777" w:rsidR="004C6E69" w:rsidRDefault="004C6E69">
            <w:pPr>
              <w:jc w:val="center"/>
              <w:rPr>
                <w:rFonts w:ascii="Times New Roman" w:eastAsia="Times New Roman" w:hAnsi="Times New Roman" w:cs="Times New Roman"/>
                <w:rtl/>
              </w:rPr>
            </w:pPr>
          </w:p>
        </w:tc>
      </w:tr>
      <w:tr w:rsidR="004C6E69" w14:paraId="02F750EE" w14:textId="77777777">
        <w:trPr>
          <w:trHeight w:val="415"/>
          <w:jc w:val="right"/>
        </w:trPr>
        <w:tc>
          <w:tcPr>
            <w:tcW w:w="3708" w:type="dxa"/>
          </w:tcPr>
          <w:p w14:paraId="3EDB6D27" w14:textId="77777777" w:rsidR="004C6E69" w:rsidRDefault="00322FFF">
            <w:pPr>
              <w:jc w:val="center"/>
              <w:rPr>
                <w:rFonts w:ascii="Times New Roman" w:eastAsia="Times New Roman" w:hAnsi="Times New Roman"/>
                <w:b/>
                <w:bCs/>
                <w:rtl/>
              </w:rPr>
            </w:pPr>
            <w:r>
              <w:rPr>
                <w:rFonts w:ascii="Times New Roman" w:eastAsia="Times New Roman" w:hAnsi="Times New Roman" w:hint="cs"/>
                <w:b/>
                <w:bCs/>
                <w:rtl/>
              </w:rPr>
              <w:t>דורון פורת</w:t>
            </w:r>
            <w:r>
              <w:rPr>
                <w:rFonts w:ascii="Times New Roman" w:eastAsia="Times New Roman" w:hAnsi="Times New Roman" w:cs="Times New Roman" w:hint="cs"/>
                <w:rtl/>
              </w:rPr>
              <w:t>,</w:t>
            </w:r>
            <w:r>
              <w:rPr>
                <w:rFonts w:ascii="Times New Roman" w:eastAsia="Times New Roman" w:hAnsi="Times New Roman" w:hint="cs"/>
                <w:b/>
                <w:bCs/>
                <w:rtl/>
              </w:rPr>
              <w:t xml:space="preserve"> שופט </w:t>
            </w:r>
            <w:r>
              <w:rPr>
                <w:rFonts w:ascii="Times New Roman" w:eastAsia="Times New Roman" w:hAnsi="Times New Roman" w:cs="Times New Roman" w:hint="cs"/>
                <w:rtl/>
              </w:rPr>
              <w:br/>
            </w:r>
            <w:r>
              <w:rPr>
                <w:rFonts w:ascii="Times New Roman" w:eastAsia="Times New Roman" w:hAnsi="Times New Roman" w:hint="cs"/>
                <w:b/>
                <w:bCs/>
                <w:rtl/>
              </w:rPr>
              <w:t>סגן נשיא</w:t>
            </w:r>
          </w:p>
        </w:tc>
      </w:tr>
    </w:tbl>
    <w:p w14:paraId="64E8732E" w14:textId="77777777" w:rsidR="004C6E69" w:rsidRDefault="004C6E69">
      <w:pPr>
        <w:jc w:val="right"/>
        <w:rPr>
          <w:rtl/>
        </w:rPr>
      </w:pPr>
    </w:p>
    <w:p w14:paraId="449798CF" w14:textId="77777777" w:rsidR="004C6E69" w:rsidRPr="00322FFF" w:rsidRDefault="00322FFF">
      <w:pPr>
        <w:jc w:val="center"/>
        <w:rPr>
          <w:color w:val="FFFFFF"/>
          <w:sz w:val="2"/>
          <w:szCs w:val="2"/>
          <w:rtl/>
        </w:rPr>
      </w:pPr>
      <w:r w:rsidRPr="00322FFF">
        <w:rPr>
          <w:color w:val="FFFFFF"/>
          <w:sz w:val="2"/>
          <w:szCs w:val="2"/>
          <w:rtl/>
        </w:rPr>
        <w:t>5129371</w:t>
      </w:r>
    </w:p>
    <w:p w14:paraId="06CE19AA" w14:textId="77777777" w:rsidR="004C6E69" w:rsidRPr="00322FFF" w:rsidRDefault="00322FFF">
      <w:pPr>
        <w:spacing w:line="360" w:lineRule="auto"/>
        <w:jc w:val="center"/>
        <w:rPr>
          <w:color w:val="FFFFFF"/>
          <w:sz w:val="2"/>
          <w:szCs w:val="2"/>
          <w:rtl/>
        </w:rPr>
      </w:pPr>
      <w:r w:rsidRPr="00322FFF">
        <w:rPr>
          <w:color w:val="FFFFFF"/>
          <w:sz w:val="2"/>
          <w:szCs w:val="2"/>
          <w:rtl/>
        </w:rPr>
        <w:t>54678313</w:t>
      </w:r>
    </w:p>
    <w:p w14:paraId="2BBB47C8" w14:textId="77777777" w:rsidR="004C6E69" w:rsidRDefault="00322FFF">
      <w:pPr>
        <w:spacing w:line="360" w:lineRule="auto"/>
        <w:jc w:val="both"/>
        <w:rPr>
          <w:rtl/>
        </w:rPr>
      </w:pPr>
      <w:bookmarkStart w:id="8" w:name="_GoBack"/>
      <w:r>
        <w:rPr>
          <w:rtl/>
        </w:rPr>
        <w:t xml:space="preserve"> </w:t>
      </w:r>
      <w:bookmarkEnd w:id="8"/>
    </w:p>
    <w:p w14:paraId="4ABD7FE6" w14:textId="77777777" w:rsidR="004C6E69" w:rsidRDefault="004C6E69">
      <w:pPr>
        <w:spacing w:line="360" w:lineRule="auto"/>
        <w:jc w:val="center"/>
        <w:rPr>
          <w:rtl/>
        </w:rPr>
      </w:pPr>
    </w:p>
    <w:p w14:paraId="62E075E4" w14:textId="77777777" w:rsidR="004C6E69" w:rsidRDefault="00322FFF">
      <w:pPr>
        <w:spacing w:line="360" w:lineRule="auto"/>
        <w:jc w:val="both"/>
        <w:rPr>
          <w:rtl/>
        </w:rPr>
      </w:pPr>
      <w:r>
        <w:rPr>
          <w:rtl/>
        </w:rPr>
        <w:t xml:space="preserve"> </w:t>
      </w:r>
    </w:p>
    <w:p w14:paraId="581795C7" w14:textId="77777777" w:rsidR="004C6E69" w:rsidRDefault="00322FFF">
      <w:r>
        <w:rPr>
          <w:rtl/>
        </w:rPr>
        <w:t>הוקלד</w:t>
      </w:r>
      <w:r>
        <w:t xml:space="preserve"> </w:t>
      </w:r>
      <w:r>
        <w:rPr>
          <w:rtl/>
        </w:rPr>
        <w:t>על</w:t>
      </w:r>
      <w:r>
        <w:t xml:space="preserve"> </w:t>
      </w:r>
      <w:r>
        <w:rPr>
          <w:rtl/>
        </w:rPr>
        <w:t>ידי</w:t>
      </w:r>
      <w:r>
        <w:t xml:space="preserve"> </w:t>
      </w:r>
      <w:r>
        <w:rPr>
          <w:rtl/>
        </w:rPr>
        <w:t>מגי</w:t>
      </w:r>
      <w:r>
        <w:t xml:space="preserve"> </w:t>
      </w:r>
      <w:r>
        <w:rPr>
          <w:rtl/>
        </w:rPr>
        <w:t>חייט</w:t>
      </w:r>
    </w:p>
    <w:p w14:paraId="1BD9C6FE" w14:textId="77777777" w:rsidR="00322FFF" w:rsidRPr="00322FFF" w:rsidRDefault="00322FFF" w:rsidP="00322FFF">
      <w:pPr>
        <w:keepNext/>
        <w:rPr>
          <w:color w:val="000000"/>
          <w:sz w:val="22"/>
          <w:szCs w:val="22"/>
          <w:rtl/>
        </w:rPr>
      </w:pPr>
    </w:p>
    <w:p w14:paraId="0CB3ADA2" w14:textId="77777777" w:rsidR="00322FFF" w:rsidRPr="00322FFF" w:rsidRDefault="00322FFF" w:rsidP="00322FFF">
      <w:pPr>
        <w:keepNext/>
        <w:rPr>
          <w:color w:val="000000"/>
          <w:sz w:val="22"/>
          <w:szCs w:val="22"/>
          <w:rtl/>
        </w:rPr>
      </w:pPr>
      <w:r w:rsidRPr="00322FFF">
        <w:rPr>
          <w:color w:val="000000"/>
          <w:sz w:val="22"/>
          <w:szCs w:val="22"/>
          <w:rtl/>
        </w:rPr>
        <w:t>דורון פורת 54678313</w:t>
      </w:r>
    </w:p>
    <w:p w14:paraId="6418CB88" w14:textId="77777777" w:rsidR="00322FFF" w:rsidRDefault="00322FFF" w:rsidP="00322FFF">
      <w:r w:rsidRPr="00322FFF">
        <w:rPr>
          <w:color w:val="000000"/>
          <w:rtl/>
        </w:rPr>
        <w:t>נוסח מסמך זה כפוף לשינויי ניסוח ועריכה</w:t>
      </w:r>
    </w:p>
    <w:p w14:paraId="26451CA4" w14:textId="77777777" w:rsidR="00322FFF" w:rsidRDefault="00322FFF" w:rsidP="00322FFF">
      <w:pPr>
        <w:rPr>
          <w:rtl/>
        </w:rPr>
      </w:pPr>
    </w:p>
    <w:p w14:paraId="44687933" w14:textId="77777777" w:rsidR="00322FFF" w:rsidRDefault="00322FFF" w:rsidP="00322FFF">
      <w:pPr>
        <w:jc w:val="center"/>
        <w:rPr>
          <w:color w:val="0000FF"/>
          <w:u w:val="single"/>
        </w:rPr>
      </w:pPr>
      <w:r w:rsidRPr="0020465D">
        <w:rPr>
          <w:color w:val="000000"/>
          <w:rtl/>
        </w:rPr>
        <w:t>בעניין עריכה ושינויים במסמכי פסיקה, חקיקה ועוד באתר נבו – הקש כאן</w:t>
      </w:r>
    </w:p>
    <w:p w14:paraId="76FE6726" w14:textId="77777777" w:rsidR="004C6E69" w:rsidRPr="00322FFF" w:rsidRDefault="004C6E69" w:rsidP="00322FFF">
      <w:pPr>
        <w:jc w:val="center"/>
        <w:rPr>
          <w:color w:val="0000FF"/>
          <w:u w:val="single"/>
        </w:rPr>
      </w:pPr>
    </w:p>
    <w:sectPr w:rsidR="004C6E69" w:rsidRPr="00322FFF" w:rsidSect="00322FFF">
      <w:headerReference w:type="even" r:id="rId24"/>
      <w:headerReference w:type="default" r:id="rId25"/>
      <w:footerReference w:type="even" r:id="rId26"/>
      <w:footerReference w:type="default" r:id="rId27"/>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A92A9F" w14:textId="77777777" w:rsidR="00C3583A" w:rsidRPr="00BD4DB5" w:rsidRDefault="00C3583A">
      <w:pPr>
        <w:rPr>
          <w:rFonts w:cs="Arial"/>
          <w:szCs w:val="20"/>
        </w:rPr>
      </w:pPr>
      <w:r>
        <w:separator/>
      </w:r>
    </w:p>
  </w:endnote>
  <w:endnote w:type="continuationSeparator" w:id="0">
    <w:p w14:paraId="6B0511A6" w14:textId="77777777" w:rsidR="00C3583A" w:rsidRPr="00BD4DB5" w:rsidRDefault="00C3583A">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Times New Roman-Normal-1255">
    <w:altName w:val="Times New Roman"/>
    <w:panose1 w:val="00000000000000000000"/>
    <w:charset w:val="B1"/>
    <w:family w:val="roman"/>
    <w:notTrueType/>
    <w:pitch w:val="default"/>
    <w:sig w:usb0="00000801" w:usb1="00000000" w:usb2="00000000" w:usb3="00000000" w:csb0="0000002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777F3" w14:textId="77777777" w:rsidR="005E3D5D" w:rsidRDefault="005E3D5D" w:rsidP="00322FF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13</w:t>
    </w:r>
    <w:r>
      <w:rPr>
        <w:rFonts w:ascii="FrankRuehl" w:hAnsi="FrankRuehl" w:cs="FrankRuehl"/>
        <w:rtl/>
      </w:rPr>
      <w:fldChar w:fldCharType="end"/>
    </w:r>
  </w:p>
  <w:p w14:paraId="74A18781" w14:textId="77777777" w:rsidR="005E3D5D" w:rsidRPr="00322FFF" w:rsidRDefault="005E3D5D" w:rsidP="00322FFF">
    <w:pPr>
      <w:pStyle w:val="a4"/>
      <w:pBdr>
        <w:top w:val="single" w:sz="4" w:space="1" w:color="auto"/>
        <w:between w:val="single" w:sz="4" w:space="0" w:color="auto"/>
      </w:pBdr>
      <w:spacing w:after="60"/>
      <w:jc w:val="center"/>
      <w:rPr>
        <w:rFonts w:ascii="FrankRuehl" w:hAnsi="FrankRuehl" w:cs="FrankRuehl"/>
        <w:color w:val="000000"/>
      </w:rPr>
    </w:pPr>
    <w:r w:rsidRPr="00322FF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AAD555" w14:textId="77777777" w:rsidR="005E3D5D" w:rsidRDefault="005E3D5D" w:rsidP="00322FF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13B66">
      <w:rPr>
        <w:rFonts w:ascii="FrankRuehl" w:hAnsi="FrankRuehl" w:cs="FrankRuehl"/>
        <w:noProof/>
        <w:rtl/>
      </w:rPr>
      <w:t>1</w:t>
    </w:r>
    <w:r>
      <w:rPr>
        <w:rFonts w:ascii="FrankRuehl" w:hAnsi="FrankRuehl" w:cs="FrankRuehl"/>
        <w:rtl/>
      </w:rPr>
      <w:fldChar w:fldCharType="end"/>
    </w:r>
  </w:p>
  <w:p w14:paraId="67C6FDB6" w14:textId="77777777" w:rsidR="005E3D5D" w:rsidRPr="00322FFF" w:rsidRDefault="005E3D5D" w:rsidP="00322FFF">
    <w:pPr>
      <w:pStyle w:val="a4"/>
      <w:pBdr>
        <w:top w:val="single" w:sz="4" w:space="1" w:color="auto"/>
        <w:between w:val="single" w:sz="4" w:space="0" w:color="auto"/>
      </w:pBdr>
      <w:spacing w:after="60"/>
      <w:jc w:val="center"/>
      <w:rPr>
        <w:rFonts w:ascii="FrankRuehl" w:hAnsi="FrankRuehl" w:cs="FrankRuehl"/>
        <w:color w:val="000000"/>
      </w:rPr>
    </w:pPr>
    <w:r w:rsidRPr="00322FFF">
      <w:rPr>
        <w:rFonts w:ascii="FrankRuehl" w:hAnsi="FrankRuehl" w:cs="FrankRuehl"/>
        <w:color w:val="000000"/>
      </w:rPr>
      <w:pict w14:anchorId="2318E2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161B93" w14:textId="77777777" w:rsidR="00C3583A" w:rsidRPr="00BD4DB5" w:rsidRDefault="00C3583A">
      <w:pPr>
        <w:rPr>
          <w:rFonts w:cs="Arial"/>
          <w:szCs w:val="20"/>
        </w:rPr>
      </w:pPr>
      <w:r>
        <w:separator/>
      </w:r>
    </w:p>
  </w:footnote>
  <w:footnote w:type="continuationSeparator" w:id="0">
    <w:p w14:paraId="4718992F" w14:textId="77777777" w:rsidR="00C3583A" w:rsidRPr="00BD4DB5" w:rsidRDefault="00C3583A">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FE1031" w14:textId="77777777" w:rsidR="005E3D5D" w:rsidRPr="00322FFF" w:rsidRDefault="005E3D5D" w:rsidP="00322FFF">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(טב') 31271-11-12</w:t>
    </w:r>
    <w:r>
      <w:rPr>
        <w:color w:val="000000"/>
        <w:sz w:val="22"/>
        <w:szCs w:val="22"/>
        <w:rtl/>
      </w:rPr>
      <w:tab/>
      <w:t xml:space="preserve"> מדינת ישראל נ' חן אביטל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F59CD5" w14:textId="77777777" w:rsidR="005E3D5D" w:rsidRPr="00322FFF" w:rsidRDefault="005E3D5D" w:rsidP="00322FFF">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(טב') 31271-11-12</w:t>
    </w:r>
    <w:r>
      <w:rPr>
        <w:color w:val="000000"/>
        <w:sz w:val="22"/>
        <w:szCs w:val="22"/>
        <w:rtl/>
      </w:rPr>
      <w:tab/>
      <w:t xml:space="preserve"> מדינת ישראל נ' חן אביטל</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C6E69"/>
    <w:rsid w:val="00106625"/>
    <w:rsid w:val="00106ACB"/>
    <w:rsid w:val="0015465E"/>
    <w:rsid w:val="0020465D"/>
    <w:rsid w:val="00322FFF"/>
    <w:rsid w:val="003C5270"/>
    <w:rsid w:val="004C6E69"/>
    <w:rsid w:val="005723DF"/>
    <w:rsid w:val="005E3D5D"/>
    <w:rsid w:val="00725644"/>
    <w:rsid w:val="008621B6"/>
    <w:rsid w:val="008D5E23"/>
    <w:rsid w:val="00A4025C"/>
    <w:rsid w:val="00B13B66"/>
    <w:rsid w:val="00C358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57F52DD"/>
  <w15:chartTrackingRefBased/>
  <w15:docId w15:val="{1DBDCA5D-2660-4420-A3A4-4942BCD69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C6E69"/>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4C6E69"/>
    <w:pPr>
      <w:tabs>
        <w:tab w:val="center" w:pos="4153"/>
        <w:tab w:val="right" w:pos="8306"/>
      </w:tabs>
    </w:pPr>
  </w:style>
  <w:style w:type="paragraph" w:styleId="a4">
    <w:name w:val="footer"/>
    <w:basedOn w:val="a"/>
    <w:rsid w:val="004C6E69"/>
    <w:pPr>
      <w:tabs>
        <w:tab w:val="center" w:pos="4153"/>
        <w:tab w:val="right" w:pos="8306"/>
      </w:tabs>
    </w:pPr>
  </w:style>
  <w:style w:type="character" w:styleId="a5">
    <w:name w:val="page number"/>
    <w:basedOn w:val="a0"/>
    <w:rsid w:val="004C6E69"/>
  </w:style>
  <w:style w:type="paragraph" w:customStyle="1" w:styleId="12">
    <w:name w:val="רגיל + ‏12 נק'"/>
    <w:aliases w:val="מיושר לשני הצדדים,מרווח בין שורות:  שורה וחצי"/>
    <w:basedOn w:val="a"/>
    <w:rsid w:val="004C6E69"/>
    <w:rPr>
      <w:rFonts w:ascii="Times New Roman" w:eastAsia="Times New Roman" w:hAnsi="Times New Roman"/>
      <w:b/>
      <w:bCs/>
      <w:u w:val="single"/>
    </w:rPr>
  </w:style>
  <w:style w:type="paragraph" w:styleId="a6">
    <w:name w:val="Body Text"/>
    <w:basedOn w:val="a"/>
    <w:link w:val="a7"/>
    <w:rsid w:val="004C6E69"/>
    <w:pPr>
      <w:spacing w:after="120"/>
    </w:pPr>
    <w:rPr>
      <w:rFonts w:ascii="Times New Roman" w:eastAsia="Times New Roman" w:hAnsi="Times New Roman"/>
      <w:noProof/>
    </w:rPr>
  </w:style>
  <w:style w:type="character" w:customStyle="1" w:styleId="a7">
    <w:name w:val="גוף טקסט תו"/>
    <w:link w:val="a6"/>
    <w:rsid w:val="004C6E69"/>
    <w:rPr>
      <w:rFonts w:cs="David"/>
      <w:noProof/>
      <w:sz w:val="24"/>
      <w:szCs w:val="24"/>
      <w:lang w:val="en-US" w:eastAsia="en-US" w:bidi="he-IL"/>
    </w:rPr>
  </w:style>
  <w:style w:type="character" w:styleId="a8">
    <w:name w:val="line number"/>
    <w:basedOn w:val="a0"/>
    <w:rsid w:val="004C6E69"/>
  </w:style>
  <w:style w:type="character" w:styleId="Hyperlink">
    <w:name w:val="Hyperlink"/>
    <w:rsid w:val="00322F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c" TargetMode="External"/><Relationship Id="rId13" Type="http://schemas.openxmlformats.org/officeDocument/2006/relationships/hyperlink" Target="http://www.nevo.co.il/law/4216/7.c" TargetMode="External"/><Relationship Id="rId18" Type="http://schemas.openxmlformats.org/officeDocument/2006/relationships/hyperlink" Target="http://www.nevo.co.il/case/6006976" TargetMode="External"/><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www.nevo.co.il/case/5983908" TargetMode="External"/><Relationship Id="rId7" Type="http://schemas.openxmlformats.org/officeDocument/2006/relationships/hyperlink" Target="http://www.nevo.co.il/law/4216/7.a.&#1468;" TargetMode="External"/><Relationship Id="rId12" Type="http://schemas.openxmlformats.org/officeDocument/2006/relationships/hyperlink" Target="http://www.nevo.co.il/law/4216/7.a.&#1468;" TargetMode="External"/><Relationship Id="rId17" Type="http://schemas.openxmlformats.org/officeDocument/2006/relationships/hyperlink" Target="http://www.nevo.co.il/law/4216/37a" TargetMode="External"/><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law/70301/40ja" TargetMode="External"/><Relationship Id="rId20" Type="http://schemas.openxmlformats.org/officeDocument/2006/relationships/hyperlink" Target="http://www.nevo.co.il/case/5865771"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40ja" TargetMode="Externa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case/6133285" TargetMode="External"/><Relationship Id="rId23" Type="http://schemas.openxmlformats.org/officeDocument/2006/relationships/hyperlink" Target="http://www.nevo.co.il/law/4216" TargetMode="External"/><Relationship Id="rId28" Type="http://schemas.openxmlformats.org/officeDocument/2006/relationships/fontTable" Target="fontTable.xml"/><Relationship Id="rId10" Type="http://schemas.openxmlformats.org/officeDocument/2006/relationships/hyperlink" Target="http://www.nevo.co.il/law/70301" TargetMode="External"/><Relationship Id="rId19" Type="http://schemas.openxmlformats.org/officeDocument/2006/relationships/hyperlink" Target="http://www.nevo.co.il/law/4216" TargetMode="External"/><Relationship Id="rId4" Type="http://schemas.openxmlformats.org/officeDocument/2006/relationships/footnotes" Target="footnotes.xml"/><Relationship Id="rId9" Type="http://schemas.openxmlformats.org/officeDocument/2006/relationships/hyperlink" Target="http://www.nevo.co.il/law/4216/37a" TargetMode="External"/><Relationship Id="rId14" Type="http://schemas.openxmlformats.org/officeDocument/2006/relationships/hyperlink" Target="http://www.nevo.co.il/law/4216" TargetMode="External"/><Relationship Id="rId22" Type="http://schemas.openxmlformats.org/officeDocument/2006/relationships/hyperlink" Target="http://www.nevo.co.il/law/4216"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1368</Words>
  <Characters>6842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8194</CharactersWithSpaces>
  <SharedDoc>false</SharedDoc>
  <HLinks>
    <vt:vector size="108" baseType="variant">
      <vt:variant>
        <vt:i4>8257637</vt:i4>
      </vt:variant>
      <vt:variant>
        <vt:i4>51</vt:i4>
      </vt:variant>
      <vt:variant>
        <vt:i4>0</vt:i4>
      </vt:variant>
      <vt:variant>
        <vt:i4>5</vt:i4>
      </vt:variant>
      <vt:variant>
        <vt:lpwstr>http://www.nevo.co.il/law/4216</vt:lpwstr>
      </vt:variant>
      <vt:variant>
        <vt:lpwstr/>
      </vt:variant>
      <vt:variant>
        <vt:i4>8257637</vt:i4>
      </vt:variant>
      <vt:variant>
        <vt:i4>48</vt:i4>
      </vt:variant>
      <vt:variant>
        <vt:i4>0</vt:i4>
      </vt:variant>
      <vt:variant>
        <vt:i4>5</vt:i4>
      </vt:variant>
      <vt:variant>
        <vt:lpwstr>http://www.nevo.co.il/law/4216</vt:lpwstr>
      </vt:variant>
      <vt:variant>
        <vt:lpwstr/>
      </vt:variant>
      <vt:variant>
        <vt:i4>3932286</vt:i4>
      </vt:variant>
      <vt:variant>
        <vt:i4>45</vt:i4>
      </vt:variant>
      <vt:variant>
        <vt:i4>0</vt:i4>
      </vt:variant>
      <vt:variant>
        <vt:i4>5</vt:i4>
      </vt:variant>
      <vt:variant>
        <vt:lpwstr>http://www.nevo.co.il/case/5983908</vt:lpwstr>
      </vt:variant>
      <vt:variant>
        <vt:lpwstr/>
      </vt:variant>
      <vt:variant>
        <vt:i4>3473534</vt:i4>
      </vt:variant>
      <vt:variant>
        <vt:i4>42</vt:i4>
      </vt:variant>
      <vt:variant>
        <vt:i4>0</vt:i4>
      </vt:variant>
      <vt:variant>
        <vt:i4>5</vt:i4>
      </vt:variant>
      <vt:variant>
        <vt:lpwstr>http://www.nevo.co.il/case/5865771</vt:lpwstr>
      </vt:variant>
      <vt:variant>
        <vt:lpwstr/>
      </vt:variant>
      <vt:variant>
        <vt:i4>8257637</vt:i4>
      </vt:variant>
      <vt:variant>
        <vt:i4>39</vt:i4>
      </vt:variant>
      <vt:variant>
        <vt:i4>0</vt:i4>
      </vt:variant>
      <vt:variant>
        <vt:i4>5</vt:i4>
      </vt:variant>
      <vt:variant>
        <vt:lpwstr>http://www.nevo.co.il/law/4216</vt:lpwstr>
      </vt:variant>
      <vt:variant>
        <vt:lpwstr/>
      </vt:variant>
      <vt:variant>
        <vt:i4>3735669</vt:i4>
      </vt:variant>
      <vt:variant>
        <vt:i4>36</vt:i4>
      </vt:variant>
      <vt:variant>
        <vt:i4>0</vt:i4>
      </vt:variant>
      <vt:variant>
        <vt:i4>5</vt:i4>
      </vt:variant>
      <vt:variant>
        <vt:lpwstr>http://www.nevo.co.il/case/6006976</vt:lpwstr>
      </vt:variant>
      <vt:variant>
        <vt:lpwstr/>
      </vt:variant>
      <vt:variant>
        <vt:i4>2883709</vt:i4>
      </vt:variant>
      <vt:variant>
        <vt:i4>33</vt:i4>
      </vt:variant>
      <vt:variant>
        <vt:i4>0</vt:i4>
      </vt:variant>
      <vt:variant>
        <vt:i4>5</vt:i4>
      </vt:variant>
      <vt:variant>
        <vt:lpwstr>http://www.nevo.co.il/law/4216/37a</vt:lpwstr>
      </vt:variant>
      <vt:variant>
        <vt:lpwstr/>
      </vt:variant>
      <vt:variant>
        <vt:i4>262155</vt:i4>
      </vt:variant>
      <vt:variant>
        <vt:i4>30</vt:i4>
      </vt:variant>
      <vt:variant>
        <vt:i4>0</vt:i4>
      </vt:variant>
      <vt:variant>
        <vt:i4>5</vt:i4>
      </vt:variant>
      <vt:variant>
        <vt:lpwstr>http://www.nevo.co.il/law/70301/40ja</vt:lpwstr>
      </vt:variant>
      <vt:variant>
        <vt:lpwstr/>
      </vt:variant>
      <vt:variant>
        <vt:i4>3276926</vt:i4>
      </vt:variant>
      <vt:variant>
        <vt:i4>27</vt:i4>
      </vt:variant>
      <vt:variant>
        <vt:i4>0</vt:i4>
      </vt:variant>
      <vt:variant>
        <vt:i4>5</vt:i4>
      </vt:variant>
      <vt:variant>
        <vt:lpwstr>http://www.nevo.co.il/case/6133285</vt:lpwstr>
      </vt:variant>
      <vt:variant>
        <vt:lpwstr/>
      </vt:variant>
      <vt:variant>
        <vt:i4>8257637</vt:i4>
      </vt:variant>
      <vt:variant>
        <vt:i4>24</vt:i4>
      </vt:variant>
      <vt:variant>
        <vt:i4>0</vt:i4>
      </vt:variant>
      <vt:variant>
        <vt:i4>5</vt:i4>
      </vt:variant>
      <vt:variant>
        <vt:lpwstr>http://www.nevo.co.il/law/4216</vt:lpwstr>
      </vt:variant>
      <vt:variant>
        <vt:lpwstr/>
      </vt:variant>
      <vt:variant>
        <vt:i4>2752612</vt:i4>
      </vt:variant>
      <vt:variant>
        <vt:i4>21</vt:i4>
      </vt:variant>
      <vt:variant>
        <vt:i4>0</vt:i4>
      </vt:variant>
      <vt:variant>
        <vt:i4>5</vt:i4>
      </vt:variant>
      <vt:variant>
        <vt:lpwstr>http://www.nevo.co.il/law/4216/7.c</vt:lpwstr>
      </vt:variant>
      <vt:variant>
        <vt:lpwstr/>
      </vt:variant>
      <vt:variant>
        <vt:i4>93585482</vt:i4>
      </vt:variant>
      <vt:variant>
        <vt:i4>18</vt:i4>
      </vt:variant>
      <vt:variant>
        <vt:i4>0</vt:i4>
      </vt:variant>
      <vt:variant>
        <vt:i4>5</vt:i4>
      </vt:variant>
      <vt:variant>
        <vt:lpwstr>http://www.nevo.co.il/law/4216/7.a.ּ</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7995492</vt:i4>
      </vt:variant>
      <vt:variant>
        <vt:i4>12</vt:i4>
      </vt:variant>
      <vt:variant>
        <vt:i4>0</vt:i4>
      </vt:variant>
      <vt:variant>
        <vt:i4>5</vt:i4>
      </vt:variant>
      <vt:variant>
        <vt:lpwstr>http://www.nevo.co.il/law/70301</vt:lpwstr>
      </vt:variant>
      <vt:variant>
        <vt:lpwstr/>
      </vt:variant>
      <vt:variant>
        <vt:i4>2883709</vt:i4>
      </vt:variant>
      <vt:variant>
        <vt:i4>9</vt:i4>
      </vt:variant>
      <vt:variant>
        <vt:i4>0</vt:i4>
      </vt:variant>
      <vt:variant>
        <vt:i4>5</vt:i4>
      </vt:variant>
      <vt:variant>
        <vt:lpwstr>http://www.nevo.co.il/law/4216/37a</vt:lpwstr>
      </vt:variant>
      <vt:variant>
        <vt:lpwstr/>
      </vt:variant>
      <vt:variant>
        <vt:i4>2752612</vt:i4>
      </vt:variant>
      <vt:variant>
        <vt:i4>6</vt:i4>
      </vt:variant>
      <vt:variant>
        <vt:i4>0</vt:i4>
      </vt:variant>
      <vt:variant>
        <vt:i4>5</vt:i4>
      </vt:variant>
      <vt:variant>
        <vt:lpwstr>http://www.nevo.co.il/law/4216/7.c</vt:lpwstr>
      </vt:variant>
      <vt:variant>
        <vt:lpwstr/>
      </vt:variant>
      <vt:variant>
        <vt:i4>93585482</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2025-04-22T21:51:00Z</dcterms:created>
  <dcterms:modified xsi:type="dcterms:W3CDTF">2025-04-22T21:51:00Z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31271</vt:lpwstr>
  </property>
  <property fmtid="{D5CDD505-2E9C-101B-9397-08002B2CF9AE}" pid="6" name="NEWPARTB">
    <vt:lpwstr>11</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חן אביטל</vt:lpwstr>
  </property>
  <property fmtid="{D5CDD505-2E9C-101B-9397-08002B2CF9AE}" pid="10" name="LAWYER">
    <vt:lpwstr>פאהום;שלומי גולן</vt:lpwstr>
  </property>
  <property fmtid="{D5CDD505-2E9C-101B-9397-08002B2CF9AE}" pid="11" name="JUDGE">
    <vt:lpwstr>דורון פורת</vt:lpwstr>
  </property>
  <property fmtid="{D5CDD505-2E9C-101B-9397-08002B2CF9AE}" pid="12" name="CITY">
    <vt:lpwstr>טב'</vt:lpwstr>
  </property>
  <property fmtid="{D5CDD505-2E9C-101B-9397-08002B2CF9AE}" pid="13" name="DATE">
    <vt:lpwstr>20131112</vt:lpwstr>
  </property>
  <property fmtid="{D5CDD505-2E9C-101B-9397-08002B2CF9AE}" pid="14" name="TYPE_N_DATE">
    <vt:lpwstr>38020131112</vt:lpwstr>
  </property>
  <property fmtid="{D5CDD505-2E9C-101B-9397-08002B2CF9AE}" pid="15" name="WORDNUMPAGES">
    <vt:lpwstr>6</vt:lpwstr>
  </property>
  <property fmtid="{D5CDD505-2E9C-101B-9397-08002B2CF9AE}" pid="16" name="TYPE_ABS_DATE">
    <vt:lpwstr>380020131112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6133285;6006976;5865771;5983908</vt:lpwstr>
  </property>
  <property fmtid="{D5CDD505-2E9C-101B-9397-08002B2CF9AE}" pid="36" name="LAWLISTTMP1">
    <vt:lpwstr>4216/007.a.ּ;007.c;037a</vt:lpwstr>
  </property>
  <property fmtid="{D5CDD505-2E9C-101B-9397-08002B2CF9AE}" pid="37" name="LAWLISTTMP2">
    <vt:lpwstr>70301/40ja</vt:lpwstr>
  </property>
</Properties>
</file>