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3E7344" w:rsidRPr="00F02D01" w14:paraId="17D29C77" w14:textId="77777777">
        <w:trPr>
          <w:trHeight w:hRule="exact" w:val="418"/>
          <w:jc w:val="center"/>
        </w:trPr>
        <w:tc>
          <w:tcPr>
            <w:tcW w:w="8720" w:type="dxa"/>
            <w:gridSpan w:val="3"/>
          </w:tcPr>
          <w:p w14:paraId="5358FC44" w14:textId="77777777" w:rsidR="003E7344" w:rsidRPr="00F02D01" w:rsidRDefault="00F02D01">
            <w:pPr>
              <w:pStyle w:val="a3"/>
              <w:tabs>
                <w:tab w:val="clear" w:pos="8306"/>
              </w:tabs>
              <w:jc w:val="center"/>
              <w:rPr>
                <w:rFonts w:ascii="Tahoma" w:hAnsi="Tahoma" w:cs="Tahoma"/>
                <w:b/>
                <w:bCs/>
                <w:color w:val="000080"/>
                <w:sz w:val="20"/>
                <w:szCs w:val="20"/>
                <w:rtl/>
              </w:rPr>
            </w:pPr>
            <w:r w:rsidRPr="00F02D01">
              <w:rPr>
                <w:rFonts w:ascii="Tahoma" w:hAnsi="Tahoma" w:cs="Tahoma"/>
                <w:b/>
                <w:bCs/>
                <w:color w:val="000080"/>
                <w:sz w:val="20"/>
                <w:szCs w:val="20"/>
                <w:rtl/>
              </w:rPr>
              <w:t>בית משפט השלום בחדרה</w:t>
            </w:r>
          </w:p>
        </w:tc>
      </w:tr>
      <w:tr w:rsidR="003E7344" w:rsidRPr="00F02D01" w14:paraId="06E80D73" w14:textId="77777777">
        <w:trPr>
          <w:trHeight w:val="337"/>
          <w:jc w:val="center"/>
        </w:trPr>
        <w:tc>
          <w:tcPr>
            <w:tcW w:w="3973" w:type="dxa"/>
          </w:tcPr>
          <w:p w14:paraId="05C939F4" w14:textId="77777777" w:rsidR="003E7344" w:rsidRPr="00F02D01" w:rsidRDefault="00F02D01">
            <w:pPr>
              <w:rPr>
                <w:b/>
                <w:bCs/>
                <w:sz w:val="26"/>
                <w:szCs w:val="26"/>
                <w:rtl/>
              </w:rPr>
            </w:pPr>
            <w:r w:rsidRPr="00F02D01">
              <w:rPr>
                <w:b/>
                <w:bCs/>
                <w:sz w:val="26"/>
                <w:szCs w:val="26"/>
                <w:rtl/>
              </w:rPr>
              <w:t>ת"פ</w:t>
            </w:r>
            <w:r w:rsidRPr="00F02D01">
              <w:rPr>
                <w:rFonts w:hint="cs"/>
                <w:b/>
                <w:bCs/>
                <w:sz w:val="26"/>
                <w:szCs w:val="26"/>
                <w:rtl/>
              </w:rPr>
              <w:t xml:space="preserve"> </w:t>
            </w:r>
            <w:r w:rsidRPr="00F02D01">
              <w:rPr>
                <w:b/>
                <w:bCs/>
                <w:sz w:val="26"/>
                <w:szCs w:val="26"/>
                <w:rtl/>
              </w:rPr>
              <w:t>3220-11-12</w:t>
            </w:r>
            <w:r w:rsidRPr="00F02D01">
              <w:rPr>
                <w:rFonts w:hint="cs"/>
                <w:b/>
                <w:bCs/>
                <w:sz w:val="26"/>
                <w:szCs w:val="26"/>
                <w:rtl/>
              </w:rPr>
              <w:t xml:space="preserve"> </w:t>
            </w:r>
            <w:r w:rsidRPr="00F02D01">
              <w:rPr>
                <w:b/>
                <w:bCs/>
                <w:sz w:val="26"/>
                <w:szCs w:val="26"/>
                <w:rtl/>
              </w:rPr>
              <w:t>מדינת ישראל נ' כסאב(עציר)</w:t>
            </w:r>
          </w:p>
          <w:p w14:paraId="13C10C60" w14:textId="77777777" w:rsidR="003E7344" w:rsidRPr="00F02D01" w:rsidRDefault="003E7344">
            <w:pPr>
              <w:rPr>
                <w:b/>
                <w:bCs/>
                <w:sz w:val="26"/>
                <w:szCs w:val="26"/>
                <w:rtl/>
              </w:rPr>
            </w:pPr>
          </w:p>
        </w:tc>
        <w:tc>
          <w:tcPr>
            <w:tcW w:w="1068" w:type="dxa"/>
          </w:tcPr>
          <w:p w14:paraId="70048455" w14:textId="77777777" w:rsidR="003E7344" w:rsidRPr="00F02D01" w:rsidRDefault="003E7344">
            <w:pPr>
              <w:pStyle w:val="a3"/>
              <w:jc w:val="right"/>
              <w:rPr>
                <w:b/>
                <w:bCs/>
                <w:sz w:val="26"/>
                <w:szCs w:val="26"/>
                <w:rtl/>
              </w:rPr>
            </w:pPr>
          </w:p>
        </w:tc>
        <w:tc>
          <w:tcPr>
            <w:tcW w:w="3679" w:type="dxa"/>
          </w:tcPr>
          <w:p w14:paraId="78559953" w14:textId="77777777" w:rsidR="003E7344" w:rsidRPr="00F02D01" w:rsidRDefault="00F02D01">
            <w:pPr>
              <w:pStyle w:val="a3"/>
              <w:tabs>
                <w:tab w:val="clear" w:pos="4153"/>
              </w:tabs>
              <w:jc w:val="right"/>
              <w:rPr>
                <w:b/>
                <w:bCs/>
                <w:sz w:val="26"/>
                <w:szCs w:val="26"/>
                <w:rtl/>
              </w:rPr>
            </w:pPr>
            <w:r w:rsidRPr="00F02D01">
              <w:rPr>
                <w:b/>
                <w:bCs/>
                <w:sz w:val="26"/>
                <w:szCs w:val="26"/>
                <w:rtl/>
              </w:rPr>
              <w:t>05 מרץ 2013</w:t>
            </w:r>
          </w:p>
        </w:tc>
      </w:tr>
    </w:tbl>
    <w:p w14:paraId="0F58B7D7" w14:textId="77777777" w:rsidR="003E7344" w:rsidRPr="00F02D01" w:rsidRDefault="003E7344">
      <w:pPr>
        <w:pStyle w:val="a3"/>
        <w:jc w:val="center"/>
        <w:rPr>
          <w:rFonts w:ascii="Tahoma" w:hAnsi="Tahoma" w:cs="Tahoma"/>
          <w:b/>
          <w:bCs/>
          <w:color w:val="000080"/>
          <w:sz w:val="20"/>
          <w:szCs w:val="20"/>
          <w:rtl/>
        </w:rPr>
      </w:pPr>
    </w:p>
    <w:p w14:paraId="59917C62" w14:textId="77777777" w:rsidR="003E7344" w:rsidRPr="00F02D01" w:rsidRDefault="003E7344">
      <w:pPr>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3E7344" w:rsidRPr="00F02D01" w14:paraId="5E43D1B8" w14:textId="77777777">
        <w:trPr>
          <w:trHeight w:val="337"/>
          <w:jc w:val="center"/>
        </w:trPr>
        <w:tc>
          <w:tcPr>
            <w:tcW w:w="5856" w:type="dxa"/>
          </w:tcPr>
          <w:p w14:paraId="3D5DAE2B" w14:textId="77777777" w:rsidR="003E7344" w:rsidRPr="00F02D01" w:rsidRDefault="00F02D01">
            <w:pPr>
              <w:spacing w:line="360" w:lineRule="auto"/>
              <w:jc w:val="both"/>
              <w:rPr>
                <w:b/>
                <w:bCs/>
                <w:sz w:val="26"/>
                <w:szCs w:val="26"/>
                <w:rtl/>
              </w:rPr>
            </w:pPr>
            <w:r w:rsidRPr="00F02D01">
              <w:rPr>
                <w:rFonts w:hint="cs"/>
                <w:b/>
                <w:bCs/>
                <w:sz w:val="26"/>
                <w:szCs w:val="26"/>
                <w:rtl/>
              </w:rPr>
              <w:t>בפני כב' סגן הנשיא, השופט אביהו גופמן</w:t>
            </w:r>
          </w:p>
        </w:tc>
        <w:tc>
          <w:tcPr>
            <w:tcW w:w="236" w:type="dxa"/>
          </w:tcPr>
          <w:p w14:paraId="4DEF770B" w14:textId="77777777" w:rsidR="003E7344" w:rsidRPr="00F02D01" w:rsidRDefault="003E7344">
            <w:pPr>
              <w:pStyle w:val="a3"/>
              <w:jc w:val="both"/>
              <w:rPr>
                <w:b/>
                <w:bCs/>
                <w:sz w:val="26"/>
                <w:szCs w:val="26"/>
                <w:rtl/>
              </w:rPr>
            </w:pPr>
          </w:p>
        </w:tc>
        <w:tc>
          <w:tcPr>
            <w:tcW w:w="2628" w:type="dxa"/>
          </w:tcPr>
          <w:p w14:paraId="76B6CF83" w14:textId="77777777" w:rsidR="003E7344" w:rsidRPr="00F02D01" w:rsidRDefault="00F02D01">
            <w:pPr>
              <w:pStyle w:val="a3"/>
              <w:jc w:val="both"/>
              <w:rPr>
                <w:b/>
                <w:bCs/>
                <w:sz w:val="26"/>
                <w:szCs w:val="26"/>
                <w:rtl/>
              </w:rPr>
            </w:pPr>
            <w:r w:rsidRPr="00F02D01">
              <w:rPr>
                <w:rFonts w:hint="cs"/>
                <w:rtl/>
              </w:rPr>
              <w:t>3253-11-12</w:t>
            </w:r>
          </w:p>
        </w:tc>
      </w:tr>
    </w:tbl>
    <w:p w14:paraId="6AD166DE" w14:textId="77777777" w:rsidR="003E7344" w:rsidRPr="00F02D01" w:rsidRDefault="003E7344">
      <w:pPr>
        <w:spacing w:line="360" w:lineRule="auto"/>
        <w:jc w:val="both"/>
        <w:rPr>
          <w:rFonts w:ascii="Arial" w:hAnsi="Arial"/>
          <w:rtl/>
        </w:rPr>
      </w:pPr>
      <w:bookmarkStart w:id="0" w:name="LastJudge"/>
      <w:bookmarkEnd w:id="0"/>
    </w:p>
    <w:p w14:paraId="7E64497B" w14:textId="77777777" w:rsidR="003E7344" w:rsidRPr="00F02D01" w:rsidRDefault="003E7344">
      <w:pPr>
        <w:spacing w:line="360" w:lineRule="auto"/>
        <w:jc w:val="both"/>
        <w:rPr>
          <w:rtl/>
        </w:rPr>
      </w:pPr>
    </w:p>
    <w:tbl>
      <w:tblPr>
        <w:bidiVisual/>
        <w:tblW w:w="8802" w:type="dxa"/>
        <w:tblInd w:w="-28" w:type="dxa"/>
        <w:tblLayout w:type="fixed"/>
        <w:tblLook w:val="01E0" w:firstRow="1" w:lastRow="1" w:firstColumn="1" w:lastColumn="1" w:noHBand="0" w:noVBand="0"/>
      </w:tblPr>
      <w:tblGrid>
        <w:gridCol w:w="3240"/>
        <w:gridCol w:w="5562"/>
      </w:tblGrid>
      <w:tr w:rsidR="003E7344" w:rsidRPr="00F02D01" w14:paraId="70D7B429" w14:textId="77777777">
        <w:tc>
          <w:tcPr>
            <w:tcW w:w="3240" w:type="dxa"/>
          </w:tcPr>
          <w:p w14:paraId="6863F72E" w14:textId="77777777" w:rsidR="003E7344" w:rsidRPr="00F02D01" w:rsidRDefault="00F02D01">
            <w:pPr>
              <w:ind w:left="26"/>
              <w:rPr>
                <w:rFonts w:ascii="Times New Roman" w:eastAsia="Times New Roman" w:hAnsi="Times New Roman"/>
                <w:b/>
                <w:bCs/>
                <w:sz w:val="26"/>
                <w:szCs w:val="26"/>
                <w:rtl/>
              </w:rPr>
            </w:pPr>
            <w:bookmarkStart w:id="1" w:name="FirstAppellant"/>
            <w:r w:rsidRPr="00F02D01">
              <w:rPr>
                <w:rFonts w:ascii="Times New Roman" w:eastAsia="Times New Roman" w:hAnsi="Times New Roman" w:hint="cs"/>
                <w:b/>
                <w:bCs/>
                <w:sz w:val="26"/>
                <w:szCs w:val="26"/>
                <w:rtl/>
              </w:rPr>
              <w:t>ה</w:t>
            </w:r>
            <w:r w:rsidRPr="00F02D01">
              <w:rPr>
                <w:rFonts w:ascii="Times New Roman" w:eastAsia="Times New Roman" w:hAnsi="Times New Roman" w:hint="cs"/>
                <w:rtl/>
              </w:rPr>
              <w:t>מאשימה</w:t>
            </w:r>
          </w:p>
        </w:tc>
        <w:tc>
          <w:tcPr>
            <w:tcW w:w="5562" w:type="dxa"/>
          </w:tcPr>
          <w:p w14:paraId="5E0E9785" w14:textId="77777777" w:rsidR="003E7344" w:rsidRPr="00F02D01" w:rsidRDefault="00F02D01">
            <w:pPr>
              <w:rPr>
                <w:rFonts w:ascii="Times New Roman" w:eastAsia="Times New Roman" w:hAnsi="Times New Roman"/>
                <w:b/>
                <w:bCs/>
                <w:sz w:val="26"/>
                <w:szCs w:val="26"/>
                <w:rtl/>
              </w:rPr>
            </w:pPr>
            <w:r w:rsidRPr="00F02D01">
              <w:rPr>
                <w:rFonts w:ascii="Times New Roman" w:eastAsia="Times New Roman" w:hAnsi="Times New Roman" w:hint="cs"/>
                <w:b/>
                <w:bCs/>
                <w:sz w:val="26"/>
                <w:szCs w:val="26"/>
                <w:rtl/>
              </w:rPr>
              <w:t xml:space="preserve"> </w:t>
            </w:r>
            <w:r w:rsidRPr="00F02D01">
              <w:rPr>
                <w:rFonts w:ascii="Times New Roman" w:eastAsia="Times New Roman" w:hAnsi="Times New Roman" w:hint="cs"/>
                <w:rtl/>
              </w:rPr>
              <w:t>מדינת ישראל</w:t>
            </w:r>
          </w:p>
        </w:tc>
      </w:tr>
      <w:bookmarkEnd w:id="1"/>
      <w:tr w:rsidR="003E7344" w:rsidRPr="00F02D01" w14:paraId="0AEAFD03" w14:textId="77777777">
        <w:tc>
          <w:tcPr>
            <w:tcW w:w="8802" w:type="dxa"/>
            <w:gridSpan w:val="2"/>
          </w:tcPr>
          <w:p w14:paraId="1E2789D9" w14:textId="77777777" w:rsidR="003E7344" w:rsidRPr="00F02D01" w:rsidRDefault="003E7344">
            <w:pPr>
              <w:jc w:val="both"/>
              <w:rPr>
                <w:rFonts w:ascii="Arial" w:eastAsia="Times New Roman" w:hAnsi="Arial"/>
                <w:b/>
                <w:bCs/>
                <w:sz w:val="26"/>
                <w:szCs w:val="26"/>
                <w:rtl/>
              </w:rPr>
            </w:pPr>
          </w:p>
          <w:p w14:paraId="6DE01488" w14:textId="77777777" w:rsidR="003E7344" w:rsidRPr="00F02D01" w:rsidRDefault="00F02D01">
            <w:pPr>
              <w:jc w:val="center"/>
              <w:rPr>
                <w:rFonts w:ascii="Arial" w:eastAsia="Times New Roman" w:hAnsi="Arial"/>
                <w:b/>
                <w:bCs/>
                <w:sz w:val="26"/>
                <w:szCs w:val="26"/>
                <w:rtl/>
              </w:rPr>
            </w:pPr>
            <w:r w:rsidRPr="00F02D01">
              <w:rPr>
                <w:rFonts w:ascii="Arial" w:eastAsia="Times New Roman" w:hAnsi="Arial"/>
                <w:b/>
                <w:bCs/>
                <w:sz w:val="26"/>
                <w:szCs w:val="26"/>
                <w:rtl/>
              </w:rPr>
              <w:t>נגד</w:t>
            </w:r>
          </w:p>
          <w:p w14:paraId="4880A948" w14:textId="77777777" w:rsidR="003E7344" w:rsidRPr="00F02D01" w:rsidRDefault="003E7344">
            <w:pPr>
              <w:jc w:val="center"/>
              <w:rPr>
                <w:rFonts w:ascii="Arial" w:eastAsia="Times New Roman" w:hAnsi="Arial"/>
                <w:b/>
                <w:bCs/>
                <w:sz w:val="26"/>
                <w:szCs w:val="26"/>
              </w:rPr>
            </w:pPr>
          </w:p>
        </w:tc>
      </w:tr>
      <w:tr w:rsidR="003E7344" w:rsidRPr="00F02D01" w14:paraId="7A468036" w14:textId="77777777">
        <w:tc>
          <w:tcPr>
            <w:tcW w:w="3240" w:type="dxa"/>
          </w:tcPr>
          <w:p w14:paraId="73F904FF" w14:textId="77777777" w:rsidR="003E7344" w:rsidRPr="00F02D01" w:rsidRDefault="00F02D01">
            <w:pPr>
              <w:ind w:left="26"/>
              <w:rPr>
                <w:rFonts w:ascii="Times New Roman" w:eastAsia="Times New Roman" w:hAnsi="Times New Roman"/>
                <w:b/>
                <w:bCs/>
                <w:sz w:val="26"/>
                <w:szCs w:val="26"/>
                <w:rtl/>
              </w:rPr>
            </w:pPr>
            <w:r w:rsidRPr="00F02D01">
              <w:rPr>
                <w:rFonts w:ascii="Times New Roman" w:eastAsia="Times New Roman" w:hAnsi="Times New Roman" w:hint="cs"/>
                <w:b/>
                <w:bCs/>
                <w:sz w:val="26"/>
                <w:szCs w:val="26"/>
                <w:rtl/>
              </w:rPr>
              <w:t>ה</w:t>
            </w:r>
            <w:r w:rsidRPr="00F02D01">
              <w:rPr>
                <w:rFonts w:ascii="Times New Roman" w:eastAsia="Times New Roman" w:hAnsi="Times New Roman" w:hint="cs"/>
                <w:rtl/>
              </w:rPr>
              <w:t>נאשם</w:t>
            </w:r>
          </w:p>
        </w:tc>
        <w:tc>
          <w:tcPr>
            <w:tcW w:w="5562" w:type="dxa"/>
          </w:tcPr>
          <w:p w14:paraId="3341B195" w14:textId="77777777" w:rsidR="003E7344" w:rsidRPr="00F02D01" w:rsidRDefault="00F02D01">
            <w:pPr>
              <w:rPr>
                <w:rFonts w:ascii="Times New Roman" w:eastAsia="Times New Roman" w:hAnsi="Times New Roman"/>
                <w:b/>
                <w:bCs/>
                <w:sz w:val="26"/>
                <w:szCs w:val="26"/>
                <w:rtl/>
              </w:rPr>
            </w:pPr>
            <w:r w:rsidRPr="00F02D01">
              <w:rPr>
                <w:rFonts w:ascii="Times New Roman" w:eastAsia="Times New Roman" w:hAnsi="Times New Roman" w:hint="cs"/>
                <w:b/>
                <w:bCs/>
                <w:sz w:val="26"/>
                <w:szCs w:val="26"/>
                <w:rtl/>
              </w:rPr>
              <w:t xml:space="preserve"> </w:t>
            </w:r>
            <w:r w:rsidRPr="00F02D01">
              <w:rPr>
                <w:rFonts w:ascii="Times New Roman" w:eastAsia="Times New Roman" w:hAnsi="Times New Roman" w:hint="cs"/>
                <w:rtl/>
              </w:rPr>
              <w:t>ראגי כסאב (עציר)</w:t>
            </w:r>
          </w:p>
        </w:tc>
      </w:tr>
    </w:tbl>
    <w:p w14:paraId="7DB184B6" w14:textId="77777777" w:rsidR="003E7344" w:rsidRPr="00F02D01" w:rsidRDefault="003E7344">
      <w:pPr>
        <w:spacing w:line="360" w:lineRule="auto"/>
        <w:jc w:val="both"/>
        <w:rPr>
          <w:rtl/>
        </w:rPr>
      </w:pPr>
    </w:p>
    <w:p w14:paraId="1E3D25F1" w14:textId="77777777" w:rsidR="003E7344" w:rsidRPr="00F02D01" w:rsidRDefault="00F02D01">
      <w:pPr>
        <w:spacing w:line="360" w:lineRule="auto"/>
        <w:jc w:val="both"/>
        <w:rPr>
          <w:sz w:val="6"/>
          <w:szCs w:val="6"/>
          <w:rtl/>
        </w:rPr>
      </w:pPr>
      <w:r w:rsidRPr="00F02D01">
        <w:rPr>
          <w:sz w:val="6"/>
          <w:szCs w:val="6"/>
          <w:rtl/>
        </w:rPr>
        <w:t>&lt;#2#&gt;</w:t>
      </w:r>
    </w:p>
    <w:p w14:paraId="2AE550B7" w14:textId="77777777" w:rsidR="003E7344" w:rsidRPr="00F02D01" w:rsidRDefault="00F02D01">
      <w:pPr>
        <w:pStyle w:val="12"/>
        <w:rPr>
          <w:u w:val="none"/>
          <w:rtl/>
        </w:rPr>
      </w:pPr>
      <w:r w:rsidRPr="00F02D01">
        <w:rPr>
          <w:rFonts w:hint="cs"/>
          <w:u w:val="none"/>
          <w:rtl/>
        </w:rPr>
        <w:t>נוכחים:</w:t>
      </w:r>
    </w:p>
    <w:p w14:paraId="3A563EDE" w14:textId="77777777" w:rsidR="003E7344" w:rsidRPr="00F02D01" w:rsidRDefault="00F02D01">
      <w:pPr>
        <w:pStyle w:val="12"/>
        <w:rPr>
          <w:b w:val="0"/>
          <w:bCs w:val="0"/>
          <w:u w:val="none"/>
          <w:rtl/>
        </w:rPr>
      </w:pPr>
      <w:bookmarkStart w:id="2" w:name="FirstLawyer"/>
      <w:r w:rsidRPr="00F02D01">
        <w:rPr>
          <w:rFonts w:hint="cs"/>
          <w:b w:val="0"/>
          <w:bCs w:val="0"/>
          <w:u w:val="none"/>
          <w:rtl/>
        </w:rPr>
        <w:t>ב"כ</w:t>
      </w:r>
      <w:bookmarkEnd w:id="2"/>
      <w:r w:rsidRPr="00F02D01">
        <w:rPr>
          <w:rFonts w:hint="cs"/>
          <w:b w:val="0"/>
          <w:bCs w:val="0"/>
          <w:u w:val="none"/>
          <w:rtl/>
        </w:rPr>
        <w:t xml:space="preserve"> המאשימה: עו"ד גלית  טגרט</w:t>
      </w:r>
    </w:p>
    <w:p w14:paraId="19B6A1F1" w14:textId="77777777" w:rsidR="003E7344" w:rsidRPr="00F02D01" w:rsidRDefault="00F02D01">
      <w:pPr>
        <w:pStyle w:val="12"/>
        <w:rPr>
          <w:b w:val="0"/>
          <w:bCs w:val="0"/>
          <w:u w:val="none"/>
          <w:rtl/>
        </w:rPr>
      </w:pPr>
      <w:r w:rsidRPr="00F02D01">
        <w:rPr>
          <w:rFonts w:hint="cs"/>
          <w:b w:val="0"/>
          <w:bCs w:val="0"/>
          <w:u w:val="none"/>
          <w:rtl/>
        </w:rPr>
        <w:t xml:space="preserve">הנאשם: בעצמו </w:t>
      </w:r>
      <w:r w:rsidRPr="00F02D01">
        <w:rPr>
          <w:b w:val="0"/>
          <w:bCs w:val="0"/>
          <w:u w:val="none"/>
          <w:rtl/>
        </w:rPr>
        <w:t>–</w:t>
      </w:r>
      <w:r w:rsidRPr="00F02D01">
        <w:rPr>
          <w:rFonts w:hint="cs"/>
          <w:b w:val="0"/>
          <w:bCs w:val="0"/>
          <w:u w:val="none"/>
          <w:rtl/>
        </w:rPr>
        <w:t>מובא באמצעות שב"ס</w:t>
      </w:r>
    </w:p>
    <w:p w14:paraId="0E6F657C" w14:textId="77777777" w:rsidR="003E7344" w:rsidRPr="00F02D01" w:rsidRDefault="00F02D01">
      <w:pPr>
        <w:pStyle w:val="12"/>
        <w:rPr>
          <w:b w:val="0"/>
          <w:bCs w:val="0"/>
          <w:u w:val="none"/>
          <w:rtl/>
        </w:rPr>
      </w:pPr>
      <w:r w:rsidRPr="00F02D01">
        <w:rPr>
          <w:rFonts w:hint="cs"/>
          <w:b w:val="0"/>
          <w:bCs w:val="0"/>
          <w:u w:val="none"/>
          <w:rtl/>
        </w:rPr>
        <w:t xml:space="preserve">ב"כ הנאשם: עו"ד ליעד ידין </w:t>
      </w:r>
      <w:r w:rsidRPr="00F02D01">
        <w:rPr>
          <w:b w:val="0"/>
          <w:bCs w:val="0"/>
          <w:u w:val="none"/>
          <w:rtl/>
        </w:rPr>
        <w:t>–</w:t>
      </w:r>
      <w:r w:rsidRPr="00F02D01">
        <w:rPr>
          <w:rFonts w:hint="cs"/>
          <w:b w:val="0"/>
          <w:bCs w:val="0"/>
          <w:u w:val="none"/>
          <w:rtl/>
        </w:rPr>
        <w:t xml:space="preserve"> סניגוריה ציבורית</w:t>
      </w:r>
    </w:p>
    <w:p w14:paraId="6294EBBC" w14:textId="77777777" w:rsidR="003E7344" w:rsidRPr="00F02D01" w:rsidRDefault="003E7344">
      <w:pPr>
        <w:pStyle w:val="12"/>
        <w:rPr>
          <w:b w:val="0"/>
          <w:bCs w:val="0"/>
          <w:u w:val="none"/>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E7344" w14:paraId="1E194747" w14:textId="77777777">
        <w:trPr>
          <w:trHeight w:val="355"/>
          <w:jc w:val="center"/>
        </w:trPr>
        <w:tc>
          <w:tcPr>
            <w:tcW w:w="8820" w:type="dxa"/>
            <w:tcBorders>
              <w:top w:val="nil"/>
              <w:left w:val="nil"/>
              <w:bottom w:val="nil"/>
              <w:right w:val="nil"/>
            </w:tcBorders>
          </w:tcPr>
          <w:p w14:paraId="06247327" w14:textId="77777777" w:rsidR="003E7344" w:rsidRPr="00F02D01" w:rsidRDefault="00F02D01">
            <w:pPr>
              <w:jc w:val="center"/>
              <w:rPr>
                <w:rFonts w:ascii="Arial" w:eastAsia="Times New Roman" w:hAnsi="Arial" w:cs="FrankRuehl"/>
                <w:b/>
                <w:bCs/>
                <w:sz w:val="32"/>
                <w:szCs w:val="32"/>
                <w:rtl/>
              </w:rPr>
            </w:pPr>
            <w:r w:rsidRPr="00F02D01">
              <w:rPr>
                <w:rFonts w:ascii="Arial" w:eastAsia="Times New Roman" w:hAnsi="Arial"/>
                <w:b/>
                <w:color w:val="FF0000"/>
                <w:sz w:val="32"/>
                <w:rtl/>
              </w:rPr>
              <w:t>במסמך זה הושמטו פרוטוקולים</w:t>
            </w:r>
          </w:p>
          <w:p w14:paraId="3F624934" w14:textId="77777777" w:rsidR="00F02D01" w:rsidRPr="00F02D01" w:rsidRDefault="00F02D01">
            <w:pPr>
              <w:jc w:val="center"/>
              <w:rPr>
                <w:rFonts w:ascii="Arial" w:eastAsia="Times New Roman" w:hAnsi="Arial" w:cs="FrankRuehl"/>
                <w:b/>
                <w:bCs/>
                <w:sz w:val="32"/>
                <w:szCs w:val="32"/>
                <w:rtl/>
              </w:rPr>
            </w:pPr>
          </w:p>
          <w:p w14:paraId="389F25E9" w14:textId="77777777" w:rsidR="00F02D01" w:rsidRPr="00F02D01" w:rsidRDefault="00F02D01" w:rsidP="00F02D01">
            <w:pPr>
              <w:jc w:val="center"/>
              <w:rPr>
                <w:rFonts w:ascii="Arial" w:eastAsia="Times New Roman" w:hAnsi="Arial" w:cs="FrankRuehl"/>
                <w:b/>
                <w:bCs/>
                <w:sz w:val="32"/>
                <w:szCs w:val="32"/>
                <w:u w:val="single"/>
                <w:rtl/>
              </w:rPr>
            </w:pPr>
            <w:bookmarkStart w:id="3" w:name="PsakDin"/>
            <w:r w:rsidRPr="00F02D01">
              <w:rPr>
                <w:rFonts w:ascii="Arial" w:eastAsia="Times New Roman" w:hAnsi="Arial" w:cs="FrankRuehl"/>
                <w:b/>
                <w:bCs/>
                <w:sz w:val="32"/>
                <w:szCs w:val="32"/>
                <w:u w:val="single"/>
                <w:rtl/>
              </w:rPr>
              <w:t>גזר דין</w:t>
            </w:r>
          </w:p>
          <w:bookmarkEnd w:id="3"/>
          <w:p w14:paraId="4C7E2333" w14:textId="77777777" w:rsidR="003E7344" w:rsidRDefault="003E7344">
            <w:pPr>
              <w:jc w:val="center"/>
              <w:rPr>
                <w:rFonts w:ascii="Arial" w:eastAsia="Times New Roman" w:hAnsi="Arial" w:cs="FrankRuehl"/>
                <w:bCs/>
                <w:sz w:val="32"/>
                <w:szCs w:val="32"/>
                <w:u w:val="single"/>
              </w:rPr>
            </w:pPr>
          </w:p>
        </w:tc>
      </w:tr>
    </w:tbl>
    <w:p w14:paraId="4AD029E9" w14:textId="77777777" w:rsidR="003E7344" w:rsidRDefault="00F02D01">
      <w:pPr>
        <w:spacing w:line="360" w:lineRule="auto"/>
        <w:ind w:left="720" w:hanging="720"/>
        <w:rPr>
          <w:rFonts w:ascii="Times New Roman" w:hAnsi="Times New Roman"/>
          <w:sz w:val="28"/>
          <w:rtl/>
        </w:rPr>
      </w:pPr>
      <w:r>
        <w:rPr>
          <w:rFonts w:hint="cs"/>
          <w:sz w:val="28"/>
          <w:rtl/>
        </w:rPr>
        <w:t>1.</w:t>
      </w:r>
      <w:r>
        <w:rPr>
          <w:rFonts w:hint="cs"/>
          <w:sz w:val="28"/>
          <w:rtl/>
        </w:rPr>
        <w:tab/>
        <w:t>ע"פ כתב האישום, בתאריך 25.7.12 אסף הסוכן המשטרתי את מוחמד מרעי (להלן: "המתווך") מביתו והמתווך יצר קשר עם הנאשם וקבע מפגש בין הסוכן  לנאשם,  ורק עקב דרישת הנאשם לקבל כסף טרם מסירת הסם, העיסקה לא יצאה לפועל.</w:t>
      </w:r>
    </w:p>
    <w:p w14:paraId="2EE4B58C" w14:textId="77777777" w:rsidR="003E7344" w:rsidRDefault="003E7344">
      <w:pPr>
        <w:spacing w:line="360" w:lineRule="auto"/>
        <w:ind w:left="720"/>
        <w:rPr>
          <w:sz w:val="28"/>
          <w:rtl/>
        </w:rPr>
      </w:pPr>
    </w:p>
    <w:p w14:paraId="171596E6" w14:textId="77777777" w:rsidR="003E7344" w:rsidRDefault="00F02D01">
      <w:pPr>
        <w:spacing w:line="360" w:lineRule="auto"/>
        <w:ind w:left="720"/>
        <w:rPr>
          <w:sz w:val="28"/>
          <w:rtl/>
        </w:rPr>
      </w:pPr>
      <w:r>
        <w:rPr>
          <w:rFonts w:hint="cs"/>
          <w:sz w:val="28"/>
          <w:rtl/>
        </w:rPr>
        <w:t xml:space="preserve">בתאריך 30.7.12 ע"פ סיכום בין הסוכן למתווך, הסוכן אסף את המתווך ונסע עימו למקום המפגש שם הנאשם מסר לסוכן שקית עם 63 טבליות </w:t>
      </w:r>
      <w:r>
        <w:rPr>
          <w:sz w:val="28"/>
        </w:rPr>
        <w:t xml:space="preserve">MDMA  </w:t>
      </w:r>
      <w:r>
        <w:rPr>
          <w:rFonts w:hint="cs"/>
          <w:sz w:val="28"/>
          <w:rtl/>
        </w:rPr>
        <w:t xml:space="preserve">  תמורת סכום של 2,200 ₪. משספר הסוכן את הסם, התברר כי סופקו רק 63 טבליות במקום 100 עליהם סוכם כאשר רק 48 מהן הכילו סם מסוכן.</w:t>
      </w:r>
    </w:p>
    <w:p w14:paraId="324AC3A2" w14:textId="77777777" w:rsidR="003E7344" w:rsidRDefault="003E7344">
      <w:pPr>
        <w:spacing w:line="360" w:lineRule="auto"/>
        <w:ind w:left="720"/>
        <w:rPr>
          <w:sz w:val="28"/>
          <w:rtl/>
        </w:rPr>
      </w:pPr>
    </w:p>
    <w:p w14:paraId="793FDBAA" w14:textId="77777777" w:rsidR="003E7344" w:rsidRDefault="00F02D01">
      <w:pPr>
        <w:spacing w:line="360" w:lineRule="auto"/>
        <w:ind w:left="720"/>
        <w:rPr>
          <w:sz w:val="28"/>
          <w:rtl/>
        </w:rPr>
      </w:pPr>
      <w:r>
        <w:rPr>
          <w:rFonts w:hint="cs"/>
          <w:sz w:val="28"/>
          <w:rtl/>
        </w:rPr>
        <w:t>ע"פ כתב האישום המדובר בסחר בסם מסוכן. הנאשם מואשם בעבירות סחר ואספקת סמים מסוכנים – עבירה על סעיף 13 +19 א' לפקודת הסמים.</w:t>
      </w:r>
    </w:p>
    <w:p w14:paraId="21DB0358" w14:textId="77777777" w:rsidR="003E7344" w:rsidRDefault="003E7344">
      <w:pPr>
        <w:spacing w:line="360" w:lineRule="auto"/>
        <w:ind w:left="720"/>
        <w:rPr>
          <w:sz w:val="28"/>
          <w:rtl/>
        </w:rPr>
      </w:pPr>
    </w:p>
    <w:p w14:paraId="6A1C00BC" w14:textId="77777777" w:rsidR="003E7344" w:rsidRDefault="00F02D01">
      <w:pPr>
        <w:spacing w:line="360" w:lineRule="auto"/>
        <w:ind w:left="720" w:hanging="720"/>
        <w:rPr>
          <w:sz w:val="28"/>
          <w:rtl/>
        </w:rPr>
      </w:pPr>
      <w:r>
        <w:rPr>
          <w:rFonts w:hint="cs"/>
          <w:sz w:val="28"/>
          <w:rtl/>
        </w:rPr>
        <w:t>2.</w:t>
      </w:r>
      <w:r>
        <w:rPr>
          <w:rFonts w:hint="cs"/>
          <w:sz w:val="28"/>
          <w:rtl/>
        </w:rPr>
        <w:tab/>
        <w:t>בתאריך 23.12.12 הודה הנאשם בעובדות כתב האישום והורשע בעבירה המיוחסת לו בכתב האישום.</w:t>
      </w:r>
    </w:p>
    <w:p w14:paraId="4F552E39" w14:textId="77777777" w:rsidR="003E7344" w:rsidRDefault="003E7344">
      <w:pPr>
        <w:spacing w:line="360" w:lineRule="auto"/>
        <w:ind w:left="720" w:hanging="720"/>
        <w:rPr>
          <w:sz w:val="28"/>
          <w:rtl/>
        </w:rPr>
      </w:pPr>
    </w:p>
    <w:p w14:paraId="11DB1933" w14:textId="77777777" w:rsidR="003E7344" w:rsidRDefault="00F02D01">
      <w:pPr>
        <w:spacing w:line="360" w:lineRule="auto"/>
        <w:ind w:left="720" w:hanging="720"/>
        <w:rPr>
          <w:sz w:val="28"/>
          <w:rtl/>
        </w:rPr>
      </w:pPr>
      <w:r>
        <w:rPr>
          <w:rFonts w:hint="cs"/>
          <w:sz w:val="28"/>
          <w:rtl/>
        </w:rPr>
        <w:lastRenderedPageBreak/>
        <w:t>3.</w:t>
      </w:r>
      <w:r>
        <w:rPr>
          <w:rFonts w:hint="cs"/>
          <w:sz w:val="28"/>
          <w:rtl/>
        </w:rPr>
        <w:tab/>
      </w:r>
      <w:r>
        <w:rPr>
          <w:rFonts w:hint="cs"/>
          <w:sz w:val="28"/>
          <w:u w:val="single"/>
          <w:rtl/>
        </w:rPr>
        <w:t xml:space="preserve">ב"כ המאשימה, בטיעוניו לעונש, </w:t>
      </w:r>
      <w:r>
        <w:rPr>
          <w:rFonts w:hint="cs"/>
          <w:sz w:val="28"/>
          <w:rtl/>
        </w:rPr>
        <w:t xml:space="preserve"> מפנה לעובדות כתב האישום ולחומרת המעשים אותם עשה הנאשם. כן מתייחס ב"כ המאשימה למתחם הענישה והעקרונות הגלומים בתיקון 113 כאשר הוא מציב את מתחם הענישה בין 24 ל- 36 חודשי מאסר.</w:t>
      </w:r>
    </w:p>
    <w:p w14:paraId="1D6280DD" w14:textId="77777777" w:rsidR="003E7344" w:rsidRDefault="003E7344">
      <w:pPr>
        <w:spacing w:line="360" w:lineRule="auto"/>
        <w:ind w:left="720" w:hanging="720"/>
        <w:rPr>
          <w:sz w:val="28"/>
          <w:rtl/>
        </w:rPr>
      </w:pPr>
    </w:p>
    <w:p w14:paraId="66F64EC3" w14:textId="77777777" w:rsidR="003E7344" w:rsidRDefault="00F02D01">
      <w:pPr>
        <w:spacing w:line="360" w:lineRule="auto"/>
        <w:ind w:left="720" w:hanging="720"/>
        <w:rPr>
          <w:sz w:val="28"/>
          <w:rtl/>
        </w:rPr>
      </w:pPr>
      <w:r>
        <w:rPr>
          <w:rFonts w:hint="cs"/>
          <w:sz w:val="28"/>
          <w:rtl/>
        </w:rPr>
        <w:tab/>
        <w:t>ב"כ המאשימה מדגיש את הערך החברתי שנפגע ומפנה לפסיקה לגבי חומרת העבירה ומדיניות הענישה בעבירה מסוג זה תוך אבחון פסקי הדין.</w:t>
      </w:r>
    </w:p>
    <w:p w14:paraId="12387CB0" w14:textId="77777777" w:rsidR="003E7344" w:rsidRDefault="003E7344">
      <w:pPr>
        <w:spacing w:line="360" w:lineRule="auto"/>
        <w:ind w:left="720" w:hanging="720"/>
        <w:rPr>
          <w:sz w:val="28"/>
          <w:rtl/>
        </w:rPr>
      </w:pPr>
    </w:p>
    <w:p w14:paraId="1C142A5B" w14:textId="77777777" w:rsidR="003E7344" w:rsidRDefault="00F02D01">
      <w:pPr>
        <w:spacing w:line="360" w:lineRule="auto"/>
        <w:ind w:left="720" w:hanging="720"/>
        <w:rPr>
          <w:sz w:val="28"/>
          <w:rtl/>
        </w:rPr>
      </w:pPr>
      <w:r>
        <w:rPr>
          <w:rFonts w:hint="cs"/>
          <w:sz w:val="28"/>
          <w:rtl/>
        </w:rPr>
        <w:tab/>
        <w:t xml:space="preserve">בהמשך הוא מציין כי לנאשם הרשעות קודמות בעבירות אלימות ועבירות ע"פ פקודת הסמים ולמעשה הפשע אצלו הפך לדרך חיים. נגד הנאשם תלוי ועומד מאסר על תנאי של 4 חודשים בגין החזקת סם, כאשר עברו הפלילי מהווה שיקול לעניין חריגה מעבר למתחם הענישה. </w:t>
      </w:r>
    </w:p>
    <w:p w14:paraId="4CA9A44C" w14:textId="77777777" w:rsidR="003E7344" w:rsidRDefault="003E7344">
      <w:pPr>
        <w:spacing w:line="360" w:lineRule="auto"/>
        <w:ind w:left="720" w:hanging="720"/>
        <w:rPr>
          <w:sz w:val="28"/>
          <w:rtl/>
        </w:rPr>
      </w:pPr>
    </w:p>
    <w:p w14:paraId="2310DD24" w14:textId="77777777" w:rsidR="003E7344" w:rsidRDefault="00F02D01">
      <w:pPr>
        <w:spacing w:line="360" w:lineRule="auto"/>
        <w:ind w:left="720" w:hanging="720"/>
        <w:rPr>
          <w:sz w:val="28"/>
          <w:rtl/>
        </w:rPr>
      </w:pPr>
      <w:r>
        <w:rPr>
          <w:rFonts w:hint="cs"/>
          <w:sz w:val="28"/>
          <w:rtl/>
        </w:rPr>
        <w:tab/>
        <w:t>בסופו של דבר, עותר ב"כ המאשימה להטלת מאסר בפועל משמעותי, הפעלת התנאי במצטבר, פסילת רישיון הנהיגה וקנס גבוה.</w:t>
      </w:r>
    </w:p>
    <w:p w14:paraId="59006646" w14:textId="77777777" w:rsidR="003E7344" w:rsidRDefault="003E7344">
      <w:pPr>
        <w:spacing w:line="360" w:lineRule="auto"/>
        <w:ind w:left="720" w:hanging="720"/>
        <w:rPr>
          <w:sz w:val="28"/>
          <w:rtl/>
        </w:rPr>
      </w:pPr>
    </w:p>
    <w:p w14:paraId="7F606E1B" w14:textId="77777777" w:rsidR="003E7344" w:rsidRDefault="00F02D01">
      <w:pPr>
        <w:spacing w:line="360" w:lineRule="auto"/>
        <w:ind w:left="720" w:hanging="720"/>
        <w:rPr>
          <w:rtl/>
        </w:rPr>
      </w:pPr>
      <w:r>
        <w:rPr>
          <w:rFonts w:hint="cs"/>
          <w:sz w:val="28"/>
          <w:rtl/>
        </w:rPr>
        <w:t>4.</w:t>
      </w:r>
      <w:r>
        <w:rPr>
          <w:rFonts w:hint="cs"/>
          <w:sz w:val="28"/>
          <w:rtl/>
        </w:rPr>
        <w:tab/>
      </w:r>
      <w:r>
        <w:rPr>
          <w:rFonts w:hint="cs"/>
          <w:sz w:val="28"/>
          <w:u w:val="single"/>
          <w:rtl/>
        </w:rPr>
        <w:t xml:space="preserve">ב"כ הנאשם, בטיעוניו לעונש, </w:t>
      </w:r>
      <w:r>
        <w:rPr>
          <w:rFonts w:hint="cs"/>
          <w:rtl/>
        </w:rPr>
        <w:t xml:space="preserve">מציין כי המדובר בעבירה אחת של אספקת 48 כדורי </w:t>
      </w:r>
      <w:r>
        <w:rPr>
          <w:u w:val="single"/>
        </w:rPr>
        <w:t xml:space="preserve">MDMA </w:t>
      </w:r>
      <w:r>
        <w:rPr>
          <w:rFonts w:hint="cs"/>
          <w:rtl/>
        </w:rPr>
        <w:t>. הנאשם, לדבריו, אינו סוחר אלא משתמש בסם ואין לו עבירות סחר במסגרת עברו הפלילי. כן הוא מפנה לנסיבות חייו הקשות.</w:t>
      </w:r>
    </w:p>
    <w:p w14:paraId="316D0A7B" w14:textId="77777777" w:rsidR="003E7344" w:rsidRDefault="003E7344">
      <w:pPr>
        <w:spacing w:line="360" w:lineRule="auto"/>
        <w:ind w:left="720" w:hanging="720"/>
        <w:rPr>
          <w:rtl/>
        </w:rPr>
      </w:pPr>
    </w:p>
    <w:p w14:paraId="3F37D026" w14:textId="77777777" w:rsidR="003E7344" w:rsidRDefault="00F02D01">
      <w:pPr>
        <w:spacing w:line="360" w:lineRule="auto"/>
        <w:ind w:left="720" w:hanging="720"/>
        <w:rPr>
          <w:rtl/>
        </w:rPr>
      </w:pPr>
      <w:r>
        <w:rPr>
          <w:rFonts w:hint="cs"/>
          <w:rtl/>
        </w:rPr>
        <w:tab/>
        <w:t>לדבריו, הנאשם הסתבך בחובות כבדים כאשר כל רווחיו בגין העיסקה היו אמורים לעמוד סכום של על 200 ₪. ב"כ הנאשם מציג אסופת פסיקה לגבי מתחם הענישה וטוען שמתחם הענישה הנטען ע"י המאשימה אין בו ממש, כאשר לעיתים בעבירות דומות גם נפסקו עבודות של"צ ללא מאסר בפועל.</w:t>
      </w:r>
    </w:p>
    <w:p w14:paraId="5B3915DF" w14:textId="77777777" w:rsidR="003E7344" w:rsidRDefault="003E7344">
      <w:pPr>
        <w:spacing w:line="360" w:lineRule="auto"/>
        <w:ind w:left="720" w:hanging="720"/>
        <w:rPr>
          <w:rtl/>
        </w:rPr>
      </w:pPr>
    </w:p>
    <w:p w14:paraId="38090492" w14:textId="77777777" w:rsidR="003E7344" w:rsidRDefault="00F02D01">
      <w:pPr>
        <w:spacing w:line="360" w:lineRule="auto"/>
        <w:ind w:left="720" w:hanging="720"/>
        <w:rPr>
          <w:rtl/>
        </w:rPr>
      </w:pPr>
      <w:r>
        <w:rPr>
          <w:rFonts w:hint="cs"/>
          <w:rtl/>
        </w:rPr>
        <w:tab/>
        <w:t xml:space="preserve">ב"כ הנאשם מוסיף שהנאשם עובר תהליך שיקום אשר נראה כמוצלח וכיום הוא משמש כתומך, התנהגותו ללא רבב וסיכוי השיקום גבוהים. הנאשם גם לקח אחריות והביע בגרות. </w:t>
      </w:r>
    </w:p>
    <w:p w14:paraId="4D0138D8" w14:textId="77777777" w:rsidR="003E7344" w:rsidRDefault="00F02D01">
      <w:pPr>
        <w:spacing w:line="360" w:lineRule="auto"/>
        <w:ind w:left="720" w:hanging="720"/>
        <w:rPr>
          <w:rtl/>
        </w:rPr>
      </w:pPr>
      <w:r>
        <w:rPr>
          <w:rFonts w:hint="cs"/>
          <w:rtl/>
        </w:rPr>
        <w:tab/>
        <w:t xml:space="preserve">ב"כ הנאשם עותר להשתת מאסר של מספר חודשים כאשר חלק מהמאסר המותנה יוטל בחופף ובאשר לקנס, הוא טוען כי הנאשם במצב כלכלי קשה ולא יכול לשלם קנס. </w:t>
      </w:r>
    </w:p>
    <w:p w14:paraId="42EE8E36" w14:textId="77777777" w:rsidR="003E7344" w:rsidRDefault="00F02D01">
      <w:pPr>
        <w:spacing w:line="360" w:lineRule="auto"/>
        <w:ind w:left="720"/>
        <w:rPr>
          <w:rtl/>
        </w:rPr>
      </w:pPr>
      <w:r>
        <w:rPr>
          <w:rFonts w:hint="cs"/>
          <w:rtl/>
        </w:rPr>
        <w:t>הנאשם עצור מיום 28.10.12.</w:t>
      </w:r>
    </w:p>
    <w:p w14:paraId="54D27BFE" w14:textId="77777777" w:rsidR="003E7344" w:rsidRDefault="003E7344">
      <w:pPr>
        <w:spacing w:line="360" w:lineRule="auto"/>
        <w:ind w:left="720"/>
        <w:rPr>
          <w:rtl/>
        </w:rPr>
      </w:pPr>
    </w:p>
    <w:p w14:paraId="29EB98F7" w14:textId="77777777" w:rsidR="003E7344" w:rsidRDefault="00F02D01">
      <w:pPr>
        <w:spacing w:line="360" w:lineRule="auto"/>
        <w:ind w:left="720" w:hanging="720"/>
        <w:rPr>
          <w:rtl/>
        </w:rPr>
      </w:pPr>
      <w:r>
        <w:rPr>
          <w:rFonts w:hint="cs"/>
          <w:rtl/>
        </w:rPr>
        <w:t>5.</w:t>
      </w:r>
      <w:r>
        <w:rPr>
          <w:rFonts w:hint="cs"/>
          <w:rtl/>
        </w:rPr>
        <w:tab/>
        <w:t xml:space="preserve">אין חולק על כך כי נגע הסמים הוא חמור ועל ביהמ"ש לעשות ככל יכולתו להילחם בנגע זה. גם אם נסיבות המקרה אינן מן החמורות, הרי נפסק לא פעם שגם סמים קלים מובילים את המשתמשים להתמכרות לסמים קשים יותר. גם צויין בעבר שמכירת סם לסוכן משטרתי מצביעה על מוטיבציה ורווח כספי שכן אין מדובר במכירת סם לחוג "מכריו" של הסוחר בסם, אלא לאדם שאין לו היכרות משמעותית עימו. </w:t>
      </w:r>
    </w:p>
    <w:p w14:paraId="4E57FF77" w14:textId="77777777" w:rsidR="003E7344" w:rsidRDefault="003E7344">
      <w:pPr>
        <w:spacing w:line="360" w:lineRule="auto"/>
        <w:ind w:left="720" w:hanging="720"/>
        <w:rPr>
          <w:rtl/>
        </w:rPr>
      </w:pPr>
    </w:p>
    <w:p w14:paraId="20F059DD" w14:textId="77777777" w:rsidR="003E7344" w:rsidRDefault="00F02D01">
      <w:pPr>
        <w:spacing w:line="360" w:lineRule="auto"/>
        <w:ind w:left="720" w:hanging="720"/>
        <w:rPr>
          <w:rtl/>
        </w:rPr>
      </w:pPr>
      <w:r>
        <w:rPr>
          <w:rFonts w:hint="cs"/>
          <w:rtl/>
        </w:rPr>
        <w:lastRenderedPageBreak/>
        <w:tab/>
        <w:t>מכל מקום, חומרת העבירה המיוחסת לנאשם הינה ברורה מאליה ואין מקום להכביר מילים מעבר למה שצויין לעיל כאשר למדיניות הענישה בעבירות כגון דא.</w:t>
      </w:r>
    </w:p>
    <w:p w14:paraId="3FB440C3" w14:textId="77777777" w:rsidR="003E7344" w:rsidRDefault="00F02D01">
      <w:pPr>
        <w:spacing w:line="360" w:lineRule="auto"/>
        <w:ind w:left="720" w:hanging="720"/>
        <w:rPr>
          <w:rtl/>
        </w:rPr>
      </w:pPr>
      <w:r>
        <w:rPr>
          <w:rFonts w:hint="cs"/>
          <w:rtl/>
        </w:rPr>
        <w:tab/>
        <w:t xml:space="preserve">יחד עם זאת, בסופו של דבר, הענישה היא אינדיבידואלית וכל מקרה ומקרה לגופו. </w:t>
      </w:r>
    </w:p>
    <w:p w14:paraId="01254BA4" w14:textId="77777777" w:rsidR="003E7344" w:rsidRDefault="00F02D01">
      <w:pPr>
        <w:spacing w:line="360" w:lineRule="auto"/>
        <w:ind w:left="720" w:hanging="720"/>
        <w:rPr>
          <w:rtl/>
        </w:rPr>
      </w:pPr>
      <w:r>
        <w:rPr>
          <w:rFonts w:hint="cs"/>
          <w:rtl/>
        </w:rPr>
        <w:tab/>
        <w:t>במקרה זה המדובר במכירה של כ – 64 כדורי אקסטזי (מתוך 48 בהן היה סם מסוכן).</w:t>
      </w:r>
    </w:p>
    <w:p w14:paraId="0ED37B0B" w14:textId="77777777" w:rsidR="003E7344" w:rsidRDefault="00F02D01">
      <w:pPr>
        <w:spacing w:line="360" w:lineRule="auto"/>
        <w:ind w:left="720" w:hanging="720"/>
        <w:rPr>
          <w:rtl/>
        </w:rPr>
      </w:pPr>
      <w:r>
        <w:rPr>
          <w:rFonts w:hint="cs"/>
          <w:rtl/>
        </w:rPr>
        <w:tab/>
        <w:t>לנאשם נסיבות חיים לא קלות ובחר לעבור תהליך שיקום במסגרת מעצרו ונראה שאכן הליך השיקום משיג את מטרתו וכיום הוא משמש כתומך. הנאשם אף צירף מכתב בו הוא מביע רצונו בשינוי אורחות חייו ולפצות את משפחתו ע"י חזרה לדרך הישר.</w:t>
      </w:r>
    </w:p>
    <w:p w14:paraId="62240BC5" w14:textId="77777777" w:rsidR="003E7344" w:rsidRDefault="003E7344">
      <w:pPr>
        <w:spacing w:line="360" w:lineRule="auto"/>
        <w:ind w:left="720" w:hanging="720"/>
        <w:rPr>
          <w:rtl/>
        </w:rPr>
      </w:pPr>
    </w:p>
    <w:p w14:paraId="1BE46171" w14:textId="77777777" w:rsidR="003E7344" w:rsidRDefault="00F02D01">
      <w:pPr>
        <w:spacing w:line="360" w:lineRule="auto"/>
        <w:ind w:left="720" w:hanging="720"/>
        <w:rPr>
          <w:rtl/>
        </w:rPr>
      </w:pPr>
      <w:r>
        <w:rPr>
          <w:rFonts w:hint="cs"/>
          <w:rtl/>
        </w:rPr>
        <w:t>6.</w:t>
      </w:r>
      <w:r>
        <w:rPr>
          <w:rFonts w:hint="cs"/>
          <w:rtl/>
        </w:rPr>
        <w:tab/>
        <w:t>לאחר ששקלתי את חומרת העבירה ונסיבותיה ומול זאת נסיבותיו האישיות, חרטתו, סיכויי השיקום ושאר השיקולים הרלוונטים, אני גוזר על הנאשם את העונשים הבאים:</w:t>
      </w:r>
    </w:p>
    <w:p w14:paraId="237AF82E" w14:textId="77777777" w:rsidR="003E7344" w:rsidRDefault="00F02D01">
      <w:pPr>
        <w:spacing w:line="360" w:lineRule="auto"/>
        <w:ind w:left="1440" w:hanging="720"/>
        <w:rPr>
          <w:rtl/>
        </w:rPr>
      </w:pPr>
      <w:r>
        <w:rPr>
          <w:rFonts w:hint="cs"/>
          <w:rtl/>
        </w:rPr>
        <w:t>א.</w:t>
      </w:r>
      <w:r>
        <w:rPr>
          <w:rFonts w:hint="cs"/>
          <w:rtl/>
        </w:rPr>
        <w:tab/>
        <w:t xml:space="preserve">אני דן את הנאשם ל – 6 חודשי מאסר בפועל אשר יחושבו מיום מעצרו – 28.10.12. </w:t>
      </w:r>
    </w:p>
    <w:p w14:paraId="3F8FC52B" w14:textId="77777777" w:rsidR="003E7344" w:rsidRDefault="00F02D01">
      <w:pPr>
        <w:spacing w:line="360" w:lineRule="auto"/>
        <w:ind w:left="1440" w:hanging="720"/>
        <w:rPr>
          <w:rtl/>
        </w:rPr>
      </w:pPr>
      <w:r>
        <w:rPr>
          <w:rFonts w:hint="cs"/>
          <w:rtl/>
        </w:rPr>
        <w:t>ב.</w:t>
      </w:r>
      <w:r>
        <w:rPr>
          <w:rFonts w:hint="cs"/>
          <w:rtl/>
        </w:rPr>
        <w:tab/>
        <w:t>אני מורה על הפעלת עונש המאסר על תנאי של 4 חודשים שהוטל על הנאשם ב</w:t>
      </w:r>
      <w:hyperlink r:id="rId6" w:history="1">
        <w:r w:rsidRPr="00F02D01">
          <w:rPr>
            <w:color w:val="0000FF"/>
            <w:u w:val="single"/>
            <w:rtl/>
          </w:rPr>
          <w:t>ת.פ. 41885-02-10</w:t>
        </w:r>
      </w:hyperlink>
      <w:r>
        <w:rPr>
          <w:rFonts w:hint="cs"/>
          <w:rtl/>
        </w:rPr>
        <w:t xml:space="preserve"> וזאת </w:t>
      </w:r>
      <w:r>
        <w:rPr>
          <w:rFonts w:hint="cs"/>
          <w:u w:val="single"/>
          <w:rtl/>
        </w:rPr>
        <w:t xml:space="preserve">במצטבר </w:t>
      </w:r>
      <w:r>
        <w:rPr>
          <w:rFonts w:hint="cs"/>
          <w:rtl/>
        </w:rPr>
        <w:t xml:space="preserve"> לעונש שהוטל עליו בגין הרשעתו בתיק זה, סה"כ ירצה הנאשם 10 חודשי מאסר בפועל מיום מעצרו.</w:t>
      </w:r>
    </w:p>
    <w:p w14:paraId="098BCEE7" w14:textId="77777777" w:rsidR="003E7344" w:rsidRDefault="00F02D01">
      <w:pPr>
        <w:spacing w:line="360" w:lineRule="auto"/>
        <w:ind w:left="1440" w:hanging="720"/>
        <w:rPr>
          <w:rtl/>
        </w:rPr>
      </w:pPr>
      <w:r>
        <w:rPr>
          <w:rFonts w:hint="cs"/>
          <w:rtl/>
        </w:rPr>
        <w:t>ג.</w:t>
      </w:r>
      <w:r>
        <w:rPr>
          <w:rFonts w:hint="cs"/>
          <w:rtl/>
        </w:rPr>
        <w:tab/>
        <w:t>מאסר על תנאי לתקופה של 6   חודשים והתנאי הוא שהנאשם לא יעבור במשך 3 שנים מיום שחרורו עבירות ע"פ פקודת הסמים למעט החזקת סם לשימוש עצמי  ויורשע בהם בין בתקופת התנאי ובין לאחריו.</w:t>
      </w:r>
    </w:p>
    <w:p w14:paraId="538D23F2" w14:textId="77777777" w:rsidR="003E7344" w:rsidRDefault="00F02D01">
      <w:pPr>
        <w:spacing w:line="360" w:lineRule="auto"/>
        <w:ind w:left="1440" w:hanging="720"/>
        <w:rPr>
          <w:rtl/>
        </w:rPr>
      </w:pPr>
      <w:r>
        <w:rPr>
          <w:rFonts w:hint="cs"/>
          <w:rtl/>
        </w:rPr>
        <w:t>ד.</w:t>
      </w:r>
      <w:r>
        <w:rPr>
          <w:rFonts w:hint="cs"/>
          <w:rtl/>
        </w:rPr>
        <w:tab/>
        <w:t>תשלום קנס בסכום  4,000  ש"ח  או  40  ימי מאסר תחתיו.</w:t>
      </w:r>
    </w:p>
    <w:p w14:paraId="68A8E54F" w14:textId="77777777" w:rsidR="003E7344" w:rsidRDefault="00F02D01">
      <w:pPr>
        <w:spacing w:line="360" w:lineRule="auto"/>
        <w:ind w:left="1440"/>
        <w:jc w:val="both"/>
        <w:rPr>
          <w:rtl/>
        </w:rPr>
      </w:pPr>
      <w:r>
        <w:rPr>
          <w:rFonts w:hint="cs"/>
          <w:rtl/>
        </w:rPr>
        <w:t>הקנס ישולם  ב - 10 תשלומים חודשיים, שווים ורצופים של 400 ₪ , החל מיום     1.10.13 ובכל  1  לחודש שלאחריו.</w:t>
      </w:r>
    </w:p>
    <w:p w14:paraId="32720535" w14:textId="77777777" w:rsidR="003E7344" w:rsidRDefault="00F02D01">
      <w:pPr>
        <w:spacing w:line="360" w:lineRule="auto"/>
        <w:ind w:left="1440" w:hanging="720"/>
        <w:jc w:val="both"/>
        <w:rPr>
          <w:rtl/>
        </w:rPr>
      </w:pPr>
      <w:r>
        <w:rPr>
          <w:rFonts w:hint="cs"/>
          <w:rtl/>
        </w:rPr>
        <w:t>ה.</w:t>
      </w:r>
      <w:r>
        <w:rPr>
          <w:rFonts w:hint="cs"/>
          <w:rtl/>
        </w:rPr>
        <w:tab/>
        <w:t xml:space="preserve">אני פוסל את הנאשם מלקבל ו/או להחזיק רישיון נהיגה למשך </w:t>
      </w:r>
      <w:r>
        <w:rPr>
          <w:rFonts w:hint="cs"/>
          <w:u w:val="single"/>
          <w:rtl/>
        </w:rPr>
        <w:t xml:space="preserve">שנה וזאת על תנאי </w:t>
      </w:r>
      <w:r>
        <w:rPr>
          <w:rFonts w:hint="cs"/>
          <w:rtl/>
        </w:rPr>
        <w:t>למשך 3 שנים והתנאי הוא שלא יעבור עבירה ע"פ פקודת הסמים לרבות שימוש עצמי וזאת ע"פ סמכותי ע"פ סעיף 37 א' ל</w:t>
      </w:r>
      <w:hyperlink r:id="rId7" w:history="1">
        <w:r w:rsidRPr="00F02D01">
          <w:rPr>
            <w:color w:val="0000FF"/>
            <w:u w:val="single"/>
            <w:rtl/>
          </w:rPr>
          <w:t>פקודת הסמים המסוכנים</w:t>
        </w:r>
      </w:hyperlink>
      <w:r>
        <w:rPr>
          <w:rFonts w:hint="cs"/>
          <w:rtl/>
        </w:rPr>
        <w:t>.</w:t>
      </w:r>
    </w:p>
    <w:p w14:paraId="5B3E7F3F" w14:textId="77777777" w:rsidR="003E7344" w:rsidRDefault="00F02D01">
      <w:pPr>
        <w:spacing w:line="360" w:lineRule="auto"/>
        <w:ind w:left="720" w:hanging="720"/>
        <w:jc w:val="both"/>
        <w:rPr>
          <w:rtl/>
        </w:rPr>
      </w:pPr>
      <w:r>
        <w:rPr>
          <w:rFonts w:hint="cs"/>
          <w:rtl/>
        </w:rPr>
        <w:tab/>
        <w:t>ו.</w:t>
      </w:r>
      <w:r>
        <w:rPr>
          <w:rFonts w:hint="cs"/>
          <w:rtl/>
        </w:rPr>
        <w:tab/>
        <w:t>ניתן צו להשמדת המוצגים.</w:t>
      </w:r>
    </w:p>
    <w:p w14:paraId="07A4682F" w14:textId="77777777" w:rsidR="003E7344" w:rsidRDefault="00F02D01">
      <w:pPr>
        <w:spacing w:line="360" w:lineRule="auto"/>
        <w:ind w:left="720"/>
        <w:jc w:val="both"/>
        <w:rPr>
          <w:rtl/>
        </w:rPr>
      </w:pPr>
      <w:r>
        <w:rPr>
          <w:rFonts w:hint="cs"/>
          <w:b/>
          <w:bCs/>
          <w:rtl/>
        </w:rPr>
        <w:t>הודעה והוסברה זכות הערעור תוך 45 יום מהיום</w:t>
      </w:r>
      <w:r>
        <w:rPr>
          <w:rFonts w:hint="cs"/>
          <w:rtl/>
        </w:rPr>
        <w:t>.</w:t>
      </w:r>
    </w:p>
    <w:p w14:paraId="493D93D0" w14:textId="77777777" w:rsidR="003E7344" w:rsidRDefault="00F02D01">
      <w:pPr>
        <w:pStyle w:val="a3"/>
        <w:jc w:val="center"/>
        <w:rPr>
          <w:sz w:val="6"/>
          <w:szCs w:val="6"/>
          <w:rtl/>
        </w:rPr>
      </w:pPr>
      <w:r>
        <w:rPr>
          <w:sz w:val="6"/>
          <w:szCs w:val="6"/>
          <w:rtl/>
        </w:rPr>
        <w:t>#3#&gt;</w:t>
      </w:r>
    </w:p>
    <w:p w14:paraId="5A5C6A01" w14:textId="77777777" w:rsidR="00F02D01" w:rsidRPr="00F02D01" w:rsidRDefault="00F02D01" w:rsidP="00F02D01">
      <w:pPr>
        <w:keepNext/>
        <w:rPr>
          <w:color w:val="000000"/>
          <w:sz w:val="22"/>
          <w:szCs w:val="22"/>
          <w:rtl/>
        </w:rPr>
      </w:pPr>
    </w:p>
    <w:p w14:paraId="265B813B" w14:textId="77777777" w:rsidR="00F02D01" w:rsidRPr="00F02D01" w:rsidRDefault="00F02D01" w:rsidP="00F02D01">
      <w:pPr>
        <w:keepNext/>
        <w:rPr>
          <w:color w:val="000000"/>
          <w:sz w:val="22"/>
          <w:szCs w:val="22"/>
          <w:rtl/>
        </w:rPr>
      </w:pPr>
      <w:r w:rsidRPr="00F02D01">
        <w:rPr>
          <w:color w:val="000000"/>
          <w:sz w:val="22"/>
          <w:szCs w:val="22"/>
          <w:rtl/>
        </w:rPr>
        <w:t>אביהו גופמן 54678313</w:t>
      </w:r>
    </w:p>
    <w:p w14:paraId="1F79783F" w14:textId="77777777" w:rsidR="003E7344" w:rsidRPr="00F02D01" w:rsidRDefault="00F02D01">
      <w:pPr>
        <w:jc w:val="right"/>
        <w:rPr>
          <w:color w:val="FFFFFF"/>
          <w:sz w:val="2"/>
          <w:szCs w:val="2"/>
          <w:rtl/>
        </w:rPr>
      </w:pPr>
      <w:r w:rsidRPr="00F02D01">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3E7344" w14:paraId="2CC1975B" w14:textId="77777777">
        <w:trPr>
          <w:trHeight w:val="364"/>
          <w:jc w:val="right"/>
        </w:trPr>
        <w:tc>
          <w:tcPr>
            <w:tcW w:w="3708" w:type="dxa"/>
          </w:tcPr>
          <w:p w14:paraId="1206CB20" w14:textId="77777777" w:rsidR="003E7344" w:rsidRDefault="00F02D01">
            <w:pPr>
              <w:jc w:val="center"/>
              <w:rPr>
                <w:rFonts w:ascii="Times New Roman" w:eastAsia="Times New Roman" w:hAnsi="Times New Roman" w:cs="Times New Roman"/>
              </w:rPr>
            </w:pPr>
            <w:r w:rsidRPr="00F02D01">
              <w:rPr>
                <w:b/>
                <w:bCs/>
                <w:color w:val="FFFFFF"/>
                <w:sz w:val="2"/>
                <w:szCs w:val="2"/>
                <w:rtl/>
              </w:rPr>
              <w:t>54678313</w:t>
            </w:r>
            <w:r>
              <w:rPr>
                <w:b/>
                <w:bCs/>
                <w:rtl/>
              </w:rPr>
              <w:t xml:space="preserve">ניתנה והודעה היום כ"ג אדר תשע"ג, 05/03/2013 במעמד הנוכחים. </w:t>
            </w:r>
          </w:p>
          <w:p w14:paraId="29AB53FB" w14:textId="77777777" w:rsidR="003E7344" w:rsidRDefault="003E7344">
            <w:pPr>
              <w:jc w:val="center"/>
              <w:rPr>
                <w:rFonts w:ascii="Times New Roman" w:eastAsia="Times New Roman" w:hAnsi="Times New Roman" w:cs="Times New Roman"/>
                <w:rtl/>
              </w:rPr>
            </w:pPr>
          </w:p>
        </w:tc>
      </w:tr>
      <w:tr w:rsidR="003E7344" w14:paraId="5AD41FAB" w14:textId="77777777">
        <w:trPr>
          <w:trHeight w:val="415"/>
          <w:jc w:val="right"/>
        </w:trPr>
        <w:tc>
          <w:tcPr>
            <w:tcW w:w="3708" w:type="dxa"/>
          </w:tcPr>
          <w:p w14:paraId="19D8495D" w14:textId="77777777" w:rsidR="003E7344" w:rsidRDefault="00F02D01">
            <w:pPr>
              <w:jc w:val="center"/>
              <w:rPr>
                <w:rFonts w:ascii="Times New Roman" w:eastAsia="Times New Roman" w:hAnsi="Times New Roman"/>
                <w:b/>
                <w:bCs/>
                <w:rtl/>
              </w:rPr>
            </w:pPr>
            <w:r>
              <w:rPr>
                <w:rFonts w:ascii="Times New Roman" w:eastAsia="Times New Roman" w:hAnsi="Times New Roman" w:hint="cs"/>
                <w:b/>
                <w:bCs/>
                <w:rtl/>
              </w:rPr>
              <w:t>אביהו גופמן, שופט</w:t>
            </w:r>
          </w:p>
          <w:p w14:paraId="19833D52" w14:textId="77777777" w:rsidR="003E7344" w:rsidRDefault="00F02D01">
            <w:pPr>
              <w:jc w:val="center"/>
              <w:rPr>
                <w:rFonts w:ascii="Times New Roman" w:eastAsia="Times New Roman" w:hAnsi="Times New Roman"/>
                <w:b/>
                <w:bCs/>
                <w:rtl/>
              </w:rPr>
            </w:pPr>
            <w:r>
              <w:rPr>
                <w:rFonts w:ascii="Times New Roman" w:eastAsia="Times New Roman" w:hAnsi="Times New Roman" w:hint="cs"/>
                <w:b/>
                <w:bCs/>
                <w:rtl/>
              </w:rPr>
              <w:t>סגן נשיא</w:t>
            </w:r>
          </w:p>
        </w:tc>
      </w:tr>
    </w:tbl>
    <w:p w14:paraId="16CFDBC2" w14:textId="77777777" w:rsidR="003E7344" w:rsidRDefault="003E7344">
      <w:pPr>
        <w:spacing w:line="360" w:lineRule="auto"/>
        <w:jc w:val="both"/>
        <w:rPr>
          <w:rtl/>
        </w:rPr>
      </w:pPr>
      <w:bookmarkStart w:id="4" w:name="_GoBack"/>
      <w:bookmarkEnd w:id="4"/>
    </w:p>
    <w:p w14:paraId="3F2E65E3" w14:textId="77777777" w:rsidR="003E7344" w:rsidRDefault="00F02D01">
      <w:r>
        <w:rPr>
          <w:rtl/>
        </w:rPr>
        <w:t>הוקלד</w:t>
      </w:r>
      <w:r>
        <w:t xml:space="preserve"> </w:t>
      </w:r>
      <w:r>
        <w:rPr>
          <w:rtl/>
        </w:rPr>
        <w:t>על</w:t>
      </w:r>
      <w:r>
        <w:t xml:space="preserve"> </w:t>
      </w:r>
      <w:r>
        <w:rPr>
          <w:rtl/>
        </w:rPr>
        <w:t>ידי</w:t>
      </w:r>
      <w:r>
        <w:t xml:space="preserve"> </w:t>
      </w:r>
      <w:r>
        <w:rPr>
          <w:rtl/>
        </w:rPr>
        <w:t>תמי</w:t>
      </w:r>
      <w:r>
        <w:t xml:space="preserve"> </w:t>
      </w:r>
      <w:r>
        <w:rPr>
          <w:rtl/>
        </w:rPr>
        <w:t>גיבלי</w:t>
      </w:r>
    </w:p>
    <w:p w14:paraId="72078915" w14:textId="77777777" w:rsidR="00F02D01" w:rsidRDefault="00F02D01" w:rsidP="00F02D01">
      <w:r w:rsidRPr="00F02D01">
        <w:rPr>
          <w:color w:val="000000"/>
          <w:rtl/>
        </w:rPr>
        <w:t>נוסח מסמך זה כפוף לשינויי ניסוח ועריכה</w:t>
      </w:r>
    </w:p>
    <w:p w14:paraId="2622DFBE" w14:textId="77777777" w:rsidR="00F02D01" w:rsidRDefault="00F02D01" w:rsidP="00F02D01">
      <w:pPr>
        <w:rPr>
          <w:rtl/>
        </w:rPr>
      </w:pPr>
    </w:p>
    <w:p w14:paraId="22EE5245" w14:textId="77777777" w:rsidR="00F02D01" w:rsidRDefault="00F02D01" w:rsidP="00F02D01">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2BD6D72B" w14:textId="77777777" w:rsidR="003E7344" w:rsidRPr="00F02D01" w:rsidRDefault="003E7344" w:rsidP="00F02D01">
      <w:pPr>
        <w:jc w:val="center"/>
        <w:rPr>
          <w:color w:val="0000FF"/>
          <w:u w:val="single"/>
        </w:rPr>
      </w:pPr>
    </w:p>
    <w:sectPr w:rsidR="003E7344" w:rsidRPr="00F02D01" w:rsidSect="00F02D01">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BFF3B" w14:textId="77777777" w:rsidR="00A56719" w:rsidRPr="00AB481E" w:rsidRDefault="00A56719">
      <w:pPr>
        <w:rPr>
          <w:rFonts w:cs="Arial"/>
          <w:szCs w:val="20"/>
        </w:rPr>
      </w:pPr>
      <w:r>
        <w:separator/>
      </w:r>
    </w:p>
  </w:endnote>
  <w:endnote w:type="continuationSeparator" w:id="0">
    <w:p w14:paraId="518222C4" w14:textId="77777777" w:rsidR="00A56719" w:rsidRPr="00AB481E" w:rsidRDefault="00A5671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79885" w14:textId="77777777" w:rsidR="00F02D01" w:rsidRDefault="00F02D01" w:rsidP="00F02D0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4CD2E0FC" w14:textId="77777777" w:rsidR="003E7344" w:rsidRPr="00F02D01" w:rsidRDefault="00F02D01" w:rsidP="00F02D01">
    <w:pPr>
      <w:pStyle w:val="a5"/>
      <w:pBdr>
        <w:top w:val="single" w:sz="4" w:space="1" w:color="auto"/>
        <w:between w:val="single" w:sz="4" w:space="0" w:color="auto"/>
      </w:pBdr>
      <w:spacing w:after="60"/>
      <w:jc w:val="center"/>
      <w:rPr>
        <w:rFonts w:ascii="FrankRuehl" w:hAnsi="FrankRuehl" w:cs="FrankRuehl"/>
        <w:color w:val="000000"/>
      </w:rPr>
    </w:pPr>
    <w:r w:rsidRPr="00F02D0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921C4" w14:textId="77777777" w:rsidR="00F02D01" w:rsidRDefault="00F02D01" w:rsidP="00F02D0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790A">
      <w:rPr>
        <w:rFonts w:ascii="FrankRuehl" w:hAnsi="FrankRuehl" w:cs="FrankRuehl"/>
        <w:noProof/>
        <w:rtl/>
      </w:rPr>
      <w:t>1</w:t>
    </w:r>
    <w:r>
      <w:rPr>
        <w:rFonts w:ascii="FrankRuehl" w:hAnsi="FrankRuehl" w:cs="FrankRuehl"/>
        <w:rtl/>
      </w:rPr>
      <w:fldChar w:fldCharType="end"/>
    </w:r>
  </w:p>
  <w:p w14:paraId="53612808" w14:textId="77777777" w:rsidR="003E7344" w:rsidRPr="00F02D01" w:rsidRDefault="00F02D01" w:rsidP="00F02D01">
    <w:pPr>
      <w:pStyle w:val="a5"/>
      <w:pBdr>
        <w:top w:val="single" w:sz="4" w:space="1" w:color="auto"/>
        <w:between w:val="single" w:sz="4" w:space="0" w:color="auto"/>
      </w:pBdr>
      <w:spacing w:after="60"/>
      <w:jc w:val="center"/>
      <w:rPr>
        <w:rFonts w:ascii="FrankRuehl" w:hAnsi="FrankRuehl" w:cs="FrankRuehl"/>
        <w:color w:val="000000"/>
      </w:rPr>
    </w:pPr>
    <w:r w:rsidRPr="00F02D01">
      <w:rPr>
        <w:rFonts w:ascii="FrankRuehl" w:hAnsi="FrankRuehl" w:cs="FrankRuehl"/>
        <w:color w:val="000000"/>
      </w:rPr>
      <w:pict w14:anchorId="0F9E4B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1872F" w14:textId="77777777" w:rsidR="00A56719" w:rsidRPr="00AB481E" w:rsidRDefault="00A56719">
      <w:pPr>
        <w:rPr>
          <w:rFonts w:cs="Arial"/>
          <w:szCs w:val="20"/>
        </w:rPr>
      </w:pPr>
      <w:r>
        <w:separator/>
      </w:r>
    </w:p>
  </w:footnote>
  <w:footnote w:type="continuationSeparator" w:id="0">
    <w:p w14:paraId="21193318" w14:textId="77777777" w:rsidR="00A56719" w:rsidRPr="00AB481E" w:rsidRDefault="00A5671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D9411" w14:textId="77777777" w:rsidR="00F02D01" w:rsidRPr="00F02D01" w:rsidRDefault="00F02D01" w:rsidP="00F02D0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(חד') 3220-11-12</w:t>
    </w:r>
    <w:r>
      <w:rPr>
        <w:color w:val="000000"/>
        <w:sz w:val="22"/>
        <w:szCs w:val="22"/>
        <w:rtl/>
      </w:rPr>
      <w:tab/>
      <w:t xml:space="preserve"> מדינת ישראל נ' ראגי כסאב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F6372" w14:textId="77777777" w:rsidR="00F02D01" w:rsidRPr="00F02D01" w:rsidRDefault="00F02D01" w:rsidP="00F02D0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(חד') 3220-11-12</w:t>
    </w:r>
    <w:r>
      <w:rPr>
        <w:color w:val="000000"/>
        <w:sz w:val="22"/>
        <w:szCs w:val="22"/>
        <w:rtl/>
      </w:rPr>
      <w:tab/>
      <w:t xml:space="preserve"> מדינת ישראל נ' ראגי כסאב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E7344"/>
    <w:rsid w:val="003E7344"/>
    <w:rsid w:val="00497B1B"/>
    <w:rsid w:val="005A200C"/>
    <w:rsid w:val="0088790A"/>
    <w:rsid w:val="00A56719"/>
    <w:rsid w:val="00C74594"/>
    <w:rsid w:val="00F02D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D231B0"/>
  <w15:chartTrackingRefBased/>
  <w15:docId w15:val="{C87560AE-4291-4BC6-A492-8A445BBE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E7344"/>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3E7344"/>
    <w:pPr>
      <w:tabs>
        <w:tab w:val="center" w:pos="4153"/>
        <w:tab w:val="right" w:pos="8306"/>
      </w:tabs>
    </w:pPr>
  </w:style>
  <w:style w:type="paragraph" w:styleId="a5">
    <w:name w:val="footer"/>
    <w:basedOn w:val="a"/>
    <w:rsid w:val="003E7344"/>
    <w:pPr>
      <w:tabs>
        <w:tab w:val="center" w:pos="4153"/>
        <w:tab w:val="right" w:pos="8306"/>
      </w:tabs>
    </w:pPr>
  </w:style>
  <w:style w:type="character" w:styleId="a6">
    <w:name w:val="page number"/>
    <w:basedOn w:val="a0"/>
    <w:rsid w:val="003E7344"/>
  </w:style>
  <w:style w:type="paragraph" w:customStyle="1" w:styleId="12">
    <w:name w:val="רגיל + ‏12 נק'"/>
    <w:aliases w:val="מיושר לשני הצדדים,מרווח בין שורות:  שורה וחצי"/>
    <w:basedOn w:val="a"/>
    <w:rsid w:val="003E7344"/>
    <w:rPr>
      <w:rFonts w:ascii="Times New Roman" w:eastAsia="Times New Roman" w:hAnsi="Times New Roman"/>
      <w:b/>
      <w:bCs/>
      <w:u w:val="single"/>
    </w:rPr>
  </w:style>
  <w:style w:type="character" w:customStyle="1" w:styleId="a4">
    <w:name w:val="כותרת עליונה תו"/>
    <w:basedOn w:val="a0"/>
    <w:link w:val="a3"/>
    <w:rsid w:val="003E7344"/>
    <w:rPr>
      <w:rFonts w:ascii="David" w:eastAsia="David" w:hAnsi="David" w:cs="David"/>
      <w:sz w:val="24"/>
      <w:szCs w:val="24"/>
      <w:lang w:val="en-US" w:eastAsia="en-US" w:bidi="he-IL"/>
    </w:rPr>
  </w:style>
  <w:style w:type="character" w:styleId="a7">
    <w:name w:val="line number"/>
    <w:basedOn w:val="a0"/>
    <w:rsid w:val="003E7344"/>
  </w:style>
  <w:style w:type="character" w:styleId="Hyperlink">
    <w:name w:val="Hyperlink"/>
    <w:basedOn w:val="a0"/>
    <w:rsid w:val="00F02D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html/law01/P170_001.htm"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inks/psika/?NEWPROC=&#1514;&#1508;&amp;NEWPARTA=41885&amp;NEWPARTB=02&amp;NEWPARTC=10"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807</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4837</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97977814</vt:i4>
      </vt:variant>
      <vt:variant>
        <vt:i4>0</vt:i4>
      </vt:variant>
      <vt:variant>
        <vt:i4>0</vt:i4>
      </vt:variant>
      <vt:variant>
        <vt:i4>5</vt:i4>
      </vt:variant>
      <vt:variant>
        <vt:lpwstr>http://www.nevo.co.il/links/psika/?NEWPROC=תפ&amp;NEWPARTA=41885&amp;NEWPARTB=02&amp;NEWPARTC=10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2025-04-22T21:51:00Z</dcterms:created>
  <dcterms:modified xsi:type="dcterms:W3CDTF">2025-04-22T21:51:00Z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3220</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ראגי כסאב</vt:lpwstr>
  </property>
  <property fmtid="{D5CDD505-2E9C-101B-9397-08002B2CF9AE}" pid="10" name="LAWYER">
    <vt:lpwstr>גלית טגרט;ליעד ידין סניגוריה ציבורית</vt:lpwstr>
  </property>
  <property fmtid="{D5CDD505-2E9C-101B-9397-08002B2CF9AE}" pid="11" name="JUDGE">
    <vt:lpwstr>אביהו גופמן</vt:lpwstr>
  </property>
  <property fmtid="{D5CDD505-2E9C-101B-9397-08002B2CF9AE}" pid="12" name="CITY">
    <vt:lpwstr>חד'</vt:lpwstr>
  </property>
  <property fmtid="{D5CDD505-2E9C-101B-9397-08002B2CF9AE}" pid="13" name="DATE">
    <vt:lpwstr>20130305</vt:lpwstr>
  </property>
  <property fmtid="{D5CDD505-2E9C-101B-9397-08002B2CF9AE}" pid="14" name="TYPE_N_DATE">
    <vt:lpwstr>38020130305</vt:lpwstr>
  </property>
  <property fmtid="{D5CDD505-2E9C-101B-9397-08002B2CF9AE}" pid="15" name="WORDNUMPAGES">
    <vt:lpwstr>3</vt:lpwstr>
  </property>
  <property fmtid="{D5CDD505-2E9C-101B-9397-08002B2CF9AE}" pid="16" name="TYPE_ABS_DATE">
    <vt:lpwstr>380020130305</vt:lpwstr>
  </property>
</Properties>
</file>