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74E20" w:rsidRPr="0057595E" w14:paraId="557D1082" w14:textId="77777777">
        <w:trPr>
          <w:trHeight w:hRule="exact" w:val="418"/>
          <w:jc w:val="center"/>
        </w:trPr>
        <w:tc>
          <w:tcPr>
            <w:tcW w:w="8721" w:type="dxa"/>
            <w:gridSpan w:val="2"/>
          </w:tcPr>
          <w:p w14:paraId="73E93AAE" w14:textId="77777777" w:rsidR="00374E20" w:rsidRPr="0057595E" w:rsidRDefault="0057595E">
            <w:pPr>
              <w:pStyle w:val="a3"/>
              <w:jc w:val="center"/>
              <w:rPr>
                <w:rFonts w:ascii="Tahoma" w:hAnsi="Tahoma" w:cs="Tahoma"/>
                <w:color w:val="000080"/>
                <w:rtl/>
              </w:rPr>
            </w:pPr>
            <w:bookmarkStart w:id="0" w:name="LastJudge"/>
            <w:r w:rsidRPr="0057595E">
              <w:rPr>
                <w:rFonts w:ascii="Tahoma" w:hAnsi="Tahoma" w:cs="Tahoma"/>
                <w:b/>
                <w:bCs/>
                <w:color w:val="000080"/>
                <w:rtl/>
              </w:rPr>
              <w:t>בית משפט השלום ברחובות</w:t>
            </w:r>
          </w:p>
        </w:tc>
      </w:tr>
      <w:tr w:rsidR="00374E20" w:rsidRPr="0057595E" w14:paraId="5E82C849" w14:textId="77777777">
        <w:trPr>
          <w:trHeight w:val="337"/>
          <w:jc w:val="center"/>
        </w:trPr>
        <w:tc>
          <w:tcPr>
            <w:tcW w:w="5054" w:type="dxa"/>
          </w:tcPr>
          <w:p w14:paraId="39EF2943" w14:textId="77777777" w:rsidR="00374E20" w:rsidRPr="0057595E" w:rsidRDefault="0057595E">
            <w:pPr>
              <w:rPr>
                <w:rFonts w:cs="FrankRuehl"/>
                <w:sz w:val="28"/>
                <w:szCs w:val="28"/>
                <w:rtl/>
              </w:rPr>
            </w:pPr>
            <w:r w:rsidRPr="0057595E">
              <w:rPr>
                <w:rFonts w:cs="FrankRuehl"/>
                <w:sz w:val="28"/>
                <w:szCs w:val="28"/>
                <w:rtl/>
              </w:rPr>
              <w:t>ת"פ</w:t>
            </w:r>
            <w:r w:rsidRPr="0057595E">
              <w:rPr>
                <w:rFonts w:cs="FrankRuehl" w:hint="cs"/>
                <w:sz w:val="28"/>
                <w:szCs w:val="28"/>
                <w:rtl/>
              </w:rPr>
              <w:t xml:space="preserve"> </w:t>
            </w:r>
            <w:r w:rsidRPr="0057595E">
              <w:rPr>
                <w:rFonts w:cs="FrankRuehl"/>
                <w:sz w:val="28"/>
                <w:szCs w:val="28"/>
                <w:rtl/>
              </w:rPr>
              <w:t>21616-12-12</w:t>
            </w:r>
            <w:r w:rsidRPr="0057595E">
              <w:rPr>
                <w:rFonts w:cs="FrankRuehl" w:hint="cs"/>
                <w:sz w:val="28"/>
                <w:szCs w:val="28"/>
                <w:rtl/>
              </w:rPr>
              <w:t xml:space="preserve"> </w:t>
            </w:r>
            <w:r w:rsidRPr="0057595E">
              <w:rPr>
                <w:rFonts w:cs="FrankRuehl"/>
                <w:sz w:val="28"/>
                <w:szCs w:val="28"/>
                <w:rtl/>
              </w:rPr>
              <w:t>מדינת ישראל נ' חגבי</w:t>
            </w:r>
          </w:p>
          <w:p w14:paraId="270EC79B" w14:textId="77777777" w:rsidR="00374E20" w:rsidRPr="0057595E" w:rsidRDefault="00374E20">
            <w:pPr>
              <w:pStyle w:val="a3"/>
              <w:rPr>
                <w:rFonts w:cs="FrankRuehl"/>
                <w:sz w:val="28"/>
                <w:szCs w:val="28"/>
                <w:rtl/>
              </w:rPr>
            </w:pPr>
          </w:p>
        </w:tc>
        <w:tc>
          <w:tcPr>
            <w:tcW w:w="3667" w:type="dxa"/>
          </w:tcPr>
          <w:p w14:paraId="7D0C5E18" w14:textId="77777777" w:rsidR="00374E20" w:rsidRPr="0057595E" w:rsidRDefault="00374E20">
            <w:pPr>
              <w:pStyle w:val="a3"/>
              <w:jc w:val="right"/>
              <w:rPr>
                <w:rFonts w:cs="FrankRuehl"/>
                <w:sz w:val="28"/>
                <w:szCs w:val="28"/>
                <w:rtl/>
              </w:rPr>
            </w:pPr>
          </w:p>
        </w:tc>
      </w:tr>
    </w:tbl>
    <w:p w14:paraId="5A4A853D" w14:textId="77777777" w:rsidR="00374E20" w:rsidRPr="0057595E" w:rsidRDefault="0057595E">
      <w:pPr>
        <w:pStyle w:val="a3"/>
        <w:rPr>
          <w:rtl/>
        </w:rPr>
      </w:pPr>
      <w:r w:rsidRPr="0057595E">
        <w:rPr>
          <w:rFonts w:hint="cs"/>
          <w:rtl/>
        </w:rPr>
        <w:t xml:space="preserve"> </w:t>
      </w:r>
    </w:p>
    <w:p w14:paraId="77E66480" w14:textId="77777777" w:rsidR="00374E20" w:rsidRPr="0057595E" w:rsidRDefault="00374E20">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74E20" w:rsidRPr="0057595E" w14:paraId="5F886A6E" w14:textId="77777777">
        <w:trPr>
          <w:trHeight w:val="295"/>
          <w:jc w:val="center"/>
        </w:trPr>
        <w:tc>
          <w:tcPr>
            <w:tcW w:w="923" w:type="dxa"/>
            <w:tcBorders>
              <w:top w:val="nil"/>
              <w:left w:val="nil"/>
              <w:bottom w:val="nil"/>
              <w:right w:val="nil"/>
            </w:tcBorders>
          </w:tcPr>
          <w:p w14:paraId="5CAA7F8E" w14:textId="77777777" w:rsidR="00374E20" w:rsidRPr="0057595E" w:rsidRDefault="0057595E">
            <w:pPr>
              <w:spacing w:line="360" w:lineRule="auto"/>
              <w:jc w:val="both"/>
              <w:rPr>
                <w:rFonts w:ascii="Arial" w:hAnsi="Arial"/>
                <w:b/>
                <w:bCs/>
              </w:rPr>
            </w:pPr>
            <w:r w:rsidRPr="0057595E">
              <w:rPr>
                <w:rFonts w:ascii="Arial" w:hAnsi="Arial" w:hint="cs"/>
                <w:b/>
                <w:bCs/>
                <w:rtl/>
              </w:rPr>
              <w:t>ב</w:t>
            </w:r>
            <w:r w:rsidRPr="0057595E">
              <w:rPr>
                <w:rFonts w:ascii="Arial" w:hAnsi="Arial"/>
                <w:b/>
                <w:bCs/>
                <w:rtl/>
              </w:rPr>
              <w:t xml:space="preserve">פני </w:t>
            </w:r>
          </w:p>
        </w:tc>
        <w:tc>
          <w:tcPr>
            <w:tcW w:w="7897" w:type="dxa"/>
            <w:gridSpan w:val="2"/>
            <w:tcBorders>
              <w:top w:val="nil"/>
              <w:left w:val="nil"/>
              <w:bottom w:val="nil"/>
              <w:right w:val="nil"/>
            </w:tcBorders>
          </w:tcPr>
          <w:p w14:paraId="13EC4A92" w14:textId="77777777" w:rsidR="00374E20" w:rsidRPr="0057595E" w:rsidRDefault="0057595E">
            <w:pPr>
              <w:spacing w:line="360" w:lineRule="auto"/>
              <w:rPr>
                <w:rFonts w:ascii="Arial" w:hAnsi="Arial"/>
                <w:b/>
                <w:bCs/>
                <w:rtl/>
              </w:rPr>
            </w:pPr>
            <w:r w:rsidRPr="0057595E">
              <w:rPr>
                <w:rFonts w:ascii="Arial" w:hAnsi="Arial" w:hint="cs"/>
                <w:b/>
                <w:bCs/>
                <w:rtl/>
              </w:rPr>
              <w:t>כב' ה</w:t>
            </w:r>
            <w:r w:rsidRPr="0057595E">
              <w:rPr>
                <w:rFonts w:hint="cs"/>
                <w:b/>
                <w:bCs/>
                <w:rtl/>
              </w:rPr>
              <w:t>סגנית נשיאה</w:t>
            </w:r>
            <w:r w:rsidRPr="0057595E">
              <w:rPr>
                <w:rFonts w:ascii="Arial" w:hAnsi="Arial" w:hint="cs"/>
                <w:b/>
                <w:bCs/>
                <w:rtl/>
              </w:rPr>
              <w:t xml:space="preserve">  </w:t>
            </w:r>
            <w:r w:rsidRPr="0057595E">
              <w:rPr>
                <w:rFonts w:hint="cs"/>
                <w:b/>
                <w:bCs/>
                <w:rtl/>
              </w:rPr>
              <w:t>עינת רון</w:t>
            </w:r>
          </w:p>
          <w:p w14:paraId="6AF590AA" w14:textId="77777777" w:rsidR="00374E20" w:rsidRPr="0057595E" w:rsidRDefault="00374E20">
            <w:pPr>
              <w:spacing w:line="360" w:lineRule="auto"/>
              <w:rPr>
                <w:b/>
                <w:bCs/>
                <w:rtl/>
              </w:rPr>
            </w:pPr>
          </w:p>
          <w:p w14:paraId="69BBAA7D" w14:textId="77777777" w:rsidR="00374E20" w:rsidRPr="0057595E" w:rsidRDefault="00374E20">
            <w:pPr>
              <w:spacing w:line="360" w:lineRule="auto"/>
              <w:jc w:val="both"/>
              <w:rPr>
                <w:rFonts w:ascii="Arial" w:hAnsi="Arial"/>
                <w:b/>
                <w:bCs/>
              </w:rPr>
            </w:pPr>
          </w:p>
        </w:tc>
      </w:tr>
      <w:tr w:rsidR="00374E20" w:rsidRPr="0057595E" w14:paraId="2295A86A" w14:textId="77777777">
        <w:trPr>
          <w:trHeight w:val="355"/>
          <w:jc w:val="center"/>
        </w:trPr>
        <w:tc>
          <w:tcPr>
            <w:tcW w:w="923" w:type="dxa"/>
            <w:tcBorders>
              <w:top w:val="nil"/>
              <w:left w:val="nil"/>
              <w:bottom w:val="nil"/>
              <w:right w:val="nil"/>
            </w:tcBorders>
          </w:tcPr>
          <w:p w14:paraId="0F67E2D1" w14:textId="77777777" w:rsidR="00374E20" w:rsidRPr="0057595E" w:rsidRDefault="0057595E">
            <w:pPr>
              <w:spacing w:line="360" w:lineRule="auto"/>
              <w:jc w:val="both"/>
              <w:rPr>
                <w:rFonts w:ascii="Arial" w:hAnsi="Arial"/>
                <w:b/>
                <w:bCs/>
              </w:rPr>
            </w:pPr>
            <w:bookmarkStart w:id="1" w:name="FirstAppellant"/>
            <w:r w:rsidRPr="0057595E">
              <w:rPr>
                <w:rFonts w:ascii="Arial" w:hAnsi="Arial" w:hint="cs"/>
                <w:b/>
                <w:bCs/>
                <w:rtl/>
              </w:rPr>
              <w:t>בעניין:</w:t>
            </w:r>
          </w:p>
        </w:tc>
        <w:tc>
          <w:tcPr>
            <w:tcW w:w="4126" w:type="dxa"/>
            <w:tcBorders>
              <w:top w:val="nil"/>
              <w:left w:val="nil"/>
              <w:bottom w:val="nil"/>
              <w:right w:val="nil"/>
            </w:tcBorders>
          </w:tcPr>
          <w:p w14:paraId="1F753223" w14:textId="77777777" w:rsidR="00374E20" w:rsidRPr="0057595E" w:rsidRDefault="0057595E">
            <w:pPr>
              <w:spacing w:line="360" w:lineRule="auto"/>
              <w:rPr>
                <w:b/>
                <w:bCs/>
              </w:rPr>
            </w:pPr>
            <w:r w:rsidRPr="0057595E">
              <w:rPr>
                <w:rFonts w:hint="cs"/>
                <w:b/>
                <w:bCs/>
                <w:rtl/>
              </w:rPr>
              <w:t>מדינת ישראל</w:t>
            </w:r>
          </w:p>
        </w:tc>
        <w:tc>
          <w:tcPr>
            <w:tcW w:w="3771" w:type="dxa"/>
            <w:tcBorders>
              <w:top w:val="nil"/>
              <w:left w:val="nil"/>
              <w:bottom w:val="nil"/>
              <w:right w:val="nil"/>
            </w:tcBorders>
          </w:tcPr>
          <w:p w14:paraId="6E1123C1" w14:textId="77777777" w:rsidR="00374E20" w:rsidRPr="0057595E" w:rsidRDefault="00374E20">
            <w:pPr>
              <w:spacing w:line="360" w:lineRule="auto"/>
              <w:jc w:val="both"/>
              <w:rPr>
                <w:rFonts w:ascii="Arial" w:hAnsi="Arial"/>
                <w:b/>
                <w:bCs/>
              </w:rPr>
            </w:pPr>
          </w:p>
        </w:tc>
      </w:tr>
      <w:bookmarkEnd w:id="1"/>
      <w:tr w:rsidR="00374E20" w:rsidRPr="0057595E" w14:paraId="01D9C020" w14:textId="77777777">
        <w:trPr>
          <w:trHeight w:val="355"/>
          <w:jc w:val="center"/>
        </w:trPr>
        <w:tc>
          <w:tcPr>
            <w:tcW w:w="923" w:type="dxa"/>
            <w:tcBorders>
              <w:top w:val="nil"/>
              <w:left w:val="nil"/>
              <w:bottom w:val="nil"/>
              <w:right w:val="nil"/>
            </w:tcBorders>
          </w:tcPr>
          <w:p w14:paraId="626AA360" w14:textId="77777777" w:rsidR="00374E20" w:rsidRPr="0057595E" w:rsidRDefault="00374E20">
            <w:pPr>
              <w:spacing w:line="360" w:lineRule="auto"/>
              <w:jc w:val="both"/>
              <w:rPr>
                <w:rFonts w:ascii="Arial" w:hAnsi="Arial"/>
                <w:b/>
                <w:bCs/>
                <w:rtl/>
              </w:rPr>
            </w:pPr>
          </w:p>
        </w:tc>
        <w:tc>
          <w:tcPr>
            <w:tcW w:w="4126" w:type="dxa"/>
            <w:tcBorders>
              <w:top w:val="nil"/>
              <w:left w:val="nil"/>
              <w:bottom w:val="nil"/>
              <w:right w:val="nil"/>
            </w:tcBorders>
          </w:tcPr>
          <w:p w14:paraId="300A94E9" w14:textId="77777777" w:rsidR="00374E20" w:rsidRPr="0057595E" w:rsidRDefault="00374E20">
            <w:pPr>
              <w:spacing w:line="360" w:lineRule="auto"/>
              <w:jc w:val="both"/>
              <w:rPr>
                <w:b/>
                <w:bCs/>
                <w:rtl/>
              </w:rPr>
            </w:pPr>
          </w:p>
        </w:tc>
        <w:tc>
          <w:tcPr>
            <w:tcW w:w="3771" w:type="dxa"/>
            <w:tcBorders>
              <w:top w:val="nil"/>
              <w:left w:val="nil"/>
              <w:bottom w:val="nil"/>
              <w:right w:val="nil"/>
            </w:tcBorders>
          </w:tcPr>
          <w:p w14:paraId="20FF6BDD" w14:textId="77777777" w:rsidR="00374E20" w:rsidRPr="0057595E" w:rsidRDefault="0057595E">
            <w:pPr>
              <w:spacing w:line="360" w:lineRule="auto"/>
              <w:jc w:val="right"/>
              <w:rPr>
                <w:rFonts w:ascii="Arial" w:hAnsi="Arial"/>
                <w:b/>
                <w:bCs/>
                <w:rtl/>
              </w:rPr>
            </w:pPr>
            <w:r w:rsidRPr="0057595E">
              <w:rPr>
                <w:rFonts w:ascii="Arial" w:hAnsi="Arial" w:hint="cs"/>
                <w:b/>
                <w:bCs/>
                <w:rtl/>
              </w:rPr>
              <w:t>ה</w:t>
            </w:r>
            <w:r w:rsidRPr="0057595E">
              <w:rPr>
                <w:rFonts w:hint="cs"/>
                <w:b/>
                <w:bCs/>
                <w:rtl/>
              </w:rPr>
              <w:t>מאשימה</w:t>
            </w:r>
          </w:p>
        </w:tc>
      </w:tr>
      <w:tr w:rsidR="00374E20" w:rsidRPr="0057595E" w14:paraId="51926C2C" w14:textId="77777777">
        <w:trPr>
          <w:trHeight w:val="355"/>
          <w:jc w:val="center"/>
        </w:trPr>
        <w:tc>
          <w:tcPr>
            <w:tcW w:w="923" w:type="dxa"/>
            <w:tcBorders>
              <w:top w:val="nil"/>
              <w:left w:val="nil"/>
              <w:bottom w:val="nil"/>
              <w:right w:val="nil"/>
            </w:tcBorders>
          </w:tcPr>
          <w:p w14:paraId="19AC4001" w14:textId="77777777" w:rsidR="00374E20" w:rsidRPr="0057595E" w:rsidRDefault="00374E20">
            <w:pPr>
              <w:spacing w:line="360" w:lineRule="auto"/>
              <w:jc w:val="both"/>
              <w:rPr>
                <w:rFonts w:ascii="Arial" w:hAnsi="Arial"/>
                <w:b/>
                <w:bCs/>
                <w:rtl/>
              </w:rPr>
            </w:pPr>
          </w:p>
        </w:tc>
        <w:tc>
          <w:tcPr>
            <w:tcW w:w="7897" w:type="dxa"/>
            <w:gridSpan w:val="2"/>
            <w:tcBorders>
              <w:top w:val="nil"/>
              <w:left w:val="nil"/>
              <w:bottom w:val="nil"/>
              <w:right w:val="nil"/>
            </w:tcBorders>
          </w:tcPr>
          <w:p w14:paraId="00201892" w14:textId="77777777" w:rsidR="00374E20" w:rsidRPr="0057595E" w:rsidRDefault="00374E20">
            <w:pPr>
              <w:spacing w:line="360" w:lineRule="auto"/>
              <w:jc w:val="center"/>
              <w:rPr>
                <w:rFonts w:ascii="Arial" w:hAnsi="Arial"/>
                <w:b/>
                <w:bCs/>
                <w:rtl/>
              </w:rPr>
            </w:pPr>
          </w:p>
          <w:p w14:paraId="6A5B57FA" w14:textId="77777777" w:rsidR="00374E20" w:rsidRPr="0057595E" w:rsidRDefault="0057595E">
            <w:pPr>
              <w:spacing w:line="360" w:lineRule="auto"/>
              <w:jc w:val="center"/>
              <w:rPr>
                <w:rFonts w:ascii="Arial" w:hAnsi="Arial"/>
                <w:b/>
                <w:bCs/>
                <w:rtl/>
              </w:rPr>
            </w:pPr>
            <w:r w:rsidRPr="0057595E">
              <w:rPr>
                <w:rFonts w:ascii="Arial" w:hAnsi="Arial"/>
                <w:b/>
                <w:bCs/>
                <w:rtl/>
              </w:rPr>
              <w:t>נגד</w:t>
            </w:r>
          </w:p>
          <w:p w14:paraId="4D4B01D7" w14:textId="77777777" w:rsidR="00374E20" w:rsidRPr="0057595E" w:rsidRDefault="00374E20">
            <w:pPr>
              <w:spacing w:line="360" w:lineRule="auto"/>
              <w:jc w:val="both"/>
              <w:rPr>
                <w:rFonts w:ascii="Arial" w:hAnsi="Arial"/>
                <w:b/>
                <w:bCs/>
              </w:rPr>
            </w:pPr>
          </w:p>
        </w:tc>
      </w:tr>
      <w:tr w:rsidR="00374E20" w:rsidRPr="0057595E" w14:paraId="35851F9E" w14:textId="77777777">
        <w:trPr>
          <w:trHeight w:val="355"/>
          <w:jc w:val="center"/>
        </w:trPr>
        <w:tc>
          <w:tcPr>
            <w:tcW w:w="923" w:type="dxa"/>
            <w:tcBorders>
              <w:top w:val="nil"/>
              <w:left w:val="nil"/>
              <w:bottom w:val="nil"/>
              <w:right w:val="nil"/>
            </w:tcBorders>
          </w:tcPr>
          <w:p w14:paraId="794CB05E" w14:textId="77777777" w:rsidR="00374E20" w:rsidRPr="0057595E" w:rsidRDefault="00374E20">
            <w:pPr>
              <w:spacing w:line="360" w:lineRule="auto"/>
              <w:rPr>
                <w:rFonts w:ascii="Arial" w:hAnsi="Arial"/>
                <w:b/>
                <w:bCs/>
                <w:rtl/>
              </w:rPr>
            </w:pPr>
          </w:p>
        </w:tc>
        <w:tc>
          <w:tcPr>
            <w:tcW w:w="4126" w:type="dxa"/>
            <w:tcBorders>
              <w:top w:val="nil"/>
              <w:left w:val="nil"/>
              <w:bottom w:val="nil"/>
              <w:right w:val="nil"/>
            </w:tcBorders>
          </w:tcPr>
          <w:p w14:paraId="0E1704EE" w14:textId="77777777" w:rsidR="00374E20" w:rsidRPr="0057595E" w:rsidRDefault="0057595E">
            <w:pPr>
              <w:spacing w:line="360" w:lineRule="auto"/>
              <w:rPr>
                <w:b/>
                <w:bCs/>
                <w:rtl/>
              </w:rPr>
            </w:pPr>
            <w:r w:rsidRPr="0057595E">
              <w:rPr>
                <w:rFonts w:hint="cs"/>
                <w:b/>
                <w:bCs/>
                <w:rtl/>
              </w:rPr>
              <w:t>אופיר חגבי</w:t>
            </w:r>
          </w:p>
        </w:tc>
        <w:tc>
          <w:tcPr>
            <w:tcW w:w="3771" w:type="dxa"/>
            <w:tcBorders>
              <w:top w:val="nil"/>
              <w:left w:val="nil"/>
              <w:bottom w:val="nil"/>
              <w:right w:val="nil"/>
            </w:tcBorders>
          </w:tcPr>
          <w:p w14:paraId="2424DED4" w14:textId="77777777" w:rsidR="00374E20" w:rsidRPr="0057595E" w:rsidRDefault="00374E20">
            <w:pPr>
              <w:spacing w:line="360" w:lineRule="auto"/>
              <w:jc w:val="right"/>
              <w:rPr>
                <w:rFonts w:ascii="Arial" w:hAnsi="Arial"/>
                <w:b/>
                <w:bCs/>
              </w:rPr>
            </w:pPr>
          </w:p>
        </w:tc>
      </w:tr>
      <w:tr w:rsidR="00374E20" w:rsidRPr="0057595E" w14:paraId="2373841A" w14:textId="77777777">
        <w:trPr>
          <w:trHeight w:val="355"/>
          <w:jc w:val="center"/>
        </w:trPr>
        <w:tc>
          <w:tcPr>
            <w:tcW w:w="923" w:type="dxa"/>
            <w:tcBorders>
              <w:top w:val="nil"/>
              <w:left w:val="nil"/>
              <w:bottom w:val="nil"/>
              <w:right w:val="nil"/>
            </w:tcBorders>
          </w:tcPr>
          <w:p w14:paraId="4F1AB781" w14:textId="77777777" w:rsidR="00374E20" w:rsidRPr="0057595E" w:rsidRDefault="00374E20">
            <w:pPr>
              <w:spacing w:line="360" w:lineRule="auto"/>
              <w:jc w:val="both"/>
              <w:rPr>
                <w:rFonts w:ascii="Arial" w:hAnsi="Arial"/>
                <w:b/>
                <w:bCs/>
                <w:rtl/>
              </w:rPr>
            </w:pPr>
          </w:p>
        </w:tc>
        <w:tc>
          <w:tcPr>
            <w:tcW w:w="4126" w:type="dxa"/>
            <w:tcBorders>
              <w:top w:val="nil"/>
              <w:left w:val="nil"/>
              <w:bottom w:val="nil"/>
              <w:right w:val="nil"/>
            </w:tcBorders>
          </w:tcPr>
          <w:p w14:paraId="4EFEB82A" w14:textId="77777777" w:rsidR="00374E20" w:rsidRPr="0057595E" w:rsidRDefault="00374E20">
            <w:pPr>
              <w:spacing w:line="360" w:lineRule="auto"/>
              <w:jc w:val="both"/>
              <w:rPr>
                <w:b/>
                <w:bCs/>
                <w:rtl/>
              </w:rPr>
            </w:pPr>
          </w:p>
        </w:tc>
        <w:tc>
          <w:tcPr>
            <w:tcW w:w="3771" w:type="dxa"/>
            <w:tcBorders>
              <w:top w:val="nil"/>
              <w:left w:val="nil"/>
              <w:bottom w:val="nil"/>
              <w:right w:val="nil"/>
            </w:tcBorders>
          </w:tcPr>
          <w:p w14:paraId="1CEBF71B" w14:textId="77777777" w:rsidR="00374E20" w:rsidRPr="0057595E" w:rsidRDefault="0057595E">
            <w:pPr>
              <w:spacing w:line="360" w:lineRule="auto"/>
              <w:jc w:val="right"/>
              <w:rPr>
                <w:rFonts w:ascii="Arial" w:hAnsi="Arial"/>
                <w:b/>
                <w:bCs/>
              </w:rPr>
            </w:pPr>
            <w:r w:rsidRPr="0057595E">
              <w:rPr>
                <w:rFonts w:ascii="Arial" w:hAnsi="Arial" w:hint="cs"/>
                <w:b/>
                <w:bCs/>
                <w:rtl/>
              </w:rPr>
              <w:t>ה</w:t>
            </w:r>
            <w:r w:rsidRPr="0057595E">
              <w:rPr>
                <w:rFonts w:hint="cs"/>
                <w:b/>
                <w:bCs/>
                <w:rtl/>
              </w:rPr>
              <w:t>נאשם</w:t>
            </w:r>
          </w:p>
        </w:tc>
      </w:tr>
    </w:tbl>
    <w:p w14:paraId="219FA340" w14:textId="77777777" w:rsidR="00374E20" w:rsidRPr="0057595E" w:rsidRDefault="00374E20">
      <w:pPr>
        <w:spacing w:line="360" w:lineRule="auto"/>
        <w:rPr>
          <w:b/>
          <w:bCs/>
          <w:rtl/>
        </w:rPr>
      </w:pPr>
    </w:p>
    <w:p w14:paraId="0446A4DF" w14:textId="77777777" w:rsidR="00374E20" w:rsidRPr="0057595E" w:rsidRDefault="0057595E">
      <w:pPr>
        <w:spacing w:line="360" w:lineRule="auto"/>
        <w:rPr>
          <w:b/>
          <w:bCs/>
          <w:rtl/>
        </w:rPr>
      </w:pPr>
      <w:r w:rsidRPr="0057595E">
        <w:rPr>
          <w:rFonts w:hint="cs"/>
          <w:b/>
          <w:bCs/>
          <w:rtl/>
        </w:rPr>
        <w:t xml:space="preserve">נוכחים: </w:t>
      </w:r>
      <w:bookmarkStart w:id="2" w:name="FirstLawyer"/>
      <w:r w:rsidRPr="0057595E">
        <w:rPr>
          <w:rFonts w:hint="cs"/>
          <w:b/>
          <w:bCs/>
          <w:rtl/>
        </w:rPr>
        <w:t>ב"כ</w:t>
      </w:r>
      <w:bookmarkEnd w:id="2"/>
      <w:r w:rsidRPr="0057595E">
        <w:rPr>
          <w:rFonts w:hint="cs"/>
          <w:b/>
          <w:bCs/>
          <w:rtl/>
        </w:rPr>
        <w:t xml:space="preserve"> המאשימה עו"ד נועה חסיד</w:t>
      </w:r>
    </w:p>
    <w:p w14:paraId="252FB197" w14:textId="77777777" w:rsidR="00374E20" w:rsidRPr="0057595E" w:rsidRDefault="0057595E">
      <w:pPr>
        <w:spacing w:line="360" w:lineRule="auto"/>
        <w:rPr>
          <w:b/>
          <w:bCs/>
          <w:rtl/>
        </w:rPr>
      </w:pPr>
      <w:r w:rsidRPr="0057595E">
        <w:rPr>
          <w:rFonts w:hint="cs"/>
          <w:b/>
          <w:bCs/>
          <w:rtl/>
        </w:rPr>
        <w:tab/>
        <w:t xml:space="preserve"> ב"כ הנאשם עו"ד ירון פורר</w:t>
      </w:r>
    </w:p>
    <w:p w14:paraId="31BCB8A3" w14:textId="77777777" w:rsidR="00374E20" w:rsidRPr="0057595E" w:rsidRDefault="0057595E">
      <w:pPr>
        <w:spacing w:line="360" w:lineRule="auto"/>
        <w:rPr>
          <w:b/>
          <w:bCs/>
          <w:rtl/>
        </w:rPr>
      </w:pPr>
      <w:r w:rsidRPr="0057595E">
        <w:rPr>
          <w:rFonts w:hint="cs"/>
          <w:b/>
          <w:bCs/>
          <w:rtl/>
        </w:rPr>
        <w:tab/>
        <w:t xml:space="preserve"> הנאשם בעצמו</w:t>
      </w:r>
    </w:p>
    <w:p w14:paraId="30040355" w14:textId="77777777" w:rsidR="0057595E" w:rsidRDefault="0057595E">
      <w:pPr>
        <w:spacing w:line="360" w:lineRule="auto"/>
        <w:rPr>
          <w:rtl/>
        </w:rPr>
      </w:pPr>
      <w:bookmarkStart w:id="3" w:name="LawTable"/>
      <w:bookmarkEnd w:id="3"/>
    </w:p>
    <w:p w14:paraId="25009D9C" w14:textId="77777777" w:rsidR="0057595E" w:rsidRPr="0057595E" w:rsidRDefault="0057595E" w:rsidP="0057595E">
      <w:pPr>
        <w:spacing w:after="120" w:line="240" w:lineRule="exact"/>
        <w:ind w:left="283" w:hanging="283"/>
        <w:jc w:val="both"/>
        <w:rPr>
          <w:rFonts w:ascii="FrankRuehl" w:hAnsi="FrankRuehl" w:cs="FrankRuehl"/>
          <w:rtl/>
        </w:rPr>
      </w:pPr>
    </w:p>
    <w:p w14:paraId="23AB3953" w14:textId="77777777" w:rsidR="0057595E" w:rsidRPr="0057595E" w:rsidRDefault="0057595E" w:rsidP="0057595E">
      <w:pPr>
        <w:spacing w:after="120" w:line="240" w:lineRule="exact"/>
        <w:ind w:left="283" w:hanging="283"/>
        <w:jc w:val="both"/>
        <w:rPr>
          <w:rFonts w:ascii="FrankRuehl" w:hAnsi="FrankRuehl" w:cs="FrankRuehl"/>
          <w:rtl/>
        </w:rPr>
      </w:pPr>
      <w:r w:rsidRPr="0057595E">
        <w:rPr>
          <w:rFonts w:ascii="FrankRuehl" w:hAnsi="FrankRuehl" w:cs="FrankRuehl"/>
          <w:rtl/>
        </w:rPr>
        <w:t xml:space="preserve">חקיקה שאוזכרה: </w:t>
      </w:r>
    </w:p>
    <w:p w14:paraId="7AC2DBD9" w14:textId="77777777" w:rsidR="0057595E" w:rsidRPr="0057595E" w:rsidRDefault="0057595E" w:rsidP="0057595E">
      <w:pPr>
        <w:spacing w:after="120" w:line="240" w:lineRule="exact"/>
        <w:ind w:left="283" w:hanging="283"/>
        <w:jc w:val="both"/>
        <w:rPr>
          <w:rFonts w:ascii="FrankRuehl" w:hAnsi="FrankRuehl" w:cs="FrankRuehl"/>
          <w:rtl/>
        </w:rPr>
      </w:pPr>
      <w:hyperlink r:id="rId6" w:history="1">
        <w:r w:rsidRPr="0057595E">
          <w:rPr>
            <w:rFonts w:ascii="FrankRuehl" w:hAnsi="FrankRuehl" w:cs="FrankRuehl"/>
            <w:color w:val="0000FF"/>
            <w:u w:val="single"/>
            <w:rtl/>
          </w:rPr>
          <w:t>פקודת הסמים המסוכנים [נוסח חדש], תשל"ג-1973</w:t>
        </w:r>
      </w:hyperlink>
    </w:p>
    <w:p w14:paraId="2079049A" w14:textId="77777777" w:rsidR="0057595E" w:rsidRPr="0057595E" w:rsidRDefault="0057595E" w:rsidP="0057595E">
      <w:pPr>
        <w:spacing w:after="120" w:line="240" w:lineRule="exact"/>
        <w:ind w:left="283" w:hanging="283"/>
        <w:jc w:val="both"/>
        <w:rPr>
          <w:rFonts w:ascii="FrankRuehl" w:hAnsi="FrankRuehl" w:cs="FrankRuehl"/>
          <w:rtl/>
        </w:rPr>
      </w:pPr>
    </w:p>
    <w:p w14:paraId="5DB249A8" w14:textId="77777777" w:rsidR="0057595E" w:rsidRPr="0057595E" w:rsidRDefault="0057595E">
      <w:pPr>
        <w:spacing w:line="360" w:lineRule="auto"/>
        <w:rPr>
          <w:rtl/>
        </w:rPr>
      </w:pPr>
      <w:bookmarkStart w:id="4" w:name="LawTable_End"/>
      <w:bookmarkEnd w:id="4"/>
    </w:p>
    <w:p w14:paraId="1BC09756" w14:textId="77777777" w:rsidR="0057595E" w:rsidRPr="0057595E" w:rsidRDefault="0057595E">
      <w:pPr>
        <w:spacing w:line="360" w:lineRule="auto"/>
        <w:rPr>
          <w:b/>
          <w:bCs/>
          <w:rtl/>
        </w:rPr>
      </w:pPr>
    </w:p>
    <w:p w14:paraId="467A87E6" w14:textId="77777777" w:rsidR="00374E20" w:rsidRPr="0057595E" w:rsidRDefault="00374E20">
      <w:pPr>
        <w:spacing w:line="360" w:lineRule="auto"/>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4E20" w14:paraId="0A4DF037" w14:textId="77777777">
        <w:trPr>
          <w:trHeight w:val="355"/>
          <w:jc w:val="center"/>
        </w:trPr>
        <w:tc>
          <w:tcPr>
            <w:tcW w:w="8820" w:type="dxa"/>
            <w:tcBorders>
              <w:top w:val="nil"/>
              <w:left w:val="nil"/>
              <w:bottom w:val="nil"/>
              <w:right w:val="nil"/>
            </w:tcBorders>
          </w:tcPr>
          <w:p w14:paraId="65BC4B3C" w14:textId="77777777" w:rsidR="0057595E" w:rsidRPr="0057595E" w:rsidRDefault="0057595E" w:rsidP="0057595E">
            <w:pPr>
              <w:spacing w:line="360" w:lineRule="auto"/>
              <w:jc w:val="center"/>
              <w:rPr>
                <w:rFonts w:ascii="Arial" w:hAnsi="Arial"/>
                <w:b/>
                <w:bCs/>
                <w:u w:val="single"/>
                <w:rtl/>
              </w:rPr>
            </w:pPr>
            <w:bookmarkStart w:id="5" w:name="PsakDin" w:colFirst="0" w:colLast="0"/>
            <w:bookmarkEnd w:id="0"/>
            <w:r w:rsidRPr="0057595E">
              <w:rPr>
                <w:rFonts w:ascii="Arial" w:hAnsi="Arial"/>
                <w:b/>
                <w:bCs/>
                <w:u w:val="single"/>
                <w:rtl/>
              </w:rPr>
              <w:t>גזר דין</w:t>
            </w:r>
          </w:p>
          <w:p w14:paraId="039F1DFC" w14:textId="77777777" w:rsidR="00374E20" w:rsidRPr="0057595E" w:rsidRDefault="00374E20" w:rsidP="0057595E">
            <w:pPr>
              <w:spacing w:line="360" w:lineRule="auto"/>
              <w:jc w:val="center"/>
              <w:rPr>
                <w:rFonts w:ascii="Arial" w:hAnsi="Arial"/>
                <w:b/>
                <w:bCs/>
                <w:u w:val="single"/>
                <w:rtl/>
              </w:rPr>
            </w:pPr>
          </w:p>
        </w:tc>
      </w:tr>
      <w:bookmarkEnd w:id="5"/>
    </w:tbl>
    <w:p w14:paraId="6B053323" w14:textId="77777777" w:rsidR="00374E20" w:rsidRDefault="00374E20">
      <w:pPr>
        <w:spacing w:line="360" w:lineRule="auto"/>
        <w:rPr>
          <w:b/>
          <w:bCs/>
          <w:rtl/>
        </w:rPr>
      </w:pPr>
    </w:p>
    <w:p w14:paraId="4187B8A8" w14:textId="77777777" w:rsidR="00374E20" w:rsidRDefault="0057595E">
      <w:pPr>
        <w:spacing w:line="360" w:lineRule="auto"/>
        <w:rPr>
          <w:b/>
          <w:bCs/>
          <w:rtl/>
        </w:rPr>
      </w:pPr>
      <w:bookmarkStart w:id="6" w:name="ABSTRACT_START"/>
      <w:bookmarkEnd w:id="6"/>
      <w:r>
        <w:rPr>
          <w:rFonts w:hint="cs"/>
          <w:b/>
          <w:bCs/>
          <w:rtl/>
        </w:rPr>
        <w:t>על פי הודאתו הורשע הנאשם בשתי עבירות של סחר בסם מסוכן ובעבירה של החזקת סמים לצריכה עצמית.</w:t>
      </w:r>
    </w:p>
    <w:p w14:paraId="0EC3D116" w14:textId="77777777" w:rsidR="00374E20" w:rsidRDefault="00374E20">
      <w:pPr>
        <w:spacing w:line="360" w:lineRule="auto"/>
        <w:rPr>
          <w:b/>
          <w:bCs/>
          <w:rtl/>
        </w:rPr>
      </w:pPr>
      <w:bookmarkStart w:id="7" w:name="ABSTRACT_END"/>
      <w:bookmarkEnd w:id="7"/>
    </w:p>
    <w:p w14:paraId="0938FA7C" w14:textId="77777777" w:rsidR="00374E20" w:rsidRDefault="0057595E">
      <w:pPr>
        <w:spacing w:line="360" w:lineRule="auto"/>
        <w:rPr>
          <w:b/>
          <w:bCs/>
          <w:rtl/>
        </w:rPr>
      </w:pPr>
      <w:r>
        <w:rPr>
          <w:rFonts w:hint="cs"/>
          <w:b/>
          <w:bCs/>
          <w:rtl/>
        </w:rPr>
        <w:lastRenderedPageBreak/>
        <w:t xml:space="preserve">בתאריך 6/12/12 התקשר גלעד שחר אל הנאשם ושאל אותו האם יוכל לצאת מביתו. הוא הגיע אל מתחת ביתו של הנאשם, שם חיכה לו הנאשם, אשר מסר לו סם מסוכן מסוג חשיש במשקל 5.60 גרם נטו ובתמורה לכך שילם לו גלעד 200 ₪. </w:t>
      </w:r>
    </w:p>
    <w:p w14:paraId="69EE1114" w14:textId="77777777" w:rsidR="00374E20" w:rsidRDefault="00374E20">
      <w:pPr>
        <w:spacing w:line="360" w:lineRule="auto"/>
        <w:rPr>
          <w:b/>
          <w:bCs/>
          <w:rtl/>
        </w:rPr>
      </w:pPr>
    </w:p>
    <w:p w14:paraId="6D1228A5" w14:textId="77777777" w:rsidR="00374E20" w:rsidRDefault="0057595E">
      <w:pPr>
        <w:spacing w:line="360" w:lineRule="auto"/>
        <w:rPr>
          <w:b/>
          <w:bCs/>
          <w:rtl/>
        </w:rPr>
      </w:pPr>
      <w:r>
        <w:rPr>
          <w:rFonts w:hint="cs"/>
          <w:b/>
          <w:bCs/>
          <w:rtl/>
        </w:rPr>
        <w:t xml:space="preserve">כחצי שנה עובר למועד זה, לאחר תיאום מוקדם ביניהם, הגיע גלעד לביתו של הנאשם ושם מסר לו הנאשם "אצבע" חשיש במשקל שאינו ידוע. תמורת הסם מסר גלעד לנאשם 200 ₪. </w:t>
      </w:r>
    </w:p>
    <w:p w14:paraId="6CAE2FDC" w14:textId="77777777" w:rsidR="00374E20" w:rsidRDefault="00374E20">
      <w:pPr>
        <w:spacing w:line="360" w:lineRule="auto"/>
        <w:rPr>
          <w:b/>
          <w:bCs/>
          <w:rtl/>
        </w:rPr>
      </w:pPr>
    </w:p>
    <w:p w14:paraId="716EF6BE" w14:textId="77777777" w:rsidR="00374E20" w:rsidRDefault="0057595E">
      <w:pPr>
        <w:spacing w:line="360" w:lineRule="auto"/>
        <w:rPr>
          <w:b/>
          <w:bCs/>
          <w:rtl/>
        </w:rPr>
      </w:pPr>
      <w:r>
        <w:rPr>
          <w:rFonts w:hint="cs"/>
          <w:b/>
          <w:bCs/>
          <w:rtl/>
        </w:rPr>
        <w:t>בתאריך 6/12/12 החזיק הנאשם בביתו סם מסוכן מסוג חשיש במקומות שונים ובכמויות שונות, כשהוא מוסתר ועטוף בעטיפות שונות, כמתואר בכתב האישום ובסה"כ מדובר ב- 7.23 גרם נטו של הסם.</w:t>
      </w:r>
    </w:p>
    <w:p w14:paraId="48FCBF8C" w14:textId="77777777" w:rsidR="00374E20" w:rsidRDefault="00374E20">
      <w:pPr>
        <w:spacing w:line="360" w:lineRule="auto"/>
        <w:rPr>
          <w:b/>
          <w:bCs/>
          <w:rtl/>
        </w:rPr>
      </w:pPr>
    </w:p>
    <w:p w14:paraId="234D46B0" w14:textId="77777777" w:rsidR="00374E20" w:rsidRDefault="0057595E">
      <w:pPr>
        <w:spacing w:line="360" w:lineRule="auto"/>
        <w:rPr>
          <w:b/>
          <w:bCs/>
          <w:rtl/>
        </w:rPr>
      </w:pPr>
      <w:r>
        <w:rPr>
          <w:rFonts w:hint="cs"/>
          <w:b/>
          <w:bCs/>
          <w:rtl/>
        </w:rPr>
        <w:t xml:space="preserve">התביעה הדגישה את הנזק הרב שנגרם לפרט ולחברה מתופעת הפצת הסם, החזקתו והשימוש בו, כמו גם את ההשלכות שיש לתופעה זו על הפשיעה בחברה. </w:t>
      </w:r>
    </w:p>
    <w:p w14:paraId="669D85D5" w14:textId="77777777" w:rsidR="00374E20" w:rsidRDefault="00374E20">
      <w:pPr>
        <w:spacing w:line="360" w:lineRule="auto"/>
        <w:rPr>
          <w:b/>
          <w:bCs/>
          <w:rtl/>
        </w:rPr>
      </w:pPr>
    </w:p>
    <w:p w14:paraId="4424298D" w14:textId="77777777" w:rsidR="00374E20" w:rsidRDefault="0057595E">
      <w:pPr>
        <w:spacing w:line="360" w:lineRule="auto"/>
        <w:rPr>
          <w:b/>
          <w:bCs/>
          <w:rtl/>
        </w:rPr>
      </w:pPr>
      <w:r>
        <w:rPr>
          <w:rFonts w:hint="cs"/>
          <w:b/>
          <w:bCs/>
          <w:rtl/>
        </w:rPr>
        <w:t xml:space="preserve">על כן לטעמה, במעשיו של הנאשם  נפגע הערך המוגן של שלום הציבור במובנו הרחב, כפי שאף קבע בית המשפט העליון לא אחת והציגה לבית המשפט פסיקה לתמוך טיעוניה. התביעה תמכה טיעוניה בפסיקתו של בית המשפט העליון לפיה הגם שסם מסוג חשיש מכונה לא אחת סם "קל", הרי שנזקו רב ואין להקל בו ראש כלל ועיקר. </w:t>
      </w:r>
    </w:p>
    <w:p w14:paraId="3A5AD2A6" w14:textId="77777777" w:rsidR="00374E20" w:rsidRDefault="00374E20">
      <w:pPr>
        <w:spacing w:line="360" w:lineRule="auto"/>
        <w:rPr>
          <w:b/>
          <w:bCs/>
          <w:rtl/>
        </w:rPr>
      </w:pPr>
    </w:p>
    <w:p w14:paraId="49500EA2" w14:textId="77777777" w:rsidR="00374E20" w:rsidRDefault="0057595E">
      <w:pPr>
        <w:spacing w:line="360" w:lineRule="auto"/>
        <w:rPr>
          <w:b/>
          <w:bCs/>
          <w:rtl/>
        </w:rPr>
      </w:pPr>
      <w:r>
        <w:rPr>
          <w:rFonts w:hint="cs"/>
          <w:b/>
          <w:bCs/>
          <w:rtl/>
        </w:rPr>
        <w:t xml:space="preserve">התביעה הדגישה כי בתי המשפט הכריזו מלחמת חורמה על תופעה זו ועל כן קבעו כי דינן של נסיבות אישיות  ושיקולים נוספים לסגת בעבירות מעין אלה מפני האינטרסים הציבוריים שבענישה. </w:t>
      </w:r>
    </w:p>
    <w:p w14:paraId="1F4E3F03" w14:textId="77777777" w:rsidR="00374E20" w:rsidRDefault="00374E20">
      <w:pPr>
        <w:spacing w:line="360" w:lineRule="auto"/>
        <w:rPr>
          <w:b/>
          <w:bCs/>
          <w:rtl/>
        </w:rPr>
      </w:pPr>
    </w:p>
    <w:p w14:paraId="17D4079F" w14:textId="77777777" w:rsidR="00374E20" w:rsidRDefault="0057595E">
      <w:pPr>
        <w:spacing w:line="360" w:lineRule="auto"/>
        <w:rPr>
          <w:b/>
          <w:bCs/>
          <w:rtl/>
        </w:rPr>
      </w:pPr>
      <w:r>
        <w:rPr>
          <w:rFonts w:hint="cs"/>
          <w:b/>
          <w:bCs/>
          <w:rtl/>
        </w:rPr>
        <w:t xml:space="preserve">עוד הדגישה התביעה כי אין המדובר במעשה חד פעמי וכי מדובר בנאשם אשר ביצע את העבירות תמורת בצע כסף. </w:t>
      </w:r>
    </w:p>
    <w:p w14:paraId="3C3514B6" w14:textId="77777777" w:rsidR="00374E20" w:rsidRDefault="00374E20">
      <w:pPr>
        <w:spacing w:line="360" w:lineRule="auto"/>
        <w:rPr>
          <w:b/>
          <w:bCs/>
          <w:rtl/>
        </w:rPr>
      </w:pPr>
    </w:p>
    <w:p w14:paraId="5B685B90" w14:textId="77777777" w:rsidR="00374E20" w:rsidRDefault="00374E20">
      <w:pPr>
        <w:spacing w:line="360" w:lineRule="auto"/>
        <w:rPr>
          <w:b/>
          <w:bCs/>
          <w:rtl/>
        </w:rPr>
      </w:pPr>
    </w:p>
    <w:p w14:paraId="4D8D8E29" w14:textId="77777777" w:rsidR="00374E20" w:rsidRDefault="0057595E">
      <w:pPr>
        <w:spacing w:line="360" w:lineRule="auto"/>
        <w:rPr>
          <w:b/>
          <w:bCs/>
          <w:rtl/>
        </w:rPr>
      </w:pPr>
      <w:r>
        <w:rPr>
          <w:rFonts w:hint="cs"/>
          <w:b/>
          <w:bCs/>
          <w:rtl/>
        </w:rPr>
        <w:t xml:space="preserve">לטעמה של התביעה מתחם העונש הראוי לכל אחת מן העבירות בהן הורשע הנאשם נע בין 6-12 חודשי מאסר בפועל לצד עונש מאסר מותנה, קנס משמעותי, פסילת רישיון נהיגה בפועל ועל תנאי. </w:t>
      </w:r>
    </w:p>
    <w:p w14:paraId="4A93957C" w14:textId="77777777" w:rsidR="00374E20" w:rsidRDefault="00374E20">
      <w:pPr>
        <w:spacing w:line="360" w:lineRule="auto"/>
        <w:rPr>
          <w:b/>
          <w:bCs/>
          <w:rtl/>
        </w:rPr>
      </w:pPr>
    </w:p>
    <w:p w14:paraId="1ADA80AE" w14:textId="77777777" w:rsidR="00374E20" w:rsidRDefault="00374E20">
      <w:pPr>
        <w:spacing w:line="360" w:lineRule="auto"/>
        <w:rPr>
          <w:b/>
          <w:bCs/>
          <w:rtl/>
        </w:rPr>
      </w:pPr>
    </w:p>
    <w:p w14:paraId="4B874364" w14:textId="77777777" w:rsidR="00374E20" w:rsidRDefault="0057595E">
      <w:pPr>
        <w:spacing w:line="360" w:lineRule="auto"/>
        <w:rPr>
          <w:b/>
          <w:bCs/>
          <w:rtl/>
        </w:rPr>
      </w:pPr>
      <w:r>
        <w:rPr>
          <w:rFonts w:hint="cs"/>
          <w:b/>
          <w:bCs/>
          <w:rtl/>
        </w:rPr>
        <w:t xml:space="preserve">התביעה הדגישה מתוך תסקירי המבחן שניתנו בעניינו של הנאשם כי הוא מטשטש את אחריותו למעשים ואת חומרתם של המעשים וכן כי הוא מתקשה בביקורת על מעשיו וכן מתקשה להכיר בהתנהלותו הבעייתית וכי הנאשם אינו בשל להליך טיפולי. </w:t>
      </w:r>
    </w:p>
    <w:p w14:paraId="1F31254D" w14:textId="77777777" w:rsidR="00374E20" w:rsidRDefault="00374E20">
      <w:pPr>
        <w:spacing w:line="360" w:lineRule="auto"/>
        <w:rPr>
          <w:b/>
          <w:bCs/>
          <w:rtl/>
        </w:rPr>
      </w:pPr>
    </w:p>
    <w:p w14:paraId="3B70C9DF" w14:textId="77777777" w:rsidR="00374E20" w:rsidRDefault="0057595E">
      <w:pPr>
        <w:spacing w:line="360" w:lineRule="auto"/>
        <w:rPr>
          <w:b/>
          <w:bCs/>
          <w:rtl/>
        </w:rPr>
      </w:pPr>
      <w:r>
        <w:rPr>
          <w:rFonts w:hint="cs"/>
          <w:b/>
          <w:bCs/>
          <w:rtl/>
        </w:rPr>
        <w:t xml:space="preserve">לטעמה של התביעה אין כל מקום לחרוג בעניינו של הנאשם ממתחם הענישה הראוי שכן הנאשם לא השתקם ואף אין סיכוי שישתקם לאור התנהלותו  וסרובו להשתלב בהליך טיפולי חרף ניסיונות שירות המבחן לשלבו בהליך זה. </w:t>
      </w:r>
    </w:p>
    <w:p w14:paraId="70FD541D" w14:textId="77777777" w:rsidR="00374E20" w:rsidRDefault="00374E20">
      <w:pPr>
        <w:spacing w:line="360" w:lineRule="auto"/>
        <w:rPr>
          <w:b/>
          <w:bCs/>
          <w:rtl/>
        </w:rPr>
      </w:pPr>
    </w:p>
    <w:p w14:paraId="4190D026" w14:textId="77777777" w:rsidR="00374E20" w:rsidRDefault="0057595E">
      <w:pPr>
        <w:spacing w:line="360" w:lineRule="auto"/>
        <w:rPr>
          <w:b/>
          <w:bCs/>
          <w:rtl/>
        </w:rPr>
      </w:pPr>
      <w:r>
        <w:rPr>
          <w:rFonts w:hint="cs"/>
          <w:b/>
          <w:bCs/>
          <w:rtl/>
        </w:rPr>
        <w:t>התביעה עתרה של לקבל את המלצות שירות המבחן ולפיהן יש להטיל על הנאשם עונש מאסר שירוצה בעבודות שירות. היא הדגישה כי שירות המבחן שוקל אך את שיקולי השיקום של הנאשם בעוד על בית המשפט לשקול את מכלול השיקולים .</w:t>
      </w:r>
    </w:p>
    <w:p w14:paraId="6B8E2622" w14:textId="77777777" w:rsidR="00374E20" w:rsidRDefault="00374E20">
      <w:pPr>
        <w:spacing w:line="360" w:lineRule="auto"/>
        <w:rPr>
          <w:b/>
          <w:bCs/>
          <w:rtl/>
        </w:rPr>
      </w:pPr>
    </w:p>
    <w:p w14:paraId="4759C882" w14:textId="77777777" w:rsidR="00374E20" w:rsidRDefault="0057595E">
      <w:pPr>
        <w:spacing w:line="360" w:lineRule="auto"/>
        <w:rPr>
          <w:b/>
          <w:bCs/>
          <w:rtl/>
        </w:rPr>
      </w:pPr>
      <w:r>
        <w:rPr>
          <w:rFonts w:hint="cs"/>
          <w:b/>
          <w:bCs/>
          <w:rtl/>
        </w:rPr>
        <w:t xml:space="preserve">התביעה עתרה להטיל על הנאשם 12 חודשי מאסר לריצוי בפועל, לצד מאסר מותנה, קנס בסך 7000 ₪ ופסילת רישיון נהיגה בפועל ועל תנאי. </w:t>
      </w:r>
    </w:p>
    <w:p w14:paraId="5A6DFB44" w14:textId="77777777" w:rsidR="00374E20" w:rsidRDefault="00374E20">
      <w:pPr>
        <w:spacing w:line="360" w:lineRule="auto"/>
        <w:rPr>
          <w:b/>
          <w:bCs/>
          <w:rtl/>
        </w:rPr>
      </w:pPr>
    </w:p>
    <w:p w14:paraId="484D49F4" w14:textId="77777777" w:rsidR="00374E20" w:rsidRDefault="00374E20">
      <w:pPr>
        <w:spacing w:line="360" w:lineRule="auto"/>
        <w:rPr>
          <w:b/>
          <w:bCs/>
          <w:rtl/>
        </w:rPr>
      </w:pPr>
    </w:p>
    <w:p w14:paraId="581ADED8" w14:textId="77777777" w:rsidR="00374E20" w:rsidRDefault="0057595E">
      <w:pPr>
        <w:spacing w:line="360" w:lineRule="auto"/>
        <w:rPr>
          <w:b/>
          <w:bCs/>
          <w:rtl/>
        </w:rPr>
      </w:pPr>
      <w:r>
        <w:rPr>
          <w:rFonts w:hint="cs"/>
          <w:b/>
          <w:bCs/>
          <w:rtl/>
        </w:rPr>
        <w:t>ב"כ הנאשם הדגיש כי הגם שמדובר בעבירות של סחר בסמים הרי שמדובר בכמויות סם קטנות ביותר ובתמורה כספית קטנה ביותר בשתי ההזדמנויות. עוד הדגיש כי בשתי ההזדמנויות נמכר הסם לאותו אדם וזאת על רקע היכרות מוקדמת בינו לבין הנאשם.</w:t>
      </w:r>
    </w:p>
    <w:p w14:paraId="19E3F012" w14:textId="77777777" w:rsidR="00374E20" w:rsidRDefault="00374E20">
      <w:pPr>
        <w:spacing w:line="360" w:lineRule="auto"/>
        <w:rPr>
          <w:b/>
          <w:bCs/>
          <w:rtl/>
        </w:rPr>
      </w:pPr>
    </w:p>
    <w:p w14:paraId="587D8FB8" w14:textId="77777777" w:rsidR="00374E20" w:rsidRDefault="0057595E">
      <w:pPr>
        <w:spacing w:line="360" w:lineRule="auto"/>
        <w:rPr>
          <w:b/>
          <w:bCs/>
          <w:rtl/>
        </w:rPr>
      </w:pPr>
      <w:r>
        <w:rPr>
          <w:rFonts w:hint="cs"/>
          <w:b/>
          <w:bCs/>
          <w:rtl/>
        </w:rPr>
        <w:t xml:space="preserve">עוד הדגיש ב"כ הנאשם כי הנאשם שוחרר בתנאים וחזר למקום עבודתו הקודם וכי הוא נעדר עבר פלילי מסוג כלשהו ואף מאז הסתבכותו זו לא הסתבך בדבר. </w:t>
      </w:r>
    </w:p>
    <w:p w14:paraId="63FF73FD" w14:textId="77777777" w:rsidR="00374E20" w:rsidRDefault="0057595E">
      <w:pPr>
        <w:spacing w:line="360" w:lineRule="auto"/>
        <w:rPr>
          <w:b/>
          <w:bCs/>
          <w:rtl/>
        </w:rPr>
      </w:pPr>
      <w:r>
        <w:rPr>
          <w:rFonts w:hint="cs"/>
          <w:b/>
          <w:bCs/>
          <w:rtl/>
        </w:rPr>
        <w:t xml:space="preserve">לטעמו של ב"כ הנאשם הרי שעניינו של הנאשם מצוי ברף הנמוך של עבירות מעין אלה. </w:t>
      </w:r>
    </w:p>
    <w:p w14:paraId="5A118B33" w14:textId="77777777" w:rsidR="00374E20" w:rsidRDefault="00374E20">
      <w:pPr>
        <w:spacing w:line="360" w:lineRule="auto"/>
        <w:rPr>
          <w:b/>
          <w:bCs/>
          <w:rtl/>
        </w:rPr>
      </w:pPr>
    </w:p>
    <w:p w14:paraId="6E15F8A5" w14:textId="77777777" w:rsidR="00374E20" w:rsidRDefault="0057595E">
      <w:pPr>
        <w:spacing w:line="360" w:lineRule="auto"/>
        <w:rPr>
          <w:b/>
          <w:bCs/>
          <w:rtl/>
        </w:rPr>
      </w:pPr>
      <w:r>
        <w:rPr>
          <w:rFonts w:hint="cs"/>
          <w:b/>
          <w:bCs/>
          <w:rtl/>
        </w:rPr>
        <w:t xml:space="preserve">עוד הדגיש ב"כ הנאשם את רקעו של הנאשם המגיע ממשפחה נורמטיבית , את עבודתו לאורך השנים, את תרומתו לחברה ולקהילה. את נטילת האחריות שלו ואת האמור בתסקיר שירות המבחן באשר לכך כי ההליך המשפטי היווה עבורו גורם מרתיע וכי אף שירות המבחן ממליץ שלא לשלוח את הנאשם אל מאחורי סורג ובריח. </w:t>
      </w:r>
    </w:p>
    <w:p w14:paraId="5BF0B8F7" w14:textId="77777777" w:rsidR="00374E20" w:rsidRDefault="00374E20">
      <w:pPr>
        <w:spacing w:line="360" w:lineRule="auto"/>
        <w:rPr>
          <w:b/>
          <w:bCs/>
          <w:rtl/>
        </w:rPr>
      </w:pPr>
    </w:p>
    <w:p w14:paraId="3CF4D2A4" w14:textId="77777777" w:rsidR="00374E20" w:rsidRDefault="0057595E">
      <w:pPr>
        <w:spacing w:line="360" w:lineRule="auto"/>
        <w:rPr>
          <w:b/>
          <w:bCs/>
          <w:rtl/>
        </w:rPr>
      </w:pPr>
      <w:r>
        <w:rPr>
          <w:rFonts w:hint="cs"/>
          <w:b/>
          <w:bCs/>
          <w:rtl/>
        </w:rPr>
        <w:t xml:space="preserve">ב"כ הנאשם הציג תוצאות בדיקות שמסר הנאשם לגילוי שרידי סמים ונמצא כי הנאשם נקי מאז העבירות מסמים. הוא תאר את נסיבות הפסקת הטיפול על ידי הנאשם בשל מחלה ממנה סבל הנאשם ואת רצונו העז להמשיך ולשתף פעולה עם ההליך הטיפולי חרף מחלתו. </w:t>
      </w:r>
    </w:p>
    <w:p w14:paraId="1741C189" w14:textId="77777777" w:rsidR="00374E20" w:rsidRDefault="00374E20">
      <w:pPr>
        <w:spacing w:line="360" w:lineRule="auto"/>
        <w:rPr>
          <w:b/>
          <w:bCs/>
          <w:rtl/>
        </w:rPr>
      </w:pPr>
    </w:p>
    <w:p w14:paraId="50AA6415" w14:textId="77777777" w:rsidR="00374E20" w:rsidRDefault="0057595E">
      <w:pPr>
        <w:spacing w:line="360" w:lineRule="auto"/>
        <w:rPr>
          <w:b/>
          <w:bCs/>
          <w:rtl/>
        </w:rPr>
      </w:pPr>
      <w:r>
        <w:rPr>
          <w:rFonts w:hint="cs"/>
          <w:b/>
          <w:bCs/>
          <w:rtl/>
        </w:rPr>
        <w:t xml:space="preserve">לטעמו של ב"כ הנאשם הרי שמתחם הענישה שהציגה המאשימה הוא מופרז ותמך טיעוניו באסופת פסיקה שהציג לבית המשפט. </w:t>
      </w:r>
    </w:p>
    <w:p w14:paraId="33CE6620" w14:textId="77777777" w:rsidR="00374E20" w:rsidRDefault="00374E20">
      <w:pPr>
        <w:spacing w:line="360" w:lineRule="auto"/>
        <w:rPr>
          <w:b/>
          <w:bCs/>
          <w:rtl/>
        </w:rPr>
      </w:pPr>
    </w:p>
    <w:p w14:paraId="1030B411" w14:textId="77777777" w:rsidR="00374E20" w:rsidRDefault="0057595E">
      <w:pPr>
        <w:spacing w:line="360" w:lineRule="auto"/>
        <w:rPr>
          <w:b/>
          <w:bCs/>
          <w:rtl/>
        </w:rPr>
      </w:pPr>
      <w:r>
        <w:rPr>
          <w:rFonts w:hint="cs"/>
          <w:b/>
          <w:bCs/>
          <w:rtl/>
        </w:rPr>
        <w:t xml:space="preserve">ב"כ </w:t>
      </w:r>
      <w:r>
        <w:rPr>
          <w:b/>
          <w:bCs/>
        </w:rPr>
        <w:t xml:space="preserve"> </w:t>
      </w:r>
      <w:r>
        <w:rPr>
          <w:rFonts w:hint="cs"/>
          <w:b/>
          <w:bCs/>
          <w:rtl/>
        </w:rPr>
        <w:t xml:space="preserve">הנאשם ביקש לאמץ את המלצות שירות המבחן. </w:t>
      </w:r>
    </w:p>
    <w:p w14:paraId="3778ACDE" w14:textId="77777777" w:rsidR="00374E20" w:rsidRDefault="00374E20">
      <w:pPr>
        <w:spacing w:line="360" w:lineRule="auto"/>
        <w:rPr>
          <w:b/>
          <w:bCs/>
          <w:rtl/>
        </w:rPr>
      </w:pPr>
    </w:p>
    <w:p w14:paraId="2B8C9F6F" w14:textId="77777777" w:rsidR="00374E20" w:rsidRDefault="0057595E">
      <w:pPr>
        <w:spacing w:line="360" w:lineRule="auto"/>
        <w:rPr>
          <w:b/>
          <w:bCs/>
          <w:rtl/>
        </w:rPr>
      </w:pPr>
      <w:r>
        <w:rPr>
          <w:rFonts w:hint="cs"/>
          <w:b/>
          <w:bCs/>
          <w:rtl/>
        </w:rPr>
        <w:t xml:space="preserve">הוצגו מסמכים רפואיים בעניינו של הנאשם באשר למחלה ממנה סבל בעת היותו בקשר עם שירות המבחן. </w:t>
      </w:r>
    </w:p>
    <w:p w14:paraId="4CCD368C" w14:textId="77777777" w:rsidR="00374E20" w:rsidRDefault="00374E20">
      <w:pPr>
        <w:spacing w:line="360" w:lineRule="auto"/>
        <w:rPr>
          <w:b/>
          <w:bCs/>
          <w:rtl/>
        </w:rPr>
      </w:pPr>
    </w:p>
    <w:p w14:paraId="77B26ECD" w14:textId="77777777" w:rsidR="00374E20" w:rsidRDefault="0057595E">
      <w:pPr>
        <w:spacing w:line="360" w:lineRule="auto"/>
        <w:rPr>
          <w:b/>
          <w:bCs/>
          <w:rtl/>
        </w:rPr>
      </w:pPr>
      <w:r>
        <w:rPr>
          <w:rFonts w:hint="cs"/>
          <w:b/>
          <w:bCs/>
          <w:rtl/>
        </w:rPr>
        <w:t xml:space="preserve">הוצג מסמך מאת הוטרינר העירוני של עירית רחובות באשר לתרומתו של הנאשם בעבודתו בכלביית העירונית . כך גם הוצג מסמך מאת יו"ר עמותת רחובות אוהבת חיות באשר לתרומתו של הנאשם בעבודתו לחיות ולעבודת העמותה. </w:t>
      </w:r>
    </w:p>
    <w:p w14:paraId="1351956D" w14:textId="77777777" w:rsidR="00374E20" w:rsidRDefault="00374E20">
      <w:pPr>
        <w:spacing w:line="360" w:lineRule="auto"/>
        <w:rPr>
          <w:b/>
          <w:bCs/>
          <w:rtl/>
        </w:rPr>
      </w:pPr>
    </w:p>
    <w:p w14:paraId="3BDE4041" w14:textId="77777777" w:rsidR="00374E20" w:rsidRDefault="00374E20">
      <w:pPr>
        <w:spacing w:line="360" w:lineRule="auto"/>
        <w:rPr>
          <w:b/>
          <w:bCs/>
          <w:rtl/>
        </w:rPr>
      </w:pPr>
    </w:p>
    <w:p w14:paraId="5853C64B" w14:textId="77777777" w:rsidR="00374E20" w:rsidRDefault="0057595E">
      <w:pPr>
        <w:spacing w:line="360" w:lineRule="auto"/>
        <w:rPr>
          <w:b/>
          <w:bCs/>
          <w:rtl/>
        </w:rPr>
      </w:pPr>
      <w:r>
        <w:rPr>
          <w:rFonts w:hint="cs"/>
          <w:b/>
          <w:bCs/>
          <w:rtl/>
        </w:rPr>
        <w:t>ארבעה תסקירי שירות מבחן ניתנו בעניינו של הנאשם.</w:t>
      </w:r>
    </w:p>
    <w:p w14:paraId="20EB0C6E" w14:textId="77777777" w:rsidR="00374E20" w:rsidRDefault="00374E20">
      <w:pPr>
        <w:spacing w:line="360" w:lineRule="auto"/>
        <w:rPr>
          <w:b/>
          <w:bCs/>
          <w:rtl/>
        </w:rPr>
      </w:pPr>
    </w:p>
    <w:p w14:paraId="7448A1FD" w14:textId="77777777" w:rsidR="00374E20" w:rsidRDefault="0057595E">
      <w:pPr>
        <w:spacing w:line="360" w:lineRule="auto"/>
        <w:rPr>
          <w:b/>
          <w:bCs/>
          <w:rtl/>
        </w:rPr>
      </w:pPr>
      <w:r>
        <w:rPr>
          <w:rFonts w:hint="cs"/>
          <w:b/>
          <w:bCs/>
          <w:rtl/>
        </w:rPr>
        <w:t>כבר בתסקיר הראשון ציין שירות המבחן כי הנאשם נוטל אחריות על מעשיו, אך מתקשה לבחון בביקורתיות את חומרת מעשיו והשלכותיהם.</w:t>
      </w:r>
    </w:p>
    <w:p w14:paraId="217B526F" w14:textId="77777777" w:rsidR="00374E20" w:rsidRDefault="0057595E">
      <w:pPr>
        <w:spacing w:line="360" w:lineRule="auto"/>
        <w:rPr>
          <w:b/>
          <w:bCs/>
          <w:rtl/>
        </w:rPr>
      </w:pPr>
      <w:r>
        <w:rPr>
          <w:rFonts w:hint="cs"/>
          <w:b/>
          <w:bCs/>
          <w:rtl/>
        </w:rPr>
        <w:t xml:space="preserve">שירות המבחן התרשם כי הנאשם מתקשה ליתן אמון בגורמי טיפול וזאת נוכח אישיותו המופנמת ועל כן שלל נזקקות טיפולית . עם זאת צויין כי ההליך המשפטי היווה גורם מרתיע וגבול ברור להתנהגותו. </w:t>
      </w:r>
    </w:p>
    <w:p w14:paraId="131638FB" w14:textId="77777777" w:rsidR="00374E20" w:rsidRDefault="00374E20">
      <w:pPr>
        <w:spacing w:line="360" w:lineRule="auto"/>
        <w:rPr>
          <w:b/>
          <w:bCs/>
          <w:rtl/>
        </w:rPr>
      </w:pPr>
    </w:p>
    <w:p w14:paraId="5694A1B1" w14:textId="77777777" w:rsidR="00374E20" w:rsidRDefault="0057595E">
      <w:pPr>
        <w:spacing w:line="360" w:lineRule="auto"/>
        <w:rPr>
          <w:b/>
          <w:bCs/>
          <w:rtl/>
        </w:rPr>
      </w:pPr>
      <w:r>
        <w:rPr>
          <w:rFonts w:hint="cs"/>
          <w:b/>
          <w:bCs/>
          <w:rtl/>
        </w:rPr>
        <w:t xml:space="preserve">לאחר מתן אורכה ומשהנאשם הכיר בצורך שלו להעזר בגורמים חיצוניים בפתרון בעיותיו, ציין שירות המבחן כי הנאשם מוכן להפתח בנושאים אלה ולבדוק באופן מעמיק את אופן התנהלותו. </w:t>
      </w:r>
    </w:p>
    <w:p w14:paraId="1F0BD919" w14:textId="77777777" w:rsidR="00374E20" w:rsidRDefault="0057595E">
      <w:pPr>
        <w:spacing w:line="360" w:lineRule="auto"/>
        <w:rPr>
          <w:b/>
          <w:bCs/>
          <w:rtl/>
        </w:rPr>
      </w:pPr>
      <w:r>
        <w:rPr>
          <w:rFonts w:hint="cs"/>
          <w:b/>
          <w:bCs/>
          <w:rtl/>
        </w:rPr>
        <w:t xml:space="preserve">עלה כי הנאשם פנה למרכז "חוסן" על מנת לבדוק השתלבות בטיפול ומסר בדיקות לגילוי סמים שנמצאו נקיות. </w:t>
      </w:r>
    </w:p>
    <w:p w14:paraId="249446BC" w14:textId="77777777" w:rsidR="00374E20" w:rsidRDefault="0057595E">
      <w:pPr>
        <w:spacing w:line="360" w:lineRule="auto"/>
        <w:rPr>
          <w:b/>
          <w:bCs/>
          <w:rtl/>
        </w:rPr>
      </w:pPr>
      <w:r>
        <w:rPr>
          <w:rFonts w:hint="cs"/>
          <w:b/>
          <w:bCs/>
          <w:rtl/>
        </w:rPr>
        <w:t xml:space="preserve">במהלך האורכה הנוספת שניתנה לבדיקת השתלבותו בטיפול עלה כי הנאשם מטשטש את מצבו וזקוק למסגרת טיפולית אינטנסיבית, אולם הוא שלל אפשרות של טיפול במרכז יום, שכן ביקש לשמר את מקום עבודתו בכלביה של עירית רחובות. </w:t>
      </w:r>
    </w:p>
    <w:p w14:paraId="676A6C0B" w14:textId="77777777" w:rsidR="00374E20" w:rsidRDefault="0057595E">
      <w:pPr>
        <w:spacing w:line="360" w:lineRule="auto"/>
        <w:rPr>
          <w:b/>
          <w:bCs/>
          <w:rtl/>
        </w:rPr>
      </w:pPr>
      <w:r>
        <w:rPr>
          <w:rFonts w:hint="cs"/>
          <w:b/>
          <w:bCs/>
          <w:rtl/>
        </w:rPr>
        <w:t xml:space="preserve">במהלך תקופה זו מסר בדיקות שנמצאו נקיות מסמים, למעט אחת בה נמצאו שרידי חומר אותם הסביר בנטילת תרופות משככות כאבים עת היה חולה. </w:t>
      </w:r>
    </w:p>
    <w:p w14:paraId="78BFC25A" w14:textId="77777777" w:rsidR="00374E20" w:rsidRDefault="0057595E">
      <w:pPr>
        <w:spacing w:line="360" w:lineRule="auto"/>
        <w:rPr>
          <w:b/>
          <w:bCs/>
          <w:rtl/>
        </w:rPr>
      </w:pPr>
      <w:r>
        <w:rPr>
          <w:rFonts w:hint="cs"/>
          <w:b/>
          <w:bCs/>
          <w:rtl/>
        </w:rPr>
        <w:t xml:space="preserve">סוכם עם הנאשם על דרך טיפולית אשר תתאים לו ועל המשך בחינת השתלבותו בטיפול. </w:t>
      </w:r>
    </w:p>
    <w:p w14:paraId="6F8FE729" w14:textId="77777777" w:rsidR="00374E20" w:rsidRDefault="00374E20">
      <w:pPr>
        <w:spacing w:line="360" w:lineRule="auto"/>
        <w:rPr>
          <w:b/>
          <w:bCs/>
          <w:rtl/>
        </w:rPr>
      </w:pPr>
    </w:p>
    <w:p w14:paraId="7EA40275" w14:textId="77777777" w:rsidR="00374E20" w:rsidRDefault="0057595E">
      <w:pPr>
        <w:spacing w:line="360" w:lineRule="auto"/>
        <w:rPr>
          <w:b/>
          <w:bCs/>
          <w:rtl/>
        </w:rPr>
      </w:pPr>
      <w:r>
        <w:rPr>
          <w:rFonts w:hint="cs"/>
          <w:b/>
          <w:bCs/>
          <w:rtl/>
        </w:rPr>
        <w:t xml:space="preserve">במהלך תקופה אחרונה זו, וטרם הגשת התסקיר האחרון, כך ציין שירות המבחן, נערכה וועדת הערכה בעניינו של הנאשם וגורמי הטיפול דיווחו כי הוא התקשה להגיע באופן קבוע ורציף לפגישות בשל קשייו להתארגן וכן נוכח מצבו הבריאותי שהלך והחמיר. </w:t>
      </w:r>
    </w:p>
    <w:p w14:paraId="74FF385D" w14:textId="77777777" w:rsidR="00374E20" w:rsidRDefault="0057595E">
      <w:pPr>
        <w:spacing w:line="360" w:lineRule="auto"/>
        <w:rPr>
          <w:b/>
          <w:bCs/>
          <w:rtl/>
        </w:rPr>
      </w:pPr>
      <w:r>
        <w:rPr>
          <w:rFonts w:hint="cs"/>
          <w:b/>
          <w:bCs/>
          <w:rtl/>
        </w:rPr>
        <w:t>שירות המבחן ציין כי לאור כך שהנאשם לא מסר בקביעות בדיקות שתן, הרי לא ניתן להעריך ניקיונו מסמים.</w:t>
      </w:r>
    </w:p>
    <w:p w14:paraId="7E223D58" w14:textId="77777777" w:rsidR="00374E20" w:rsidRDefault="0057595E">
      <w:pPr>
        <w:spacing w:line="360" w:lineRule="auto"/>
        <w:rPr>
          <w:b/>
          <w:bCs/>
          <w:rtl/>
        </w:rPr>
      </w:pPr>
      <w:r>
        <w:rPr>
          <w:rFonts w:hint="cs"/>
          <w:b/>
          <w:bCs/>
          <w:rtl/>
        </w:rPr>
        <w:t xml:space="preserve">חלה ירידה ברמת התובנה של מצבו וניתן היה להתרשם כי הנאשם מתקשה בראייה אובייקטיבית וביקורתית אודות קשייו ומצבו. </w:t>
      </w:r>
    </w:p>
    <w:p w14:paraId="02985906" w14:textId="77777777" w:rsidR="00374E20" w:rsidRDefault="0057595E">
      <w:pPr>
        <w:spacing w:line="360" w:lineRule="auto"/>
        <w:rPr>
          <w:b/>
          <w:bCs/>
          <w:rtl/>
        </w:rPr>
      </w:pPr>
      <w:r>
        <w:rPr>
          <w:rFonts w:hint="cs"/>
          <w:b/>
          <w:bCs/>
          <w:rtl/>
        </w:rPr>
        <w:t>שירות המבחן התרשם כי הנאשם מתקשה לתת אמון בגורמי הטיפול השונים  וכי בשלב זה אינו בשל ואינו פנוי להתגייס להליך טיפולי משמעותי התואם את מצבו.</w:t>
      </w:r>
    </w:p>
    <w:p w14:paraId="299BFEFE" w14:textId="77777777" w:rsidR="00374E20" w:rsidRDefault="0057595E">
      <w:pPr>
        <w:spacing w:line="360" w:lineRule="auto"/>
        <w:rPr>
          <w:b/>
          <w:bCs/>
          <w:rtl/>
        </w:rPr>
      </w:pPr>
      <w:r>
        <w:rPr>
          <w:rFonts w:hint="cs"/>
          <w:b/>
          <w:bCs/>
          <w:rtl/>
        </w:rPr>
        <w:t xml:space="preserve">עלכן, המליץ שירות המבחן לסיים את ההליכים  בעניינו של הנאשם ועם זאת ציין כי ההליכים עצמם מהוויים גורם מרסן ומרתיע ועל כן ענישה דוגמת מאסר בעבודות שירות תסייע לנאשם בהעלאת המודעות של חומרת המעשים ותציב גבול ברור להתנהגותו, על מנת להפחית סיכון ביצוע עבירות דומות בעתיד. </w:t>
      </w:r>
    </w:p>
    <w:p w14:paraId="60921883" w14:textId="77777777" w:rsidR="00374E20" w:rsidRDefault="00374E20">
      <w:pPr>
        <w:spacing w:line="360" w:lineRule="auto"/>
        <w:rPr>
          <w:b/>
          <w:bCs/>
          <w:rtl/>
        </w:rPr>
      </w:pPr>
    </w:p>
    <w:p w14:paraId="5FC339F2" w14:textId="77777777" w:rsidR="00374E20" w:rsidRDefault="0057595E">
      <w:pPr>
        <w:spacing w:line="360" w:lineRule="auto"/>
        <w:rPr>
          <w:b/>
          <w:bCs/>
          <w:rtl/>
        </w:rPr>
      </w:pPr>
      <w:r>
        <w:rPr>
          <w:rFonts w:hint="cs"/>
          <w:b/>
          <w:bCs/>
          <w:rtl/>
        </w:rPr>
        <w:t>ב"כ</w:t>
      </w:r>
      <w:r>
        <w:rPr>
          <w:b/>
          <w:bCs/>
        </w:rPr>
        <w:t xml:space="preserve"> </w:t>
      </w:r>
      <w:r>
        <w:rPr>
          <w:rFonts w:hint="cs"/>
          <w:b/>
          <w:bCs/>
          <w:rtl/>
        </w:rPr>
        <w:t xml:space="preserve">הנאשם טען בטיעוניו לעונש כי הנאשם הקפיד למסור דגימות לגילוי סמים כל העת במרכז חוסן, למעט אותה בדיקה , בשל מחלתו וכי כולן נמצאו נקיות ולאחר הטיעונים לעונש אף חזר וביקש צו לגילוי מסמכי בדיקות אלה על מנת להוכיח טענתו וצרף אף מסמך שהופנה אל שירות המבחן ובו הועלה כי הנאשם אכן ביצע את כל הבדיקות לעיל. </w:t>
      </w:r>
    </w:p>
    <w:p w14:paraId="5F92E961" w14:textId="77777777" w:rsidR="00374E20" w:rsidRDefault="00374E20">
      <w:pPr>
        <w:spacing w:line="360" w:lineRule="auto"/>
        <w:rPr>
          <w:b/>
          <w:bCs/>
          <w:rtl/>
        </w:rPr>
      </w:pPr>
    </w:p>
    <w:p w14:paraId="221020BB" w14:textId="77777777" w:rsidR="00374E20" w:rsidRDefault="00374E20">
      <w:pPr>
        <w:spacing w:line="360" w:lineRule="auto"/>
        <w:rPr>
          <w:b/>
          <w:bCs/>
          <w:rtl/>
        </w:rPr>
      </w:pPr>
    </w:p>
    <w:p w14:paraId="5FC46E63" w14:textId="77777777" w:rsidR="00374E20" w:rsidRDefault="0057595E">
      <w:pPr>
        <w:spacing w:line="360" w:lineRule="auto"/>
        <w:rPr>
          <w:b/>
          <w:bCs/>
          <w:rtl/>
        </w:rPr>
      </w:pPr>
      <w:r>
        <w:rPr>
          <w:rFonts w:hint="cs"/>
          <w:b/>
          <w:bCs/>
          <w:rtl/>
        </w:rPr>
        <w:t xml:space="preserve">עוד הגיש ב"כ הנאשם מסמכים רפואיים שונים המעלים כי אכן במשך תקופה ארוכה למדי סבל הנאשם ממחלת ריאות , קיבל טיפול תרופתי ואף אושרו לו ימי מחלה רבים ורצופים. </w:t>
      </w:r>
    </w:p>
    <w:p w14:paraId="0DCBBE9C" w14:textId="77777777" w:rsidR="00374E20" w:rsidRDefault="00374E20">
      <w:pPr>
        <w:spacing w:line="360" w:lineRule="auto"/>
        <w:rPr>
          <w:b/>
          <w:bCs/>
          <w:rtl/>
        </w:rPr>
      </w:pPr>
    </w:p>
    <w:p w14:paraId="5C5C16B3" w14:textId="77777777" w:rsidR="00374E20" w:rsidRDefault="00374E20">
      <w:pPr>
        <w:spacing w:line="360" w:lineRule="auto"/>
        <w:rPr>
          <w:b/>
          <w:bCs/>
          <w:rtl/>
        </w:rPr>
      </w:pPr>
    </w:p>
    <w:p w14:paraId="53DFBB6D" w14:textId="77777777" w:rsidR="00374E20" w:rsidRDefault="0057595E">
      <w:pPr>
        <w:spacing w:line="360" w:lineRule="auto"/>
        <w:rPr>
          <w:b/>
          <w:bCs/>
          <w:rtl/>
        </w:rPr>
      </w:pPr>
      <w:r>
        <w:rPr>
          <w:rFonts w:hint="cs"/>
          <w:b/>
          <w:bCs/>
          <w:rtl/>
        </w:rPr>
        <w:t xml:space="preserve">בתי המשפט אמרו לא אחת את דברם באשר לעבירות מעין אלה, שכן יש להחמיר בכל חוליה וחוליה של שרשרת החזקת והפצת הסם וברי כי במיוחד אמורים הדברים באשר להפצת הסם והפצת הנגע והנזק בין רבים. </w:t>
      </w:r>
    </w:p>
    <w:p w14:paraId="49261BBD" w14:textId="77777777" w:rsidR="00374E20" w:rsidRDefault="00374E20">
      <w:pPr>
        <w:spacing w:line="360" w:lineRule="auto"/>
        <w:rPr>
          <w:b/>
          <w:bCs/>
          <w:rtl/>
        </w:rPr>
      </w:pPr>
    </w:p>
    <w:p w14:paraId="56030504" w14:textId="77777777" w:rsidR="00374E20" w:rsidRDefault="0057595E">
      <w:pPr>
        <w:spacing w:line="360" w:lineRule="auto"/>
        <w:rPr>
          <w:b/>
          <w:bCs/>
          <w:rtl/>
        </w:rPr>
      </w:pPr>
      <w:r>
        <w:rPr>
          <w:rFonts w:hint="cs"/>
          <w:b/>
          <w:bCs/>
          <w:rtl/>
        </w:rPr>
        <w:t>ישנה נטיה לטעון כי משמדובר בחשיש הרי שמדובר ב"סם קל".</w:t>
      </w:r>
    </w:p>
    <w:p w14:paraId="4CE43EBF" w14:textId="77777777" w:rsidR="00374E20" w:rsidRDefault="0057595E">
      <w:pPr>
        <w:spacing w:line="360" w:lineRule="auto"/>
        <w:rPr>
          <w:b/>
          <w:bCs/>
          <w:rtl/>
        </w:rPr>
      </w:pPr>
      <w:r>
        <w:rPr>
          <w:rFonts w:hint="cs"/>
          <w:b/>
          <w:bCs/>
          <w:rtl/>
        </w:rPr>
        <w:t>אכן ישנם קשים ממנו.</w:t>
      </w:r>
    </w:p>
    <w:p w14:paraId="6B480C7C" w14:textId="77777777" w:rsidR="00374E20" w:rsidRDefault="0057595E">
      <w:pPr>
        <w:spacing w:line="360" w:lineRule="auto"/>
        <w:rPr>
          <w:b/>
          <w:bCs/>
          <w:rtl/>
        </w:rPr>
      </w:pPr>
      <w:r>
        <w:rPr>
          <w:rFonts w:hint="cs"/>
          <w:b/>
          <w:bCs/>
          <w:rtl/>
        </w:rPr>
        <w:t>אך אין סם שהוא אכן סם קל. לכל סם תוצאות והשלכות קשות וכל סם מביא עימו נזק לפרט ולחברה.</w:t>
      </w:r>
    </w:p>
    <w:p w14:paraId="4613EEDA" w14:textId="77777777" w:rsidR="00374E20" w:rsidRDefault="0057595E">
      <w:pPr>
        <w:spacing w:line="360" w:lineRule="auto"/>
        <w:rPr>
          <w:b/>
          <w:bCs/>
          <w:rtl/>
        </w:rPr>
      </w:pPr>
      <w:r>
        <w:rPr>
          <w:rFonts w:hint="cs"/>
          <w:b/>
          <w:bCs/>
          <w:rtl/>
        </w:rPr>
        <w:t xml:space="preserve">אין להקל ראש כלל ועיקר כאשר מדובר בסם מסוג חשיש. </w:t>
      </w:r>
    </w:p>
    <w:p w14:paraId="05BEFA24" w14:textId="77777777" w:rsidR="00374E20" w:rsidRDefault="0057595E">
      <w:pPr>
        <w:spacing w:line="360" w:lineRule="auto"/>
        <w:rPr>
          <w:b/>
          <w:bCs/>
          <w:rtl/>
        </w:rPr>
      </w:pPr>
      <w:r>
        <w:rPr>
          <w:rFonts w:hint="cs"/>
          <w:b/>
          <w:bCs/>
          <w:rtl/>
        </w:rPr>
        <w:t xml:space="preserve">ראה </w:t>
      </w:r>
      <w:hyperlink r:id="rId7" w:history="1">
        <w:r w:rsidRPr="0057595E">
          <w:rPr>
            <w:b/>
            <w:bCs/>
            <w:color w:val="0000FF"/>
            <w:u w:val="single"/>
            <w:rtl/>
          </w:rPr>
          <w:t>ע"פ 2000/06</w:t>
        </w:r>
      </w:hyperlink>
      <w:r>
        <w:rPr>
          <w:rFonts w:hint="cs"/>
          <w:b/>
          <w:bCs/>
          <w:rtl/>
        </w:rPr>
        <w:t xml:space="preserve"> מ"י נ. ויצמן.</w:t>
      </w:r>
    </w:p>
    <w:p w14:paraId="0A8EDB7F" w14:textId="77777777" w:rsidR="00374E20" w:rsidRDefault="00374E20">
      <w:pPr>
        <w:spacing w:line="360" w:lineRule="auto"/>
        <w:rPr>
          <w:b/>
          <w:bCs/>
          <w:rtl/>
        </w:rPr>
      </w:pPr>
    </w:p>
    <w:p w14:paraId="25875541" w14:textId="77777777" w:rsidR="00374E20" w:rsidRDefault="0057595E">
      <w:pPr>
        <w:spacing w:line="360" w:lineRule="auto"/>
        <w:rPr>
          <w:b/>
          <w:bCs/>
          <w:rtl/>
        </w:rPr>
      </w:pPr>
      <w:r>
        <w:rPr>
          <w:rFonts w:hint="cs"/>
          <w:b/>
          <w:bCs/>
          <w:rtl/>
        </w:rPr>
        <w:t xml:space="preserve">כך גם קבעו בתי המשפט לא אחת כי האינטרס הציבורי שבענישה הוא האינטרס הגובר באשר לעבירות מעין אלה על כל האינטרסים האחרים, שאף להם יש ליתן משקל, אך כאמור משקל מסויים בלבד, וזאת מתוך החשיבות שיש לתרומת הענישה למיגור תופעה פסולה זו. </w:t>
      </w:r>
    </w:p>
    <w:p w14:paraId="53DE6858" w14:textId="77777777" w:rsidR="00374E20" w:rsidRDefault="0057595E">
      <w:pPr>
        <w:spacing w:line="360" w:lineRule="auto"/>
        <w:rPr>
          <w:b/>
          <w:bCs/>
          <w:rtl/>
        </w:rPr>
      </w:pPr>
      <w:r>
        <w:rPr>
          <w:rFonts w:hint="cs"/>
          <w:b/>
          <w:bCs/>
          <w:rtl/>
        </w:rPr>
        <w:t>ראה: 11469/05 מ"י נ. עייש;</w:t>
      </w:r>
      <w:hyperlink r:id="rId8" w:history="1">
        <w:r w:rsidRPr="0057595E">
          <w:rPr>
            <w:b/>
            <w:bCs/>
            <w:color w:val="0000FF"/>
            <w:u w:val="single"/>
            <w:rtl/>
          </w:rPr>
          <w:t>ע"פ 3820/09</w:t>
        </w:r>
      </w:hyperlink>
      <w:r>
        <w:rPr>
          <w:rFonts w:hint="cs"/>
          <w:b/>
          <w:bCs/>
          <w:rtl/>
        </w:rPr>
        <w:t xml:space="preserve"> מ"י נ. אוחיון, </w:t>
      </w:r>
      <w:hyperlink r:id="rId9" w:history="1">
        <w:r w:rsidRPr="0057595E">
          <w:rPr>
            <w:b/>
            <w:bCs/>
            <w:color w:val="0000FF"/>
            <w:u w:val="single"/>
            <w:rtl/>
          </w:rPr>
          <w:t>ע"פ 211/09</w:t>
        </w:r>
      </w:hyperlink>
      <w:r>
        <w:rPr>
          <w:rFonts w:hint="cs"/>
          <w:b/>
          <w:bCs/>
          <w:rtl/>
        </w:rPr>
        <w:t xml:space="preserve"> אזולאי נ. מ"י. </w:t>
      </w:r>
    </w:p>
    <w:p w14:paraId="1655C79F" w14:textId="77777777" w:rsidR="00374E20" w:rsidRDefault="00374E20">
      <w:pPr>
        <w:spacing w:line="360" w:lineRule="auto"/>
        <w:rPr>
          <w:b/>
          <w:bCs/>
          <w:rtl/>
        </w:rPr>
      </w:pPr>
    </w:p>
    <w:p w14:paraId="73D7D575" w14:textId="77777777" w:rsidR="00374E20" w:rsidRDefault="0057595E">
      <w:pPr>
        <w:spacing w:line="360" w:lineRule="auto"/>
        <w:rPr>
          <w:b/>
          <w:bCs/>
          <w:rtl/>
        </w:rPr>
      </w:pPr>
      <w:r>
        <w:rPr>
          <w:rFonts w:hint="cs"/>
          <w:b/>
          <w:bCs/>
          <w:rtl/>
        </w:rPr>
        <w:t xml:space="preserve">מתחם הענישה הראוי לעבירות אלה בהן הורשע הנאשם נע בין 6-18 חודשי מאסר בפועל. </w:t>
      </w:r>
    </w:p>
    <w:p w14:paraId="3A24DA46" w14:textId="77777777" w:rsidR="00374E20" w:rsidRDefault="00374E20">
      <w:pPr>
        <w:spacing w:line="360" w:lineRule="auto"/>
        <w:rPr>
          <w:b/>
          <w:bCs/>
          <w:rtl/>
        </w:rPr>
      </w:pPr>
    </w:p>
    <w:p w14:paraId="32D67125" w14:textId="77777777" w:rsidR="00374E20" w:rsidRDefault="00374E20">
      <w:pPr>
        <w:spacing w:line="360" w:lineRule="auto"/>
        <w:rPr>
          <w:b/>
          <w:bCs/>
          <w:rtl/>
        </w:rPr>
      </w:pPr>
    </w:p>
    <w:p w14:paraId="67BF5761" w14:textId="77777777" w:rsidR="00374E20" w:rsidRDefault="0057595E">
      <w:pPr>
        <w:spacing w:line="360" w:lineRule="auto"/>
        <w:rPr>
          <w:b/>
          <w:bCs/>
          <w:rtl/>
        </w:rPr>
      </w:pPr>
      <w:r>
        <w:rPr>
          <w:rFonts w:hint="cs"/>
          <w:b/>
          <w:bCs/>
          <w:rtl/>
        </w:rPr>
        <w:t xml:space="preserve">בענייננו מדובר במי שמכר בשתי הזדמנויות שונות סם מסוכן מסוג  חשיש, לאדם עימו היתה לו היכרות מוקדמת ולאחר תיאום מוקדם בין השניים.  </w:t>
      </w:r>
    </w:p>
    <w:p w14:paraId="32881442" w14:textId="77777777" w:rsidR="00374E20" w:rsidRDefault="00374E20">
      <w:pPr>
        <w:spacing w:line="360" w:lineRule="auto"/>
        <w:rPr>
          <w:b/>
          <w:bCs/>
          <w:rtl/>
        </w:rPr>
      </w:pPr>
    </w:p>
    <w:p w14:paraId="297DF0A9" w14:textId="77777777" w:rsidR="00374E20" w:rsidRDefault="0057595E">
      <w:pPr>
        <w:spacing w:line="360" w:lineRule="auto"/>
        <w:rPr>
          <w:b/>
          <w:bCs/>
          <w:rtl/>
        </w:rPr>
      </w:pPr>
      <w:r>
        <w:rPr>
          <w:rFonts w:hint="cs"/>
          <w:b/>
          <w:bCs/>
          <w:rtl/>
        </w:rPr>
        <w:t xml:space="preserve">אין המדובר במעידה חד פעמית, או במעשה ספונטני ובלתי מתוכנן. </w:t>
      </w:r>
    </w:p>
    <w:p w14:paraId="5F863E36" w14:textId="77777777" w:rsidR="00374E20" w:rsidRDefault="00374E20">
      <w:pPr>
        <w:spacing w:line="360" w:lineRule="auto"/>
        <w:rPr>
          <w:b/>
          <w:bCs/>
          <w:rtl/>
        </w:rPr>
      </w:pPr>
    </w:p>
    <w:p w14:paraId="3C0D8E03" w14:textId="77777777" w:rsidR="00374E20" w:rsidRDefault="0057595E">
      <w:pPr>
        <w:spacing w:line="360" w:lineRule="auto"/>
        <w:rPr>
          <w:b/>
          <w:bCs/>
          <w:rtl/>
        </w:rPr>
      </w:pPr>
      <w:r>
        <w:rPr>
          <w:rFonts w:hint="cs"/>
          <w:b/>
          <w:bCs/>
          <w:rtl/>
        </w:rPr>
        <w:t xml:space="preserve">בכל אחת מן ההזדמנויות נמסרה לנאשם תמורת הסם תמורה כספית, ועל כן והגם שמדובר במי שהייתה לו היכרות מוקדמת עימו, לא ניתן לטעון כפי שנטען כי הדברים נעשו שלא על מנת לקבל כסף. </w:t>
      </w:r>
    </w:p>
    <w:p w14:paraId="6F0DCE3F" w14:textId="77777777" w:rsidR="00374E20" w:rsidRDefault="00374E20">
      <w:pPr>
        <w:spacing w:line="360" w:lineRule="auto"/>
        <w:rPr>
          <w:b/>
          <w:bCs/>
          <w:rtl/>
        </w:rPr>
      </w:pPr>
    </w:p>
    <w:p w14:paraId="7FAE39D3" w14:textId="77777777" w:rsidR="00374E20" w:rsidRDefault="0057595E">
      <w:pPr>
        <w:spacing w:line="360" w:lineRule="auto"/>
        <w:rPr>
          <w:b/>
          <w:bCs/>
          <w:rtl/>
        </w:rPr>
      </w:pPr>
      <w:r>
        <w:rPr>
          <w:rFonts w:hint="cs"/>
          <w:b/>
          <w:bCs/>
          <w:rtl/>
        </w:rPr>
        <w:t xml:space="preserve">בנוסף על אלה נמצא אף כי הנאשם מחזיק בסמים בביתו במקומות שונים וכאשר הם עטופים בעטיפות שונות על כל המשתמע מכך. </w:t>
      </w:r>
    </w:p>
    <w:p w14:paraId="59ED4611" w14:textId="77777777" w:rsidR="00374E20" w:rsidRDefault="00374E20">
      <w:pPr>
        <w:spacing w:line="360" w:lineRule="auto"/>
        <w:rPr>
          <w:b/>
          <w:bCs/>
          <w:rtl/>
        </w:rPr>
      </w:pPr>
    </w:p>
    <w:p w14:paraId="7EA5E219" w14:textId="77777777" w:rsidR="00374E20" w:rsidRDefault="0057595E">
      <w:pPr>
        <w:spacing w:line="360" w:lineRule="auto"/>
        <w:rPr>
          <w:b/>
          <w:bCs/>
          <w:rtl/>
        </w:rPr>
      </w:pPr>
      <w:r>
        <w:rPr>
          <w:rFonts w:hint="cs"/>
          <w:b/>
          <w:bCs/>
          <w:rtl/>
        </w:rPr>
        <w:t xml:space="preserve">בכל אלה יש לראות משנה חומרה בעניינו של הנאשם. </w:t>
      </w:r>
    </w:p>
    <w:p w14:paraId="3CDFD6D0" w14:textId="77777777" w:rsidR="00374E20" w:rsidRDefault="00374E20">
      <w:pPr>
        <w:spacing w:line="360" w:lineRule="auto"/>
        <w:rPr>
          <w:b/>
          <w:bCs/>
          <w:rtl/>
        </w:rPr>
      </w:pPr>
    </w:p>
    <w:p w14:paraId="7240BB9B" w14:textId="77777777" w:rsidR="00374E20" w:rsidRDefault="00374E20">
      <w:pPr>
        <w:spacing w:line="360" w:lineRule="auto"/>
        <w:rPr>
          <w:b/>
          <w:bCs/>
          <w:rtl/>
        </w:rPr>
      </w:pPr>
    </w:p>
    <w:p w14:paraId="386A258A" w14:textId="77777777" w:rsidR="00374E20" w:rsidRDefault="0057595E">
      <w:pPr>
        <w:spacing w:line="360" w:lineRule="auto"/>
        <w:rPr>
          <w:b/>
          <w:bCs/>
          <w:rtl/>
        </w:rPr>
      </w:pPr>
      <w:r>
        <w:rPr>
          <w:rFonts w:hint="cs"/>
          <w:b/>
          <w:bCs/>
          <w:rtl/>
        </w:rPr>
        <w:t xml:space="preserve">הנאשם נעדר עבר פלילי ובמהלך השנים תפקד באורח נורמטיבי ועבד לפרנסתו תוך שמעסיקיו ואלה שבאו עימו במגע במקום עבודתו גמרו עליו את ההלל, מבחינת עבודתו ותרומתו למקום העבודה ולקהילה. </w:t>
      </w:r>
    </w:p>
    <w:p w14:paraId="5B2EFF44" w14:textId="77777777" w:rsidR="00374E20" w:rsidRDefault="00374E20">
      <w:pPr>
        <w:spacing w:line="360" w:lineRule="auto"/>
        <w:rPr>
          <w:b/>
          <w:bCs/>
          <w:rtl/>
        </w:rPr>
      </w:pPr>
    </w:p>
    <w:p w14:paraId="3503AF44" w14:textId="77777777" w:rsidR="00374E20" w:rsidRDefault="0057595E">
      <w:pPr>
        <w:spacing w:line="360" w:lineRule="auto"/>
        <w:rPr>
          <w:b/>
          <w:bCs/>
          <w:rtl/>
        </w:rPr>
      </w:pPr>
      <w:r>
        <w:rPr>
          <w:rFonts w:hint="cs"/>
          <w:b/>
          <w:bCs/>
          <w:rtl/>
        </w:rPr>
        <w:t>הנאשם היה תחת פיקוחו של שירות המבחן זמן רב וניתנו לו אורכות שונות וסוף דבר, בין אם הדבר היה תלוי בו ובין אם לאו ונבע בין היתר בשל מחלתו, הוא לא השלים את הטיפול, הגם שהתמיד במסירת בדיקות לגילוי סמים שנמצאו נקיות.</w:t>
      </w:r>
    </w:p>
    <w:p w14:paraId="69679C31" w14:textId="77777777" w:rsidR="00374E20" w:rsidRDefault="00374E20">
      <w:pPr>
        <w:spacing w:line="360" w:lineRule="auto"/>
        <w:rPr>
          <w:b/>
          <w:bCs/>
          <w:rtl/>
        </w:rPr>
      </w:pPr>
    </w:p>
    <w:p w14:paraId="46DFF17F" w14:textId="77777777" w:rsidR="00374E20" w:rsidRDefault="0057595E">
      <w:pPr>
        <w:spacing w:line="360" w:lineRule="auto"/>
        <w:rPr>
          <w:b/>
          <w:bCs/>
          <w:rtl/>
        </w:rPr>
      </w:pPr>
      <w:r>
        <w:rPr>
          <w:rFonts w:hint="cs"/>
          <w:b/>
          <w:bCs/>
          <w:rtl/>
        </w:rPr>
        <w:t xml:space="preserve">גם בלא כל קשר למחלתו מצא שירות המבחן כי הנאשם מטשטש את התנהגותו וקשייו באופן התנהלותו, הגם שנטל אחריות על המעשים ומתקשה בתובנה של הבנת חומרת מעשיו והשלכותיהם. </w:t>
      </w:r>
    </w:p>
    <w:p w14:paraId="18406BFB" w14:textId="77777777" w:rsidR="00374E20" w:rsidRDefault="00374E20">
      <w:pPr>
        <w:spacing w:line="360" w:lineRule="auto"/>
        <w:rPr>
          <w:b/>
          <w:bCs/>
          <w:rtl/>
        </w:rPr>
      </w:pPr>
    </w:p>
    <w:p w14:paraId="7A7B43A9" w14:textId="77777777" w:rsidR="00374E20" w:rsidRDefault="0057595E">
      <w:pPr>
        <w:spacing w:line="360" w:lineRule="auto"/>
        <w:rPr>
          <w:b/>
          <w:bCs/>
          <w:rtl/>
        </w:rPr>
      </w:pPr>
      <w:r>
        <w:rPr>
          <w:rFonts w:hint="cs"/>
          <w:b/>
          <w:bCs/>
          <w:rtl/>
        </w:rPr>
        <w:t>ועם זאת, יש ליתן משקל לכך שהנאשם פנה לעבור הליך שיקומי ואף שיתף עימו פעולה, אך כאמור לעיל יש ליתן לכך משקל מסויים בלבד.</w:t>
      </w:r>
    </w:p>
    <w:p w14:paraId="65DFB589" w14:textId="77777777" w:rsidR="00374E20" w:rsidRDefault="00374E20">
      <w:pPr>
        <w:spacing w:line="360" w:lineRule="auto"/>
        <w:rPr>
          <w:b/>
          <w:bCs/>
          <w:rtl/>
        </w:rPr>
      </w:pPr>
    </w:p>
    <w:p w14:paraId="52442E72" w14:textId="77777777" w:rsidR="00374E20" w:rsidRDefault="0057595E">
      <w:pPr>
        <w:spacing w:line="360" w:lineRule="auto"/>
        <w:rPr>
          <w:b/>
          <w:bCs/>
          <w:rtl/>
        </w:rPr>
      </w:pPr>
      <w:r>
        <w:rPr>
          <w:rFonts w:hint="cs"/>
          <w:b/>
          <w:bCs/>
          <w:rtl/>
        </w:rPr>
        <w:t>ועוד נאמר בעניין זה על ידי בית המשפט העליון באשר להליכי שיקום ובאשר להמלצות שירות המבחן:</w:t>
      </w:r>
    </w:p>
    <w:p w14:paraId="1CB6B7EA" w14:textId="77777777" w:rsidR="00374E20" w:rsidRDefault="00374E20">
      <w:pPr>
        <w:spacing w:line="360" w:lineRule="auto"/>
        <w:rPr>
          <w:b/>
          <w:bCs/>
          <w:rtl/>
        </w:rPr>
      </w:pPr>
    </w:p>
    <w:p w14:paraId="28BA4016" w14:textId="77777777" w:rsidR="00374E20" w:rsidRDefault="0057595E">
      <w:pPr>
        <w:spacing w:line="360" w:lineRule="auto"/>
        <w:rPr>
          <w:b/>
          <w:bCs/>
          <w:rtl/>
        </w:rPr>
      </w:pPr>
      <w:r>
        <w:rPr>
          <w:rFonts w:hint="cs"/>
          <w:b/>
          <w:bCs/>
          <w:rtl/>
        </w:rPr>
        <w:t>"</w:t>
      </w:r>
      <w:r>
        <w:rPr>
          <w:b/>
          <w:bCs/>
          <w:rtl/>
        </w:rPr>
        <w:t>אכן,</w:t>
      </w:r>
      <w:r>
        <w:rPr>
          <w:rFonts w:hint="cs"/>
          <w:b/>
          <w:bCs/>
          <w:rtl/>
        </w:rPr>
        <w:t xml:space="preserve"> </w:t>
      </w:r>
      <w:r>
        <w:rPr>
          <w:b/>
          <w:bCs/>
          <w:rtl/>
        </w:rPr>
        <w:t>כבית המשפט המחוזי, אף אני סבור כי שגה בית משפט השלום כאשר קבע מתחם עונש ההולם</w:t>
      </w:r>
      <w:r>
        <w:rPr>
          <w:rFonts w:hint="cs"/>
          <w:b/>
          <w:bCs/>
          <w:rtl/>
        </w:rPr>
        <w:t xml:space="preserve"> </w:t>
      </w:r>
      <w:r>
        <w:rPr>
          <w:b/>
          <w:bCs/>
          <w:rtl/>
        </w:rPr>
        <w:t>את נסיבות המקרה על-פי תיקון 113, הואיל והמבקש הורשע בדין טרם שתיקון 113 נכנס</w:t>
      </w:r>
      <w:r>
        <w:rPr>
          <w:rFonts w:hint="cs"/>
          <w:b/>
          <w:bCs/>
          <w:rtl/>
        </w:rPr>
        <w:t xml:space="preserve"> </w:t>
      </w:r>
      <w:r>
        <w:rPr>
          <w:b/>
          <w:bCs/>
          <w:rtl/>
        </w:rPr>
        <w:t>לתוקף. עם זאת אעיר, כי בנסיבות המקרה אופיו של התיקון יכול היה להנחות את בית</w:t>
      </w:r>
      <w:r>
        <w:rPr>
          <w:rFonts w:hint="cs"/>
          <w:b/>
          <w:bCs/>
          <w:rtl/>
        </w:rPr>
        <w:t xml:space="preserve"> </w:t>
      </w:r>
      <w:r>
        <w:rPr>
          <w:b/>
          <w:bCs/>
          <w:rtl/>
        </w:rPr>
        <w:t xml:space="preserve">המשפט ואין מניעה לפסוק בהשראתו (ראו והשוו </w:t>
      </w:r>
      <w:hyperlink r:id="rId10" w:history="1">
        <w:r w:rsidRPr="0057595E">
          <w:rPr>
            <w:b/>
            <w:bCs/>
            <w:color w:val="0000FF"/>
            <w:u w:val="single"/>
            <w:rtl/>
          </w:rPr>
          <w:t>ע"פ5263/10</w:t>
        </w:r>
      </w:hyperlink>
      <w:r>
        <w:rPr>
          <w:b/>
          <w:bCs/>
          <w:rtl/>
        </w:rPr>
        <w:t xml:space="preserve"> פלוני נ' מדינת ישראל, פיסקה 42 (31.7.2012); </w:t>
      </w:r>
      <w:hyperlink r:id="rId11" w:history="1">
        <w:r w:rsidRPr="0057595E">
          <w:rPr>
            <w:b/>
            <w:bCs/>
            <w:color w:val="0000FF"/>
            <w:u w:val="single"/>
            <w:rtl/>
          </w:rPr>
          <w:t>ע"פ1523/10</w:t>
        </w:r>
      </w:hyperlink>
      <w:r>
        <w:rPr>
          <w:b/>
          <w:bCs/>
          <w:rtl/>
        </w:rPr>
        <w:t xml:space="preserve"> פלונית נ' מדינת ישראל, פיסקה י"ז (18.4.2012)). כך</w:t>
      </w:r>
      <w:r>
        <w:rPr>
          <w:rFonts w:hint="cs"/>
          <w:b/>
          <w:bCs/>
          <w:rtl/>
        </w:rPr>
        <w:t xml:space="preserve"> </w:t>
      </w:r>
      <w:r>
        <w:rPr>
          <w:b/>
          <w:bCs/>
          <w:rtl/>
        </w:rPr>
        <w:t>או כך, איני רואה מקום להתערב בפסק דינו של בית המשפט המחוזי, שכן העונש שנגזר על</w:t>
      </w:r>
      <w:r>
        <w:rPr>
          <w:rFonts w:hint="cs"/>
          <w:b/>
          <w:bCs/>
          <w:rtl/>
        </w:rPr>
        <w:t xml:space="preserve"> </w:t>
      </w:r>
      <w:r>
        <w:rPr>
          <w:b/>
          <w:bCs/>
          <w:rtl/>
        </w:rPr>
        <w:t>המבקש אינו מלמד על חריגה ניכרת ממדיניות הענישה המקובלת בהתאם להלכה שהוצגה לעיל.</w:t>
      </w:r>
      <w:r>
        <w:rPr>
          <w:rFonts w:hint="cs"/>
          <w:b/>
          <w:bCs/>
          <w:rtl/>
        </w:rPr>
        <w:t xml:space="preserve"> </w:t>
      </w:r>
      <w:r>
        <w:rPr>
          <w:b/>
          <w:bCs/>
          <w:rtl/>
        </w:rPr>
        <w:t>על המבקש נגזר עונש כולל בגין ביצוען של ארבע עבירות סמים שונות, כאשר לא אחת עמד</w:t>
      </w:r>
      <w:r>
        <w:rPr>
          <w:rFonts w:hint="cs"/>
          <w:b/>
          <w:bCs/>
          <w:rtl/>
        </w:rPr>
        <w:t xml:space="preserve"> </w:t>
      </w:r>
      <w:r>
        <w:rPr>
          <w:b/>
          <w:bCs/>
          <w:rtl/>
        </w:rPr>
        <w:t>בית משפט זה על הצורך במדיניות ענישה מחמירה בעבירות מסוג זה, כחלק מהמלחמה בנגע</w:t>
      </w:r>
      <w:r>
        <w:rPr>
          <w:rFonts w:hint="cs"/>
          <w:b/>
          <w:bCs/>
          <w:rtl/>
        </w:rPr>
        <w:t xml:space="preserve"> </w:t>
      </w:r>
      <w:r>
        <w:rPr>
          <w:b/>
          <w:bCs/>
          <w:rtl/>
        </w:rPr>
        <w:t xml:space="preserve">הסמים ובהשפעתו השלילית על החברה (ראו </w:t>
      </w:r>
      <w:hyperlink r:id="rId12" w:history="1">
        <w:r w:rsidRPr="0057595E">
          <w:rPr>
            <w:b/>
            <w:bCs/>
            <w:color w:val="0000FF"/>
            <w:u w:val="single"/>
            <w:rtl/>
          </w:rPr>
          <w:t>ע"פ3578/12</w:t>
        </w:r>
      </w:hyperlink>
      <w:r>
        <w:rPr>
          <w:b/>
          <w:bCs/>
          <w:rtl/>
        </w:rPr>
        <w:t xml:space="preserve"> עזמה נ' מדינת ישראל (17.1.2013)). אף אם כמויות הסמים</w:t>
      </w:r>
      <w:r>
        <w:rPr>
          <w:rFonts w:hint="cs"/>
          <w:b/>
          <w:bCs/>
          <w:rtl/>
        </w:rPr>
        <w:t xml:space="preserve"> </w:t>
      </w:r>
      <w:r>
        <w:rPr>
          <w:b/>
          <w:bCs/>
          <w:rtl/>
        </w:rPr>
        <w:t>נושא העבירות "קטנות" – כטענת המבקש – אין בכך כדי להפחית מחומרתן שלעבירות אלה ומהצורך למגר אותן באמצעות הטלת עונש בעל היבט הרתעתי.</w:t>
      </w:r>
    </w:p>
    <w:p w14:paraId="0C3948B0" w14:textId="77777777" w:rsidR="00374E20" w:rsidRDefault="00374E20">
      <w:pPr>
        <w:spacing w:line="360" w:lineRule="auto"/>
        <w:rPr>
          <w:b/>
          <w:bCs/>
          <w:rtl/>
        </w:rPr>
      </w:pPr>
    </w:p>
    <w:p w14:paraId="0CA6405D" w14:textId="77777777" w:rsidR="00374E20" w:rsidRDefault="0057595E">
      <w:pPr>
        <w:spacing w:line="360" w:lineRule="auto"/>
        <w:rPr>
          <w:b/>
          <w:bCs/>
          <w:rtl/>
        </w:rPr>
      </w:pPr>
      <w:r>
        <w:rPr>
          <w:b/>
          <w:bCs/>
          <w:rtl/>
        </w:rPr>
        <w:t>יתר</w:t>
      </w:r>
      <w:r>
        <w:rPr>
          <w:rFonts w:hint="cs"/>
          <w:b/>
          <w:bCs/>
          <w:rtl/>
        </w:rPr>
        <w:t xml:space="preserve"> </w:t>
      </w:r>
      <w:r>
        <w:rPr>
          <w:b/>
          <w:bCs/>
          <w:rtl/>
        </w:rPr>
        <w:t>על כן, יש לדחות את טענתו של המבקש לפיה היה על הערכאות הקודמות להעמיד את הפן</w:t>
      </w:r>
      <w:r>
        <w:rPr>
          <w:rFonts w:hint="cs"/>
          <w:b/>
          <w:bCs/>
          <w:rtl/>
        </w:rPr>
        <w:t xml:space="preserve"> </w:t>
      </w:r>
      <w:r>
        <w:rPr>
          <w:b/>
          <w:bCs/>
          <w:rtl/>
        </w:rPr>
        <w:t>השיקומי במוקד גזר הדין. מחד גיסא, האינטרס השיקומי בעל ערך חשוב בגזירת העונש.</w:t>
      </w:r>
      <w:r>
        <w:rPr>
          <w:rFonts w:hint="cs"/>
          <w:b/>
          <w:bCs/>
          <w:rtl/>
        </w:rPr>
        <w:t xml:space="preserve"> </w:t>
      </w:r>
      <w:r>
        <w:rPr>
          <w:b/>
          <w:bCs/>
          <w:rtl/>
        </w:rPr>
        <w:t xml:space="preserve">מאידך גיסא, עונשו של אדם חייב לשמש תגובה הולמת למעשים בהם הואשם והורשע (ראו: </w:t>
      </w:r>
      <w:hyperlink r:id="rId13" w:history="1">
        <w:r w:rsidRPr="0057595E">
          <w:rPr>
            <w:b/>
            <w:bCs/>
            <w:color w:val="0000FF"/>
            <w:u w:val="single"/>
            <w:rtl/>
          </w:rPr>
          <w:t>רע"פ6612/09</w:t>
        </w:r>
      </w:hyperlink>
      <w:r>
        <w:rPr>
          <w:b/>
          <w:bCs/>
          <w:rtl/>
        </w:rPr>
        <w:t xml:space="preserve"> אזולאי נ' מדינת ישראל (20.8.2009)). בהקשר זה, אף אם</w:t>
      </w:r>
      <w:r>
        <w:rPr>
          <w:rFonts w:hint="cs"/>
          <w:b/>
          <w:bCs/>
          <w:rtl/>
        </w:rPr>
        <w:t xml:space="preserve"> </w:t>
      </w:r>
      <w:r>
        <w:rPr>
          <w:b/>
          <w:bCs/>
          <w:rtl/>
        </w:rPr>
        <w:t>תסקיר שירות המבחן המליץ שלא להטיל על המבקש עונש מאסר בפועל, מתוך דגש על האינטרס</w:t>
      </w:r>
      <w:r>
        <w:rPr>
          <w:rFonts w:hint="cs"/>
          <w:b/>
          <w:bCs/>
          <w:rtl/>
        </w:rPr>
        <w:t xml:space="preserve"> </w:t>
      </w:r>
      <w:r>
        <w:rPr>
          <w:b/>
          <w:bCs/>
          <w:rtl/>
        </w:rPr>
        <w:t xml:space="preserve">השיקומי, אין לשכוח כי הוא מהווה אך חלק אחד ממארג השיקולים העומדים לנגד עיניו שלבית המשפט בקובעו את הענישה הפלילית הראויה (ראו </w:t>
      </w:r>
      <w:hyperlink r:id="rId14" w:history="1">
        <w:r w:rsidRPr="0057595E">
          <w:rPr>
            <w:b/>
            <w:bCs/>
            <w:color w:val="0000FF"/>
            <w:u w:val="single"/>
            <w:rtl/>
          </w:rPr>
          <w:t>ע"פ405/06</w:t>
        </w:r>
      </w:hyperlink>
      <w:r>
        <w:rPr>
          <w:b/>
          <w:bCs/>
          <w:rtl/>
        </w:rPr>
        <w:t xml:space="preserve"> מדינת ישראל נ' חלייחל (8.5.2006); </w:t>
      </w:r>
      <w:hyperlink r:id="rId15" w:history="1">
        <w:r w:rsidRPr="0057595E">
          <w:rPr>
            <w:b/>
            <w:bCs/>
            <w:color w:val="0000FF"/>
            <w:u w:val="single"/>
            <w:rtl/>
          </w:rPr>
          <w:t>רע"פ4290/08</w:t>
        </w:r>
      </w:hyperlink>
      <w:r>
        <w:rPr>
          <w:b/>
          <w:bCs/>
          <w:rtl/>
        </w:rPr>
        <w:t xml:space="preserve"> מרדכייב נ' מדינת ישראל (29.6.2008)). ודוק: על פי תסקיר</w:t>
      </w:r>
      <w:r>
        <w:rPr>
          <w:rFonts w:hint="cs"/>
          <w:b/>
          <w:bCs/>
          <w:rtl/>
        </w:rPr>
        <w:t xml:space="preserve"> </w:t>
      </w:r>
      <w:r>
        <w:rPr>
          <w:b/>
          <w:bCs/>
          <w:rtl/>
        </w:rPr>
        <w:t>שירות המבחן עצמו, בתחילת הדרך שלל המבקש "צורך טיפולי", אך בהמשך ביטא</w:t>
      </w:r>
      <w:r>
        <w:rPr>
          <w:rFonts w:hint="cs"/>
          <w:b/>
          <w:bCs/>
          <w:rtl/>
        </w:rPr>
        <w:t xml:space="preserve"> </w:t>
      </w:r>
      <w:r>
        <w:rPr>
          <w:b/>
          <w:bCs/>
          <w:rtl/>
        </w:rPr>
        <w:t>נכונות לעבור הליך שכזה. על כל פנים, טוב עשה המבקש כאשר שינה את דעתו ובטוחני כי</w:t>
      </w:r>
      <w:r>
        <w:rPr>
          <w:rFonts w:hint="cs"/>
          <w:b/>
          <w:bCs/>
          <w:rtl/>
        </w:rPr>
        <w:t xml:space="preserve"> </w:t>
      </w:r>
      <w:r>
        <w:rPr>
          <w:b/>
          <w:bCs/>
          <w:rtl/>
        </w:rPr>
        <w:t>תינתן לו הזדמנות לעבור הליך של שיקום במהלך תקופת ריצוי מאסרו.</w:t>
      </w:r>
      <w:r>
        <w:rPr>
          <w:rFonts w:hint="cs"/>
          <w:b/>
          <w:bCs/>
          <w:rtl/>
        </w:rPr>
        <w:t>"</w:t>
      </w:r>
    </w:p>
    <w:p w14:paraId="60FFDAA4" w14:textId="77777777" w:rsidR="00374E20" w:rsidRDefault="0057595E">
      <w:pPr>
        <w:spacing w:line="360" w:lineRule="auto"/>
        <w:rPr>
          <w:b/>
          <w:bCs/>
          <w:rtl/>
        </w:rPr>
      </w:pPr>
      <w:r>
        <w:rPr>
          <w:rFonts w:hint="cs"/>
          <w:b/>
          <w:bCs/>
          <w:rtl/>
        </w:rPr>
        <w:t xml:space="preserve">ראה </w:t>
      </w:r>
      <w:hyperlink r:id="rId16" w:history="1">
        <w:r w:rsidRPr="0057595E">
          <w:rPr>
            <w:b/>
            <w:bCs/>
            <w:color w:val="0000FF"/>
            <w:u w:val="single"/>
            <w:rtl/>
          </w:rPr>
          <w:t>רע"פ 7996-12</w:t>
        </w:r>
      </w:hyperlink>
      <w:r>
        <w:rPr>
          <w:b/>
          <w:bCs/>
          <w:rtl/>
        </w:rPr>
        <w:t xml:space="preserve">  יוסף נ מ</w:t>
      </w:r>
      <w:r>
        <w:rPr>
          <w:rFonts w:hint="cs"/>
          <w:b/>
          <w:bCs/>
          <w:rtl/>
        </w:rPr>
        <w:t>"</w:t>
      </w:r>
      <w:r>
        <w:rPr>
          <w:b/>
          <w:bCs/>
          <w:rtl/>
        </w:rPr>
        <w:t>י</w:t>
      </w:r>
      <w:r>
        <w:rPr>
          <w:rFonts w:hint="cs"/>
          <w:b/>
          <w:bCs/>
          <w:rtl/>
        </w:rPr>
        <w:t>.</w:t>
      </w:r>
      <w:bookmarkStart w:id="8" w:name="_GoBack"/>
      <w:bookmarkEnd w:id="8"/>
    </w:p>
    <w:p w14:paraId="5273C1E2" w14:textId="77777777" w:rsidR="00374E20" w:rsidRDefault="00374E20">
      <w:pPr>
        <w:spacing w:line="360" w:lineRule="auto"/>
        <w:rPr>
          <w:b/>
          <w:bCs/>
          <w:rtl/>
        </w:rPr>
      </w:pPr>
    </w:p>
    <w:p w14:paraId="3DE1E20E" w14:textId="77777777" w:rsidR="00374E20" w:rsidRDefault="0057595E">
      <w:pPr>
        <w:spacing w:line="360" w:lineRule="auto"/>
        <w:rPr>
          <w:b/>
          <w:bCs/>
          <w:rtl/>
        </w:rPr>
      </w:pPr>
      <w:r>
        <w:rPr>
          <w:rFonts w:hint="cs"/>
          <w:b/>
          <w:bCs/>
          <w:rtl/>
        </w:rPr>
        <w:t>גם ב</w:t>
      </w:r>
      <w:hyperlink r:id="rId17" w:history="1">
        <w:r w:rsidRPr="0057595E">
          <w:rPr>
            <w:b/>
            <w:bCs/>
            <w:color w:val="0000FF"/>
            <w:u w:val="single"/>
            <w:rtl/>
          </w:rPr>
          <w:t>רע"פ  3058/07</w:t>
        </w:r>
      </w:hyperlink>
      <w:r>
        <w:rPr>
          <w:rFonts w:hint="cs"/>
          <w:b/>
          <w:bCs/>
          <w:rtl/>
        </w:rPr>
        <w:t xml:space="preserve"> פז נ. מ"י, קבע בית המשפט העליון כי שירות המבחן אינו שוקל את השיקולים שעל בית המשפט לשקול במכלול שיקוליו, דוגמת חומרת העבירה ונפוצותה בציבור, הגנה על שלום הציבור ובטחונו, הרתעת עבריין ועבריינים בכוח וכיו"ב. על השופט לשקול במכלול שיקוליו אף את המלצת שירות המבחן, אך לא כשיקול בלעדי  או מכריע. </w:t>
      </w:r>
    </w:p>
    <w:p w14:paraId="1DA9FC98" w14:textId="77777777" w:rsidR="00374E20" w:rsidRDefault="00374E20">
      <w:pPr>
        <w:spacing w:line="360" w:lineRule="auto"/>
        <w:rPr>
          <w:b/>
          <w:bCs/>
          <w:rtl/>
        </w:rPr>
      </w:pPr>
    </w:p>
    <w:p w14:paraId="1D4C0DF7" w14:textId="77777777" w:rsidR="00374E20" w:rsidRDefault="0057595E">
      <w:pPr>
        <w:spacing w:line="360" w:lineRule="auto"/>
        <w:rPr>
          <w:b/>
          <w:bCs/>
          <w:rtl/>
        </w:rPr>
      </w:pPr>
      <w:r>
        <w:rPr>
          <w:rFonts w:hint="cs"/>
          <w:b/>
          <w:bCs/>
          <w:rtl/>
        </w:rPr>
        <w:t xml:space="preserve">לאחר שיקול מכלול השיקולים אני גוזרת על הנאשם </w:t>
      </w:r>
      <w:r>
        <w:rPr>
          <w:b/>
          <w:bCs/>
          <w:rtl/>
        </w:rPr>
        <w:t>–</w:t>
      </w:r>
      <w:r>
        <w:rPr>
          <w:rFonts w:hint="cs"/>
          <w:b/>
          <w:bCs/>
          <w:rtl/>
        </w:rPr>
        <w:t xml:space="preserve"> </w:t>
      </w:r>
    </w:p>
    <w:p w14:paraId="09C07FCC" w14:textId="77777777" w:rsidR="00374E20" w:rsidRDefault="00374E20">
      <w:pPr>
        <w:spacing w:line="360" w:lineRule="auto"/>
        <w:rPr>
          <w:b/>
          <w:bCs/>
          <w:rtl/>
        </w:rPr>
      </w:pPr>
    </w:p>
    <w:p w14:paraId="38F35807" w14:textId="77777777" w:rsidR="00374E20" w:rsidRDefault="0057595E">
      <w:pPr>
        <w:spacing w:line="360" w:lineRule="auto"/>
        <w:rPr>
          <w:b/>
          <w:bCs/>
          <w:rtl/>
        </w:rPr>
      </w:pPr>
      <w:r>
        <w:rPr>
          <w:rFonts w:hint="cs"/>
          <w:b/>
          <w:bCs/>
          <w:rtl/>
        </w:rPr>
        <w:t>שמונה חודשי מאסר לריצוי בפועל.</w:t>
      </w:r>
    </w:p>
    <w:p w14:paraId="6A84D0BE" w14:textId="77777777" w:rsidR="00374E20" w:rsidRDefault="0057595E">
      <w:pPr>
        <w:spacing w:line="360" w:lineRule="auto"/>
        <w:rPr>
          <w:b/>
          <w:bCs/>
          <w:rtl/>
        </w:rPr>
      </w:pPr>
      <w:r>
        <w:rPr>
          <w:rFonts w:hint="cs"/>
          <w:b/>
          <w:bCs/>
          <w:rtl/>
        </w:rPr>
        <w:t xml:space="preserve">מתקופה זו ינוכו ימי מעצרו </w:t>
      </w:r>
      <w:r>
        <w:rPr>
          <w:b/>
          <w:bCs/>
          <w:rtl/>
        </w:rPr>
        <w:t>–</w:t>
      </w:r>
      <w:r>
        <w:rPr>
          <w:rFonts w:hint="cs"/>
          <w:b/>
          <w:bCs/>
          <w:rtl/>
        </w:rPr>
        <w:t xml:space="preserve"> 06.12.12 עד 11.12.12.</w:t>
      </w:r>
    </w:p>
    <w:p w14:paraId="0448FED1" w14:textId="77777777" w:rsidR="00374E20" w:rsidRDefault="00374E20">
      <w:pPr>
        <w:spacing w:line="360" w:lineRule="auto"/>
        <w:rPr>
          <w:b/>
          <w:bCs/>
          <w:rtl/>
        </w:rPr>
      </w:pPr>
    </w:p>
    <w:p w14:paraId="7F6439B7" w14:textId="77777777" w:rsidR="00374E20" w:rsidRDefault="0057595E">
      <w:pPr>
        <w:spacing w:line="360" w:lineRule="auto"/>
        <w:rPr>
          <w:b/>
          <w:bCs/>
          <w:rtl/>
        </w:rPr>
      </w:pPr>
      <w:r>
        <w:rPr>
          <w:rFonts w:hint="cs"/>
          <w:b/>
          <w:bCs/>
          <w:rtl/>
        </w:rPr>
        <w:t>שמונה חודשי מאסר על תנאי למשך שלוש שנים לבל יעבור עבירה כלשהי על פקודת הסמים שהיא פשע.</w:t>
      </w:r>
    </w:p>
    <w:p w14:paraId="43071E9C" w14:textId="77777777" w:rsidR="00374E20" w:rsidRDefault="0057595E">
      <w:pPr>
        <w:spacing w:line="360" w:lineRule="auto"/>
        <w:rPr>
          <w:b/>
          <w:bCs/>
          <w:rtl/>
        </w:rPr>
      </w:pPr>
      <w:r>
        <w:rPr>
          <w:rFonts w:hint="cs"/>
          <w:b/>
          <w:bCs/>
          <w:rtl/>
        </w:rPr>
        <w:t xml:space="preserve">שישה חודשי מאסר על תנאי למשך שלוש שנים לבל יעבור עבירה כלשהי על פקודת הסמים שהיא עוון. </w:t>
      </w:r>
    </w:p>
    <w:p w14:paraId="032E2DB4" w14:textId="77777777" w:rsidR="00374E20" w:rsidRDefault="00374E20">
      <w:pPr>
        <w:spacing w:line="360" w:lineRule="auto"/>
        <w:rPr>
          <w:b/>
          <w:bCs/>
          <w:rtl/>
        </w:rPr>
      </w:pPr>
    </w:p>
    <w:p w14:paraId="1D9BFC81" w14:textId="77777777" w:rsidR="00374E20" w:rsidRDefault="0057595E">
      <w:pPr>
        <w:spacing w:line="360" w:lineRule="auto"/>
        <w:rPr>
          <w:b/>
          <w:bCs/>
          <w:rtl/>
        </w:rPr>
      </w:pPr>
      <w:r>
        <w:rPr>
          <w:rFonts w:hint="cs"/>
          <w:b/>
          <w:bCs/>
          <w:rtl/>
        </w:rPr>
        <w:t>אני מטילה על הנאשם קנס בסכום של 3,000 ₪, או 30 ימי מאסר תמורתו.</w:t>
      </w:r>
    </w:p>
    <w:p w14:paraId="0432977E" w14:textId="77777777" w:rsidR="00374E20" w:rsidRDefault="0057595E">
      <w:pPr>
        <w:spacing w:line="360" w:lineRule="auto"/>
        <w:rPr>
          <w:b/>
          <w:bCs/>
          <w:rtl/>
        </w:rPr>
      </w:pPr>
      <w:r>
        <w:rPr>
          <w:rFonts w:hint="cs"/>
          <w:b/>
          <w:bCs/>
          <w:rtl/>
        </w:rPr>
        <w:t xml:space="preserve">הקנס ישולם בשישה תשלומים חודשיים שווים ורצופים, שהראשון בהם ביום 1/12/14 והבאים אחריו בכל ראשון לחודש שלאחר מכן. לא ישולם תשלום במועדו, יעמוד כל הקנס לפרעון מיידי. </w:t>
      </w:r>
    </w:p>
    <w:p w14:paraId="23EA70DA" w14:textId="77777777" w:rsidR="00374E20" w:rsidRDefault="00374E20">
      <w:pPr>
        <w:spacing w:line="360" w:lineRule="auto"/>
        <w:rPr>
          <w:b/>
          <w:bCs/>
          <w:rtl/>
        </w:rPr>
      </w:pPr>
    </w:p>
    <w:p w14:paraId="73F817E2" w14:textId="77777777" w:rsidR="00374E20" w:rsidRDefault="0057595E">
      <w:pPr>
        <w:spacing w:line="360" w:lineRule="auto"/>
        <w:rPr>
          <w:b/>
          <w:bCs/>
          <w:rtl/>
        </w:rPr>
      </w:pPr>
      <w:r>
        <w:rPr>
          <w:rFonts w:hint="cs"/>
          <w:b/>
          <w:bCs/>
          <w:rtl/>
        </w:rPr>
        <w:t xml:space="preserve">אני מורה כי הנאשם ייפסל מלקבל ומלהחזיק רישיון נהיגה לתקופה של חמישה חודשים בפועל שמניינה מיום שחרורו של הנאשם ממאסר ולמען הסר ספק יובהר כי תחילת מנין תקופת הפסילה בפועל מיום הפקדת הרישיון. </w:t>
      </w:r>
    </w:p>
    <w:p w14:paraId="0FB93E41" w14:textId="77777777" w:rsidR="00374E20" w:rsidRDefault="00374E20">
      <w:pPr>
        <w:spacing w:line="360" w:lineRule="auto"/>
        <w:rPr>
          <w:b/>
          <w:bCs/>
          <w:rtl/>
        </w:rPr>
      </w:pPr>
    </w:p>
    <w:p w14:paraId="5095EE8C" w14:textId="77777777" w:rsidR="00374E20" w:rsidRDefault="0057595E">
      <w:pPr>
        <w:spacing w:line="360" w:lineRule="auto"/>
        <w:rPr>
          <w:b/>
          <w:bCs/>
          <w:rtl/>
        </w:rPr>
      </w:pPr>
      <w:r>
        <w:rPr>
          <w:rFonts w:hint="cs"/>
          <w:b/>
          <w:bCs/>
          <w:rtl/>
        </w:rPr>
        <w:t xml:space="preserve">כן אני מורה כי הנאשם ייפסל מלקבל ומלהחזיק רישיון נהיגה לתקופה של חמישה חודשים ואלה יהיו על תנאי למשך שלוש שנים, שתחילתן מיום שחרורו ממאסר, לבל יעבור עבירה כלשהי לפי </w:t>
      </w:r>
      <w:hyperlink r:id="rId18" w:history="1">
        <w:r w:rsidRPr="0057595E">
          <w:rPr>
            <w:b/>
            <w:bCs/>
            <w:color w:val="0000FF"/>
            <w:u w:val="single"/>
            <w:rtl/>
          </w:rPr>
          <w:t>פקודת הסמים המסוכנים</w:t>
        </w:r>
      </w:hyperlink>
      <w:r>
        <w:rPr>
          <w:rFonts w:hint="cs"/>
          <w:b/>
          <w:bCs/>
          <w:rtl/>
        </w:rPr>
        <w:t xml:space="preserve">. </w:t>
      </w:r>
    </w:p>
    <w:p w14:paraId="22ED4DC6" w14:textId="77777777" w:rsidR="00374E20" w:rsidRDefault="00374E20">
      <w:pPr>
        <w:spacing w:line="360" w:lineRule="auto"/>
        <w:rPr>
          <w:b/>
          <w:bCs/>
          <w:rtl/>
        </w:rPr>
      </w:pPr>
    </w:p>
    <w:p w14:paraId="04CD6167" w14:textId="77777777" w:rsidR="00374E20" w:rsidRDefault="00374E20">
      <w:pPr>
        <w:spacing w:line="360" w:lineRule="auto"/>
        <w:rPr>
          <w:b/>
          <w:bCs/>
          <w:rtl/>
        </w:rPr>
      </w:pPr>
    </w:p>
    <w:p w14:paraId="561E4FEF" w14:textId="77777777" w:rsidR="00374E20" w:rsidRDefault="0057595E">
      <w:pPr>
        <w:spacing w:line="360" w:lineRule="auto"/>
        <w:rPr>
          <w:b/>
          <w:bCs/>
          <w:rtl/>
        </w:rPr>
      </w:pPr>
      <w:r>
        <w:rPr>
          <w:rFonts w:hint="cs"/>
          <w:b/>
          <w:bCs/>
          <w:rtl/>
        </w:rPr>
        <w:t xml:space="preserve">סמים ומוצגים שנתפסו במהלך החקירה </w:t>
      </w:r>
      <w:r>
        <w:rPr>
          <w:b/>
          <w:bCs/>
          <w:rtl/>
        </w:rPr>
        <w:t>–</w:t>
      </w:r>
      <w:r>
        <w:rPr>
          <w:rFonts w:hint="cs"/>
          <w:b/>
          <w:bCs/>
          <w:rtl/>
        </w:rPr>
        <w:t xml:space="preserve"> יושמדו. </w:t>
      </w:r>
    </w:p>
    <w:p w14:paraId="63ED6168" w14:textId="77777777" w:rsidR="00374E20" w:rsidRDefault="00374E20">
      <w:pPr>
        <w:spacing w:line="360" w:lineRule="auto"/>
        <w:rPr>
          <w:b/>
          <w:bCs/>
          <w:rtl/>
        </w:rPr>
      </w:pPr>
    </w:p>
    <w:p w14:paraId="24BECDF7" w14:textId="77777777" w:rsidR="00374E20" w:rsidRDefault="00374E20">
      <w:pPr>
        <w:spacing w:line="360" w:lineRule="auto"/>
        <w:rPr>
          <w:b/>
          <w:bCs/>
          <w:rtl/>
        </w:rPr>
      </w:pPr>
    </w:p>
    <w:p w14:paraId="46F047E2" w14:textId="77777777" w:rsidR="00374E20" w:rsidRDefault="00374E20">
      <w:pPr>
        <w:spacing w:line="360" w:lineRule="auto"/>
        <w:rPr>
          <w:b/>
          <w:bCs/>
          <w:rtl/>
        </w:rPr>
      </w:pPr>
    </w:p>
    <w:p w14:paraId="0B028A10" w14:textId="77777777" w:rsidR="00374E20" w:rsidRDefault="0057595E">
      <w:pPr>
        <w:spacing w:line="360" w:lineRule="auto"/>
        <w:rPr>
          <w:b/>
          <w:bCs/>
          <w:rtl/>
        </w:rPr>
      </w:pPr>
      <w:r>
        <w:rPr>
          <w:rFonts w:hint="cs"/>
          <w:b/>
          <w:bCs/>
          <w:rtl/>
        </w:rPr>
        <w:t xml:space="preserve">זכות ערעור כחוק. </w:t>
      </w:r>
    </w:p>
    <w:p w14:paraId="7B773CEF" w14:textId="77777777" w:rsidR="00374E20" w:rsidRPr="0057595E" w:rsidRDefault="0057595E">
      <w:pPr>
        <w:spacing w:line="360" w:lineRule="auto"/>
        <w:rPr>
          <w:b/>
          <w:bCs/>
          <w:color w:val="FFFFFF"/>
          <w:sz w:val="2"/>
          <w:szCs w:val="2"/>
          <w:rtl/>
        </w:rPr>
      </w:pPr>
      <w:r w:rsidRPr="0057595E">
        <w:rPr>
          <w:b/>
          <w:bCs/>
          <w:color w:val="FFFFFF"/>
          <w:sz w:val="2"/>
          <w:szCs w:val="2"/>
          <w:rtl/>
        </w:rPr>
        <w:t>5129371</w:t>
      </w:r>
    </w:p>
    <w:p w14:paraId="286994B6" w14:textId="77777777" w:rsidR="00374E20" w:rsidRDefault="0057595E">
      <w:pPr>
        <w:spacing w:line="360" w:lineRule="auto"/>
        <w:rPr>
          <w:b/>
          <w:bCs/>
          <w:rtl/>
        </w:rPr>
      </w:pPr>
      <w:r w:rsidRPr="0057595E">
        <w:rPr>
          <w:rFonts w:ascii="Arial" w:hAnsi="Arial"/>
          <w:b/>
          <w:bCs/>
          <w:color w:val="FFFFFF"/>
          <w:sz w:val="2"/>
          <w:szCs w:val="2"/>
          <w:rtl/>
        </w:rPr>
        <w:t>54678313</w:t>
      </w:r>
      <w:r>
        <w:rPr>
          <w:rFonts w:ascii="Arial" w:hAnsi="Arial"/>
          <w:b/>
          <w:bCs/>
          <w:rtl/>
        </w:rPr>
        <w:t xml:space="preserve">ניתן היום,  ה' חשוון תשע"ה, 29 אוקטובר 2014, במעמד הצדדים. </w:t>
      </w:r>
    </w:p>
    <w:p w14:paraId="757AD591" w14:textId="77777777" w:rsidR="00374E20" w:rsidRDefault="0057595E">
      <w:pPr>
        <w:spacing w:line="360" w:lineRule="auto"/>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04601883" w14:textId="77777777" w:rsidR="00374E20" w:rsidRDefault="00374E20">
      <w:pPr>
        <w:spacing w:line="360" w:lineRule="auto"/>
        <w:jc w:val="center"/>
        <w:rPr>
          <w:rFonts w:ascii="Arial" w:hAnsi="Arial"/>
          <w:b/>
          <w:bCs/>
          <w:rtl/>
        </w:rPr>
      </w:pPr>
    </w:p>
    <w:p w14:paraId="7598FE60" w14:textId="77777777" w:rsidR="00374E20" w:rsidRDefault="00374E20">
      <w:pPr>
        <w:spacing w:line="360" w:lineRule="auto"/>
        <w:rPr>
          <w:b/>
          <w:bCs/>
          <w:rtl/>
        </w:rPr>
      </w:pPr>
    </w:p>
    <w:p w14:paraId="0963B033" w14:textId="77777777" w:rsidR="00374E20" w:rsidRDefault="00374E20">
      <w:pPr>
        <w:pStyle w:val="a3"/>
        <w:spacing w:line="360" w:lineRule="auto"/>
        <w:jc w:val="center"/>
        <w:rPr>
          <w:b/>
          <w:bCs/>
          <w:rtl/>
        </w:rPr>
      </w:pPr>
    </w:p>
    <w:p w14:paraId="506B49CD" w14:textId="77777777" w:rsidR="0057595E" w:rsidRPr="0057595E" w:rsidRDefault="0057595E" w:rsidP="0057595E">
      <w:pPr>
        <w:keepNext/>
        <w:rPr>
          <w:rFonts w:ascii="David" w:hAnsi="David"/>
          <w:color w:val="000000"/>
          <w:sz w:val="22"/>
          <w:szCs w:val="22"/>
          <w:rtl/>
        </w:rPr>
      </w:pPr>
    </w:p>
    <w:p w14:paraId="3EFB1CEF" w14:textId="77777777" w:rsidR="0057595E" w:rsidRPr="0057595E" w:rsidRDefault="0057595E" w:rsidP="0057595E">
      <w:pPr>
        <w:keepNext/>
        <w:rPr>
          <w:rFonts w:ascii="David" w:hAnsi="David"/>
          <w:color w:val="000000"/>
          <w:sz w:val="22"/>
          <w:szCs w:val="22"/>
          <w:rtl/>
        </w:rPr>
      </w:pPr>
      <w:r w:rsidRPr="0057595E">
        <w:rPr>
          <w:rFonts w:ascii="David" w:hAnsi="David"/>
          <w:color w:val="000000"/>
          <w:sz w:val="22"/>
          <w:szCs w:val="22"/>
          <w:rtl/>
        </w:rPr>
        <w:t>עינת רון 54678313</w:t>
      </w:r>
    </w:p>
    <w:p w14:paraId="4291C009" w14:textId="77777777" w:rsidR="0057595E" w:rsidRDefault="0057595E" w:rsidP="0057595E">
      <w:r w:rsidRPr="0057595E">
        <w:rPr>
          <w:color w:val="000000"/>
          <w:rtl/>
        </w:rPr>
        <w:t>נוסח מסמך זה כפוף לשינויי ניסוח ועריכה</w:t>
      </w:r>
    </w:p>
    <w:p w14:paraId="6C80F07C" w14:textId="77777777" w:rsidR="0057595E" w:rsidRDefault="0057595E" w:rsidP="0057595E">
      <w:pPr>
        <w:rPr>
          <w:rtl/>
        </w:rPr>
      </w:pPr>
    </w:p>
    <w:p w14:paraId="2996AF5F" w14:textId="77777777" w:rsidR="0057595E" w:rsidRDefault="0057595E" w:rsidP="0057595E">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14D29FC3" w14:textId="77777777" w:rsidR="00374E20" w:rsidRPr="0057595E" w:rsidRDefault="00374E20" w:rsidP="0057595E">
      <w:pPr>
        <w:jc w:val="center"/>
        <w:rPr>
          <w:color w:val="0000FF"/>
          <w:u w:val="single"/>
        </w:rPr>
      </w:pPr>
    </w:p>
    <w:sectPr w:rsidR="00374E20" w:rsidRPr="0057595E" w:rsidSect="0057595E">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CEE78" w14:textId="77777777" w:rsidR="0005035A" w:rsidRPr="00485AFE" w:rsidRDefault="0005035A">
      <w:pPr>
        <w:rPr>
          <w:rFonts w:cs="Arial"/>
          <w:szCs w:val="20"/>
        </w:rPr>
      </w:pPr>
      <w:r>
        <w:separator/>
      </w:r>
    </w:p>
  </w:endnote>
  <w:endnote w:type="continuationSeparator" w:id="0">
    <w:p w14:paraId="25A892D0" w14:textId="77777777" w:rsidR="0005035A" w:rsidRPr="00485AFE" w:rsidRDefault="0005035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CDD52" w14:textId="77777777" w:rsidR="0057595E" w:rsidRDefault="0057595E" w:rsidP="0057595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CE35B2B" w14:textId="77777777" w:rsidR="00374E20" w:rsidRPr="0057595E" w:rsidRDefault="0057595E" w:rsidP="0057595E">
    <w:pPr>
      <w:pStyle w:val="a4"/>
      <w:pBdr>
        <w:top w:val="single" w:sz="4" w:space="1" w:color="auto"/>
        <w:between w:val="single" w:sz="4" w:space="0" w:color="auto"/>
      </w:pBdr>
      <w:spacing w:after="60"/>
      <w:jc w:val="center"/>
      <w:rPr>
        <w:rFonts w:ascii="FrankRuehl" w:hAnsi="FrankRuehl" w:cs="FrankRuehl"/>
        <w:color w:val="000000"/>
      </w:rPr>
    </w:pPr>
    <w:r w:rsidRPr="005759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053C2" w14:textId="77777777" w:rsidR="0057595E" w:rsidRDefault="0057595E" w:rsidP="0057595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76B9">
      <w:rPr>
        <w:rFonts w:ascii="FrankRuehl" w:hAnsi="FrankRuehl" w:cs="FrankRuehl"/>
        <w:noProof/>
        <w:rtl/>
      </w:rPr>
      <w:t>1</w:t>
    </w:r>
    <w:r>
      <w:rPr>
        <w:rFonts w:ascii="FrankRuehl" w:hAnsi="FrankRuehl" w:cs="FrankRuehl"/>
        <w:rtl/>
      </w:rPr>
      <w:fldChar w:fldCharType="end"/>
    </w:r>
  </w:p>
  <w:p w14:paraId="67BA237F" w14:textId="77777777" w:rsidR="00374E20" w:rsidRPr="0057595E" w:rsidRDefault="0057595E" w:rsidP="0057595E">
    <w:pPr>
      <w:pStyle w:val="a4"/>
      <w:pBdr>
        <w:top w:val="single" w:sz="4" w:space="1" w:color="auto"/>
        <w:between w:val="single" w:sz="4" w:space="0" w:color="auto"/>
      </w:pBdr>
      <w:spacing w:after="60"/>
      <w:jc w:val="center"/>
      <w:rPr>
        <w:rFonts w:ascii="FrankRuehl" w:hAnsi="FrankRuehl" w:cs="FrankRuehl"/>
        <w:color w:val="000000"/>
      </w:rPr>
    </w:pPr>
    <w:r w:rsidRPr="0057595E">
      <w:rPr>
        <w:rFonts w:ascii="FrankRuehl" w:hAnsi="FrankRuehl" w:cs="FrankRuehl"/>
        <w:color w:val="000000"/>
      </w:rPr>
      <w:pict w14:anchorId="2A53FA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40489" w14:textId="77777777" w:rsidR="0005035A" w:rsidRPr="00485AFE" w:rsidRDefault="0005035A">
      <w:pPr>
        <w:rPr>
          <w:rFonts w:cs="Arial"/>
          <w:szCs w:val="20"/>
        </w:rPr>
      </w:pPr>
      <w:r>
        <w:separator/>
      </w:r>
    </w:p>
  </w:footnote>
  <w:footnote w:type="continuationSeparator" w:id="0">
    <w:p w14:paraId="5A4AF7D0" w14:textId="77777777" w:rsidR="0005035A" w:rsidRPr="00485AFE" w:rsidRDefault="0005035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E5AE3" w14:textId="77777777" w:rsidR="0057595E" w:rsidRPr="0057595E" w:rsidRDefault="0057595E" w:rsidP="005759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21616-12-12</w:t>
    </w:r>
    <w:r>
      <w:rPr>
        <w:rFonts w:ascii="David" w:hAnsi="David"/>
        <w:color w:val="000000"/>
        <w:sz w:val="22"/>
        <w:szCs w:val="22"/>
        <w:rtl/>
      </w:rPr>
      <w:tab/>
      <w:t xml:space="preserve"> מדינת ישראל נ' אופיר חגבי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603DA" w14:textId="77777777" w:rsidR="0057595E" w:rsidRPr="0057595E" w:rsidRDefault="0057595E" w:rsidP="005759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21616-12-12</w:t>
    </w:r>
    <w:r>
      <w:rPr>
        <w:rFonts w:ascii="David" w:hAnsi="David"/>
        <w:color w:val="000000"/>
        <w:sz w:val="22"/>
        <w:szCs w:val="22"/>
        <w:rtl/>
      </w:rPr>
      <w:tab/>
      <w:t xml:space="preserve"> מדינת ישראל נ' אופיר חגבי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4E20"/>
    <w:rsid w:val="0005035A"/>
    <w:rsid w:val="00374E20"/>
    <w:rsid w:val="00413B5F"/>
    <w:rsid w:val="0057595E"/>
    <w:rsid w:val="006376B9"/>
    <w:rsid w:val="008607CE"/>
    <w:rsid w:val="008E5C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5371EF"/>
  <w15:chartTrackingRefBased/>
  <w15:docId w15:val="{63F7AA1E-9719-4218-B01C-8EBDD2B4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4E2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74E20"/>
    <w:pPr>
      <w:tabs>
        <w:tab w:val="center" w:pos="4153"/>
        <w:tab w:val="right" w:pos="8306"/>
      </w:tabs>
    </w:pPr>
  </w:style>
  <w:style w:type="paragraph" w:styleId="a4">
    <w:name w:val="footer"/>
    <w:basedOn w:val="a"/>
    <w:rsid w:val="00374E20"/>
    <w:pPr>
      <w:tabs>
        <w:tab w:val="center" w:pos="4153"/>
        <w:tab w:val="right" w:pos="8306"/>
      </w:tabs>
    </w:pPr>
  </w:style>
  <w:style w:type="character" w:styleId="a5">
    <w:name w:val="page number"/>
    <w:basedOn w:val="a0"/>
    <w:rsid w:val="00374E20"/>
  </w:style>
  <w:style w:type="character" w:styleId="Hyperlink">
    <w:name w:val="Hyperlink"/>
    <w:basedOn w:val="a0"/>
    <w:rsid w:val="00575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917767" TargetMode="External"/><Relationship Id="rId13" Type="http://schemas.openxmlformats.org/officeDocument/2006/relationships/hyperlink" Target="http://www.nevo.co.il/case/6074695" TargetMode="External"/><Relationship Id="rId18"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case/5805976" TargetMode="External"/><Relationship Id="rId12" Type="http://schemas.openxmlformats.org/officeDocument/2006/relationships/hyperlink" Target="http://www.nevo.co.il/case/5583835" TargetMode="External"/><Relationship Id="rId17" Type="http://schemas.openxmlformats.org/officeDocument/2006/relationships/hyperlink" Target="http://www.nevo.co.il/case/5873418"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605484"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6243627"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948085" TargetMode="External"/><Relationship Id="rId23" Type="http://schemas.openxmlformats.org/officeDocument/2006/relationships/footer" Target="footer2.xml"/><Relationship Id="rId10" Type="http://schemas.openxmlformats.org/officeDocument/2006/relationships/hyperlink" Target="http://www.nevo.co.il/case/6246216"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case/5698919" TargetMode="External"/><Relationship Id="rId14" Type="http://schemas.openxmlformats.org/officeDocument/2006/relationships/hyperlink" Target="http://www.nevo.co.il/case/5699446"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2061</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12347</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4063358</vt:i4>
      </vt:variant>
      <vt:variant>
        <vt:i4>33</vt:i4>
      </vt:variant>
      <vt:variant>
        <vt:i4>0</vt:i4>
      </vt:variant>
      <vt:variant>
        <vt:i4>5</vt:i4>
      </vt:variant>
      <vt:variant>
        <vt:lpwstr>http://www.nevo.co.il/case/5873418</vt:lpwstr>
      </vt:variant>
      <vt:variant>
        <vt:lpwstr/>
      </vt:variant>
      <vt:variant>
        <vt:i4>3473535</vt:i4>
      </vt:variant>
      <vt:variant>
        <vt:i4>30</vt:i4>
      </vt:variant>
      <vt:variant>
        <vt:i4>0</vt:i4>
      </vt:variant>
      <vt:variant>
        <vt:i4>5</vt:i4>
      </vt:variant>
      <vt:variant>
        <vt:lpwstr>http://www.nevo.co.il/case/5605484</vt:lpwstr>
      </vt:variant>
      <vt:variant>
        <vt:lpwstr/>
      </vt:variant>
      <vt:variant>
        <vt:i4>3407997</vt:i4>
      </vt:variant>
      <vt:variant>
        <vt:i4>27</vt:i4>
      </vt:variant>
      <vt:variant>
        <vt:i4>0</vt:i4>
      </vt:variant>
      <vt:variant>
        <vt:i4>5</vt:i4>
      </vt:variant>
      <vt:variant>
        <vt:lpwstr>http://www.nevo.co.il/case/5948085</vt:lpwstr>
      </vt:variant>
      <vt:variant>
        <vt:lpwstr/>
      </vt:variant>
      <vt:variant>
        <vt:i4>4063359</vt:i4>
      </vt:variant>
      <vt:variant>
        <vt:i4>24</vt:i4>
      </vt:variant>
      <vt:variant>
        <vt:i4>0</vt:i4>
      </vt:variant>
      <vt:variant>
        <vt:i4>5</vt:i4>
      </vt:variant>
      <vt:variant>
        <vt:lpwstr>http://www.nevo.co.il/case/5699446</vt:lpwstr>
      </vt:variant>
      <vt:variant>
        <vt:lpwstr/>
      </vt:variant>
      <vt:variant>
        <vt:i4>3276921</vt:i4>
      </vt:variant>
      <vt:variant>
        <vt:i4>21</vt:i4>
      </vt:variant>
      <vt:variant>
        <vt:i4>0</vt:i4>
      </vt:variant>
      <vt:variant>
        <vt:i4>5</vt:i4>
      </vt:variant>
      <vt:variant>
        <vt:lpwstr>http://www.nevo.co.il/case/6074695</vt:lpwstr>
      </vt:variant>
      <vt:variant>
        <vt:lpwstr/>
      </vt:variant>
      <vt:variant>
        <vt:i4>3145841</vt:i4>
      </vt:variant>
      <vt:variant>
        <vt:i4>18</vt:i4>
      </vt:variant>
      <vt:variant>
        <vt:i4>0</vt:i4>
      </vt:variant>
      <vt:variant>
        <vt:i4>5</vt:i4>
      </vt:variant>
      <vt:variant>
        <vt:lpwstr>http://www.nevo.co.il/case/5583835</vt:lpwstr>
      </vt:variant>
      <vt:variant>
        <vt:lpwstr/>
      </vt:variant>
      <vt:variant>
        <vt:i4>3342455</vt:i4>
      </vt:variant>
      <vt:variant>
        <vt:i4>15</vt:i4>
      </vt:variant>
      <vt:variant>
        <vt:i4>0</vt:i4>
      </vt:variant>
      <vt:variant>
        <vt:i4>5</vt:i4>
      </vt:variant>
      <vt:variant>
        <vt:lpwstr>http://www.nevo.co.il/case/6243627</vt:lpwstr>
      </vt:variant>
      <vt:variant>
        <vt:lpwstr/>
      </vt:variant>
      <vt:variant>
        <vt:i4>3539057</vt:i4>
      </vt:variant>
      <vt:variant>
        <vt:i4>12</vt:i4>
      </vt:variant>
      <vt:variant>
        <vt:i4>0</vt:i4>
      </vt:variant>
      <vt:variant>
        <vt:i4>5</vt:i4>
      </vt:variant>
      <vt:variant>
        <vt:lpwstr>http://www.nevo.co.il/case/6246216</vt:lpwstr>
      </vt:variant>
      <vt:variant>
        <vt:lpwstr/>
      </vt:variant>
      <vt:variant>
        <vt:i4>3932283</vt:i4>
      </vt:variant>
      <vt:variant>
        <vt:i4>9</vt:i4>
      </vt:variant>
      <vt:variant>
        <vt:i4>0</vt:i4>
      </vt:variant>
      <vt:variant>
        <vt:i4>5</vt:i4>
      </vt:variant>
      <vt:variant>
        <vt:lpwstr>http://www.nevo.co.il/case/5698919</vt:lpwstr>
      </vt:variant>
      <vt:variant>
        <vt:lpwstr/>
      </vt:variant>
      <vt:variant>
        <vt:i4>3407996</vt:i4>
      </vt:variant>
      <vt:variant>
        <vt:i4>6</vt:i4>
      </vt:variant>
      <vt:variant>
        <vt:i4>0</vt:i4>
      </vt:variant>
      <vt:variant>
        <vt:i4>5</vt:i4>
      </vt:variant>
      <vt:variant>
        <vt:lpwstr>http://www.nevo.co.il/case/5917767</vt:lpwstr>
      </vt:variant>
      <vt:variant>
        <vt:lpwstr/>
      </vt:variant>
      <vt:variant>
        <vt:i4>3801214</vt:i4>
      </vt:variant>
      <vt:variant>
        <vt:i4>3</vt:i4>
      </vt:variant>
      <vt:variant>
        <vt:i4>0</vt:i4>
      </vt:variant>
      <vt:variant>
        <vt:i4>5</vt:i4>
      </vt:variant>
      <vt:variant>
        <vt:lpwstr>http://www.nevo.co.il/case/5805976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2025-04-22T21:53:00Z</dcterms:created>
  <dcterms:modified xsi:type="dcterms:W3CDTF">2025-04-22T21:53:00Z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21616</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אופיר חגבי</vt:lpwstr>
  </property>
  <property fmtid="{D5CDD505-2E9C-101B-9397-08002B2CF9AE}" pid="10" name="LAWYER">
    <vt:lpwstr>נועה חסיד;ירון פורר</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20141029</vt:lpwstr>
  </property>
  <property fmtid="{D5CDD505-2E9C-101B-9397-08002B2CF9AE}" pid="14" name="TYPE_N_DATE">
    <vt:lpwstr>38020141029</vt:lpwstr>
  </property>
  <property fmtid="{D5CDD505-2E9C-101B-9397-08002B2CF9AE}" pid="15" name="CASESLISTTMP1">
    <vt:lpwstr>5805976;5917767;5698919;6246216;6243627;5583835;6074695;5699446;5948085;5605484;5873418</vt:lpwstr>
  </property>
  <property fmtid="{D5CDD505-2E9C-101B-9397-08002B2CF9AE}" pid="16" name="LAWLISTTMP1">
    <vt:lpwstr>4216</vt:lpwstr>
  </property>
  <property fmtid="{D5CDD505-2E9C-101B-9397-08002B2CF9AE}" pid="17" name="WORDNUMPAGES">
    <vt:lpwstr>8</vt:lpwstr>
  </property>
  <property fmtid="{D5CDD505-2E9C-101B-9397-08002B2CF9AE}" pid="18" name="TYPE_ABS_DATE">
    <vt:lpwstr>380020141029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ies>
</file>