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25B9" w14:textId="77777777" w:rsidR="00636C1D" w:rsidRDefault="00636C1D" w:rsidP="00305436">
      <w:pPr>
        <w:pStyle w:val="a3"/>
        <w:rPr>
          <w:rtl/>
        </w:rPr>
      </w:pPr>
      <w:bookmarkStart w:id="0" w:name="LastJudge"/>
      <w:bookmarkStart w:id="1" w:name="LawTable"/>
      <w:bookmarkEnd w:id="1"/>
    </w:p>
    <w:p w14:paraId="6CC7088A" w14:textId="77777777" w:rsidR="00636C1D" w:rsidRPr="00636C1D" w:rsidRDefault="00636C1D" w:rsidP="00636C1D">
      <w:pPr>
        <w:pStyle w:val="a3"/>
        <w:spacing w:after="120" w:line="240" w:lineRule="exact"/>
        <w:ind w:left="283" w:hanging="283"/>
        <w:jc w:val="both"/>
        <w:rPr>
          <w:rFonts w:ascii="FrankRuehl" w:hAnsi="FrankRuehl" w:cs="FrankRuehl"/>
          <w:rtl/>
        </w:rPr>
      </w:pPr>
    </w:p>
    <w:p w14:paraId="2A9F8A46" w14:textId="77777777" w:rsidR="00636C1D" w:rsidRPr="00636C1D" w:rsidRDefault="00636C1D" w:rsidP="00636C1D">
      <w:pPr>
        <w:pStyle w:val="a3"/>
        <w:spacing w:after="120" w:line="240" w:lineRule="exact"/>
        <w:ind w:left="283" w:hanging="283"/>
        <w:jc w:val="both"/>
        <w:rPr>
          <w:rFonts w:ascii="FrankRuehl" w:hAnsi="FrankRuehl" w:cs="FrankRuehl"/>
          <w:rtl/>
        </w:rPr>
      </w:pPr>
    </w:p>
    <w:p w14:paraId="458867E3" w14:textId="77777777" w:rsidR="00BD2A7F" w:rsidRPr="00305436" w:rsidRDefault="00BD2A7F">
      <w:pPr>
        <w:pStyle w:val="a3"/>
        <w:jc w:val="center"/>
        <w:rPr>
          <w:rFonts w:cs="FrankRuehl"/>
          <w:sz w:val="28"/>
          <w:szCs w:val="28"/>
          <w:rtl/>
        </w:rPr>
      </w:pPr>
      <w:bookmarkStart w:id="2" w:name="LawTable_End"/>
      <w:bookmarkEnd w:id="2"/>
    </w:p>
    <w:tbl>
      <w:tblPr>
        <w:bidiVisual/>
        <w:tblW w:w="0" w:type="auto"/>
        <w:jc w:val="center"/>
        <w:tblLook w:val="0000" w:firstRow="0" w:lastRow="0" w:firstColumn="0" w:lastColumn="0" w:noHBand="0" w:noVBand="0"/>
      </w:tblPr>
      <w:tblGrid>
        <w:gridCol w:w="5054"/>
        <w:gridCol w:w="3667"/>
      </w:tblGrid>
      <w:tr w:rsidR="00BD2A7F" w:rsidRPr="00305436" w14:paraId="132EBE6B" w14:textId="77777777">
        <w:trPr>
          <w:trHeight w:hRule="exact" w:val="418"/>
          <w:jc w:val="center"/>
        </w:trPr>
        <w:tc>
          <w:tcPr>
            <w:tcW w:w="8861" w:type="dxa"/>
            <w:gridSpan w:val="2"/>
          </w:tcPr>
          <w:p w14:paraId="1D063BBF" w14:textId="77777777" w:rsidR="00BD2A7F" w:rsidRPr="00305436" w:rsidRDefault="00305436">
            <w:pPr>
              <w:pStyle w:val="a3"/>
              <w:jc w:val="center"/>
              <w:rPr>
                <w:rFonts w:ascii="Tahoma" w:hAnsi="Tahoma" w:cs="Tahoma"/>
                <w:color w:val="000080"/>
                <w:rtl/>
              </w:rPr>
            </w:pPr>
            <w:r w:rsidRPr="00305436">
              <w:rPr>
                <w:rFonts w:ascii="Tahoma" w:hAnsi="Tahoma" w:cs="Tahoma"/>
                <w:b/>
                <w:bCs/>
                <w:color w:val="000080"/>
                <w:rtl/>
              </w:rPr>
              <w:t>בית משפט השלום בכפר סבא</w:t>
            </w:r>
          </w:p>
        </w:tc>
      </w:tr>
      <w:tr w:rsidR="00BD2A7F" w:rsidRPr="00305436" w14:paraId="4AB9E327" w14:textId="77777777">
        <w:trPr>
          <w:trHeight w:val="337"/>
          <w:jc w:val="center"/>
        </w:trPr>
        <w:tc>
          <w:tcPr>
            <w:tcW w:w="5131" w:type="dxa"/>
          </w:tcPr>
          <w:p w14:paraId="034BD2E9" w14:textId="77777777" w:rsidR="00BD2A7F" w:rsidRPr="00305436" w:rsidRDefault="00305436">
            <w:pPr>
              <w:rPr>
                <w:rFonts w:cs="FrankRuehl"/>
                <w:sz w:val="28"/>
                <w:szCs w:val="28"/>
                <w:rtl/>
              </w:rPr>
            </w:pPr>
            <w:r w:rsidRPr="00305436">
              <w:rPr>
                <w:rFonts w:cs="FrankRuehl"/>
                <w:sz w:val="28"/>
                <w:szCs w:val="28"/>
                <w:rtl/>
              </w:rPr>
              <w:t>ת"פ</w:t>
            </w:r>
            <w:r w:rsidRPr="00305436">
              <w:rPr>
                <w:rFonts w:cs="FrankRuehl" w:hint="cs"/>
                <w:sz w:val="28"/>
                <w:szCs w:val="28"/>
                <w:rtl/>
              </w:rPr>
              <w:t xml:space="preserve"> </w:t>
            </w:r>
            <w:r w:rsidRPr="00305436">
              <w:rPr>
                <w:rFonts w:cs="FrankRuehl"/>
                <w:sz w:val="28"/>
                <w:szCs w:val="28"/>
                <w:rtl/>
              </w:rPr>
              <w:t>60394-12-12</w:t>
            </w:r>
            <w:r w:rsidRPr="00305436">
              <w:rPr>
                <w:rFonts w:cs="FrankRuehl" w:hint="cs"/>
                <w:sz w:val="28"/>
                <w:szCs w:val="28"/>
                <w:rtl/>
              </w:rPr>
              <w:t xml:space="preserve"> </w:t>
            </w:r>
            <w:r w:rsidRPr="00305436">
              <w:rPr>
                <w:rFonts w:cs="FrankRuehl"/>
                <w:sz w:val="28"/>
                <w:szCs w:val="28"/>
                <w:rtl/>
              </w:rPr>
              <w:t>מדינת ישראל נ' אזולאי</w:t>
            </w:r>
          </w:p>
          <w:p w14:paraId="0EE6E56D" w14:textId="77777777" w:rsidR="00BD2A7F" w:rsidRPr="00305436" w:rsidRDefault="00BD2A7F">
            <w:pPr>
              <w:pStyle w:val="a3"/>
              <w:rPr>
                <w:rFonts w:cs="FrankRuehl"/>
                <w:sz w:val="28"/>
                <w:szCs w:val="28"/>
                <w:rtl/>
              </w:rPr>
            </w:pPr>
          </w:p>
        </w:tc>
        <w:tc>
          <w:tcPr>
            <w:tcW w:w="3730" w:type="dxa"/>
          </w:tcPr>
          <w:p w14:paraId="4AFC4397" w14:textId="77777777" w:rsidR="00BD2A7F" w:rsidRPr="00305436" w:rsidRDefault="00BD2A7F">
            <w:pPr>
              <w:pStyle w:val="a3"/>
              <w:jc w:val="right"/>
              <w:rPr>
                <w:rFonts w:cs="FrankRuehl"/>
                <w:sz w:val="28"/>
                <w:szCs w:val="28"/>
                <w:rtl/>
              </w:rPr>
            </w:pPr>
          </w:p>
        </w:tc>
      </w:tr>
    </w:tbl>
    <w:p w14:paraId="584C2D34" w14:textId="77777777" w:rsidR="00BD2A7F" w:rsidRPr="00305436" w:rsidRDefault="00305436">
      <w:pPr>
        <w:pStyle w:val="a3"/>
        <w:rPr>
          <w:rtl/>
        </w:rPr>
      </w:pPr>
      <w:r w:rsidRPr="00305436">
        <w:rPr>
          <w:rFonts w:hint="cs"/>
          <w:rtl/>
        </w:rPr>
        <w:t xml:space="preserve"> </w:t>
      </w:r>
    </w:p>
    <w:p w14:paraId="7D6EFC27" w14:textId="77777777" w:rsidR="00BD2A7F" w:rsidRPr="00305436" w:rsidRDefault="00BD2A7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1559"/>
        <w:gridCol w:w="4820"/>
      </w:tblGrid>
      <w:tr w:rsidR="00BD2A7F" w:rsidRPr="00305436" w14:paraId="0275024C" w14:textId="77777777">
        <w:trPr>
          <w:trHeight w:val="295"/>
          <w:jc w:val="center"/>
        </w:trPr>
        <w:tc>
          <w:tcPr>
            <w:tcW w:w="2441" w:type="dxa"/>
            <w:tcBorders>
              <w:top w:val="nil"/>
              <w:left w:val="nil"/>
              <w:bottom w:val="nil"/>
              <w:right w:val="nil"/>
            </w:tcBorders>
            <w:shd w:val="clear" w:color="auto" w:fill="auto"/>
          </w:tcPr>
          <w:p w14:paraId="25CC6353" w14:textId="77777777" w:rsidR="00BD2A7F" w:rsidRPr="00305436" w:rsidRDefault="00305436">
            <w:pPr>
              <w:jc w:val="both"/>
              <w:rPr>
                <w:rFonts w:ascii="Arial" w:hAnsi="Arial"/>
                <w:b/>
                <w:bCs/>
              </w:rPr>
            </w:pPr>
            <w:r w:rsidRPr="00305436">
              <w:rPr>
                <w:rFonts w:ascii="Arial" w:hAnsi="Arial" w:hint="cs"/>
                <w:b/>
                <w:bCs/>
                <w:rtl/>
              </w:rPr>
              <w:t>ב</w:t>
            </w:r>
            <w:r w:rsidRPr="00305436">
              <w:rPr>
                <w:rFonts w:ascii="Arial" w:hAnsi="Arial"/>
                <w:b/>
                <w:bCs/>
                <w:rtl/>
              </w:rPr>
              <w:t xml:space="preserve">פני </w:t>
            </w:r>
          </w:p>
        </w:tc>
        <w:tc>
          <w:tcPr>
            <w:tcW w:w="6379" w:type="dxa"/>
            <w:gridSpan w:val="2"/>
            <w:tcBorders>
              <w:top w:val="nil"/>
              <w:left w:val="nil"/>
              <w:bottom w:val="nil"/>
              <w:right w:val="nil"/>
            </w:tcBorders>
            <w:shd w:val="clear" w:color="auto" w:fill="auto"/>
          </w:tcPr>
          <w:p w14:paraId="2D0B2412" w14:textId="77777777" w:rsidR="00BD2A7F" w:rsidRPr="00305436" w:rsidRDefault="00305436">
            <w:pPr>
              <w:rPr>
                <w:rFonts w:ascii="Arial" w:hAnsi="Arial"/>
                <w:b/>
                <w:bCs/>
                <w:rtl/>
              </w:rPr>
            </w:pPr>
            <w:r w:rsidRPr="00305436">
              <w:rPr>
                <w:rFonts w:ascii="Arial" w:hAnsi="Arial" w:hint="cs"/>
                <w:b/>
                <w:bCs/>
                <w:rtl/>
              </w:rPr>
              <w:t>כבוד ה</w:t>
            </w:r>
            <w:r w:rsidRPr="00305436">
              <w:rPr>
                <w:rFonts w:hint="cs"/>
                <w:b/>
                <w:bCs/>
                <w:rtl/>
              </w:rPr>
              <w:t>שופטת</w:t>
            </w:r>
            <w:r w:rsidRPr="00305436">
              <w:rPr>
                <w:rFonts w:ascii="Arial" w:hAnsi="Arial" w:hint="cs"/>
                <w:b/>
                <w:bCs/>
                <w:rtl/>
              </w:rPr>
              <w:t xml:space="preserve">  </w:t>
            </w:r>
            <w:r w:rsidRPr="00305436">
              <w:rPr>
                <w:rFonts w:hint="cs"/>
                <w:b/>
                <w:bCs/>
                <w:rtl/>
              </w:rPr>
              <w:t>מרב גרינברג</w:t>
            </w:r>
          </w:p>
          <w:p w14:paraId="1F7393DE" w14:textId="77777777" w:rsidR="00BD2A7F" w:rsidRPr="00305436" w:rsidRDefault="00BD2A7F">
            <w:pPr>
              <w:rPr>
                <w:b/>
                <w:bCs/>
                <w:rtl/>
              </w:rPr>
            </w:pPr>
          </w:p>
          <w:p w14:paraId="2FFC7082" w14:textId="77777777" w:rsidR="00BD2A7F" w:rsidRPr="00305436" w:rsidRDefault="00BD2A7F">
            <w:pPr>
              <w:jc w:val="both"/>
              <w:rPr>
                <w:rFonts w:ascii="Arial" w:hAnsi="Arial"/>
                <w:b/>
                <w:bCs/>
              </w:rPr>
            </w:pPr>
          </w:p>
        </w:tc>
      </w:tr>
      <w:tr w:rsidR="00BD2A7F" w:rsidRPr="00305436" w14:paraId="4D671C6F" w14:textId="77777777">
        <w:trPr>
          <w:trHeight w:val="503"/>
          <w:jc w:val="center"/>
        </w:trPr>
        <w:tc>
          <w:tcPr>
            <w:tcW w:w="2441" w:type="dxa"/>
            <w:tcBorders>
              <w:top w:val="nil"/>
              <w:left w:val="nil"/>
              <w:bottom w:val="nil"/>
              <w:right w:val="nil"/>
            </w:tcBorders>
            <w:shd w:val="clear" w:color="auto" w:fill="auto"/>
          </w:tcPr>
          <w:p w14:paraId="5DE5D3A2" w14:textId="77777777" w:rsidR="00BD2A7F" w:rsidRPr="00305436" w:rsidRDefault="00BD2A7F">
            <w:pPr>
              <w:jc w:val="both"/>
              <w:rPr>
                <w:rFonts w:ascii="Arial" w:hAnsi="Arial"/>
                <w:b/>
                <w:bCs/>
                <w:rtl/>
              </w:rPr>
            </w:pPr>
          </w:p>
        </w:tc>
        <w:tc>
          <w:tcPr>
            <w:tcW w:w="6379" w:type="dxa"/>
            <w:gridSpan w:val="2"/>
            <w:tcBorders>
              <w:top w:val="nil"/>
              <w:left w:val="nil"/>
              <w:bottom w:val="nil"/>
              <w:right w:val="nil"/>
            </w:tcBorders>
            <w:shd w:val="clear" w:color="auto" w:fill="auto"/>
          </w:tcPr>
          <w:p w14:paraId="54F4C645" w14:textId="77777777" w:rsidR="00BD2A7F" w:rsidRPr="00305436" w:rsidRDefault="00BD2A7F">
            <w:pPr>
              <w:rPr>
                <w:rFonts w:ascii="Arial" w:hAnsi="Arial"/>
                <w:b/>
                <w:bCs/>
                <w:rtl/>
              </w:rPr>
            </w:pPr>
          </w:p>
        </w:tc>
      </w:tr>
      <w:tr w:rsidR="00BD2A7F" w:rsidRPr="00305436" w14:paraId="05381EEE" w14:textId="77777777">
        <w:trPr>
          <w:trHeight w:val="355"/>
          <w:jc w:val="center"/>
        </w:trPr>
        <w:tc>
          <w:tcPr>
            <w:tcW w:w="2441" w:type="dxa"/>
            <w:tcBorders>
              <w:top w:val="nil"/>
              <w:left w:val="nil"/>
              <w:bottom w:val="nil"/>
              <w:right w:val="nil"/>
            </w:tcBorders>
            <w:shd w:val="clear" w:color="auto" w:fill="auto"/>
          </w:tcPr>
          <w:p w14:paraId="07BAA039" w14:textId="77777777" w:rsidR="00BD2A7F" w:rsidRPr="00305436" w:rsidRDefault="00305436">
            <w:pPr>
              <w:spacing w:line="360" w:lineRule="auto"/>
              <w:jc w:val="both"/>
              <w:rPr>
                <w:rFonts w:ascii="Arial" w:hAnsi="Arial"/>
                <w:b/>
                <w:bCs/>
              </w:rPr>
            </w:pPr>
            <w:bookmarkStart w:id="3" w:name="FirstAppellant"/>
            <w:r w:rsidRPr="00305436">
              <w:rPr>
                <w:rFonts w:ascii="Arial" w:hAnsi="Arial" w:hint="cs"/>
                <w:b/>
                <w:bCs/>
                <w:rtl/>
              </w:rPr>
              <w:t>המאשימה</w:t>
            </w:r>
          </w:p>
        </w:tc>
        <w:tc>
          <w:tcPr>
            <w:tcW w:w="1559" w:type="dxa"/>
            <w:tcBorders>
              <w:top w:val="nil"/>
              <w:left w:val="nil"/>
              <w:bottom w:val="nil"/>
              <w:right w:val="nil"/>
            </w:tcBorders>
            <w:shd w:val="clear" w:color="auto" w:fill="auto"/>
          </w:tcPr>
          <w:p w14:paraId="1DA172A4" w14:textId="77777777" w:rsidR="00BD2A7F" w:rsidRPr="00305436" w:rsidRDefault="00305436">
            <w:pPr>
              <w:spacing w:line="360" w:lineRule="auto"/>
              <w:rPr>
                <w:b/>
                <w:bCs/>
              </w:rPr>
            </w:pPr>
            <w:r w:rsidRPr="00305436">
              <w:rPr>
                <w:rFonts w:hint="cs"/>
                <w:b/>
                <w:bCs/>
                <w:rtl/>
              </w:rPr>
              <w:t>מדינת ישראל</w:t>
            </w:r>
          </w:p>
        </w:tc>
        <w:tc>
          <w:tcPr>
            <w:tcW w:w="4820" w:type="dxa"/>
            <w:tcBorders>
              <w:top w:val="nil"/>
              <w:left w:val="nil"/>
              <w:bottom w:val="nil"/>
              <w:right w:val="nil"/>
            </w:tcBorders>
            <w:shd w:val="clear" w:color="auto" w:fill="auto"/>
          </w:tcPr>
          <w:p w14:paraId="55B7BF70" w14:textId="77777777" w:rsidR="00BD2A7F" w:rsidRPr="00305436" w:rsidRDefault="00BD2A7F">
            <w:pPr>
              <w:spacing w:line="360" w:lineRule="auto"/>
              <w:jc w:val="both"/>
              <w:rPr>
                <w:rFonts w:ascii="Arial" w:hAnsi="Arial"/>
                <w:b/>
                <w:bCs/>
              </w:rPr>
            </w:pPr>
          </w:p>
        </w:tc>
      </w:tr>
      <w:bookmarkEnd w:id="3"/>
      <w:tr w:rsidR="00BD2A7F" w:rsidRPr="00305436" w14:paraId="50A75500" w14:textId="77777777">
        <w:trPr>
          <w:trHeight w:val="355"/>
          <w:jc w:val="center"/>
        </w:trPr>
        <w:tc>
          <w:tcPr>
            <w:tcW w:w="2441" w:type="dxa"/>
            <w:tcBorders>
              <w:top w:val="nil"/>
              <w:left w:val="nil"/>
              <w:bottom w:val="nil"/>
              <w:right w:val="nil"/>
            </w:tcBorders>
            <w:shd w:val="clear" w:color="auto" w:fill="auto"/>
          </w:tcPr>
          <w:p w14:paraId="550751DF" w14:textId="77777777" w:rsidR="00BD2A7F" w:rsidRPr="00305436" w:rsidRDefault="00BD2A7F">
            <w:pPr>
              <w:spacing w:line="360" w:lineRule="auto"/>
              <w:rPr>
                <w:rFonts w:ascii="Arial" w:hAnsi="Arial"/>
                <w:b/>
                <w:bCs/>
                <w:rtl/>
              </w:rPr>
            </w:pPr>
          </w:p>
        </w:tc>
        <w:tc>
          <w:tcPr>
            <w:tcW w:w="1559" w:type="dxa"/>
            <w:tcBorders>
              <w:top w:val="nil"/>
              <w:left w:val="nil"/>
              <w:bottom w:val="nil"/>
              <w:right w:val="nil"/>
            </w:tcBorders>
            <w:shd w:val="clear" w:color="auto" w:fill="auto"/>
          </w:tcPr>
          <w:p w14:paraId="14DCC7CF" w14:textId="77777777" w:rsidR="00BD2A7F" w:rsidRPr="00305436" w:rsidRDefault="00BD2A7F">
            <w:pPr>
              <w:spacing w:line="360" w:lineRule="auto"/>
              <w:jc w:val="both"/>
              <w:rPr>
                <w:b/>
                <w:bCs/>
                <w:rtl/>
              </w:rPr>
            </w:pPr>
          </w:p>
        </w:tc>
        <w:tc>
          <w:tcPr>
            <w:tcW w:w="4820" w:type="dxa"/>
            <w:tcBorders>
              <w:top w:val="nil"/>
              <w:left w:val="nil"/>
              <w:bottom w:val="nil"/>
              <w:right w:val="nil"/>
            </w:tcBorders>
            <w:shd w:val="clear" w:color="auto" w:fill="auto"/>
          </w:tcPr>
          <w:p w14:paraId="74EA03F9" w14:textId="77777777" w:rsidR="00BD2A7F" w:rsidRPr="00305436" w:rsidRDefault="00305436">
            <w:pPr>
              <w:spacing w:line="360" w:lineRule="auto"/>
              <w:rPr>
                <w:rFonts w:ascii="Arial" w:hAnsi="Arial"/>
                <w:b/>
                <w:bCs/>
                <w:rtl/>
              </w:rPr>
            </w:pPr>
            <w:r w:rsidRPr="00305436">
              <w:rPr>
                <w:rFonts w:ascii="Arial" w:hAnsi="Arial" w:hint="cs"/>
                <w:b/>
                <w:bCs/>
                <w:rtl/>
              </w:rPr>
              <w:t>נ ג ד</w:t>
            </w:r>
          </w:p>
        </w:tc>
      </w:tr>
      <w:tr w:rsidR="00BD2A7F" w:rsidRPr="00305436" w14:paraId="097C1433" w14:textId="77777777">
        <w:trPr>
          <w:trHeight w:val="355"/>
          <w:jc w:val="center"/>
        </w:trPr>
        <w:tc>
          <w:tcPr>
            <w:tcW w:w="2441" w:type="dxa"/>
            <w:tcBorders>
              <w:top w:val="nil"/>
              <w:left w:val="nil"/>
              <w:bottom w:val="nil"/>
              <w:right w:val="nil"/>
            </w:tcBorders>
            <w:shd w:val="clear" w:color="auto" w:fill="auto"/>
          </w:tcPr>
          <w:p w14:paraId="3E74D06B" w14:textId="77777777" w:rsidR="00BD2A7F" w:rsidRPr="00305436" w:rsidRDefault="00305436">
            <w:pPr>
              <w:spacing w:line="360" w:lineRule="auto"/>
              <w:rPr>
                <w:rFonts w:ascii="Arial" w:hAnsi="Arial"/>
                <w:b/>
                <w:bCs/>
                <w:rtl/>
              </w:rPr>
            </w:pPr>
            <w:r w:rsidRPr="00305436">
              <w:rPr>
                <w:rFonts w:ascii="Arial" w:hAnsi="Arial" w:hint="cs"/>
                <w:b/>
                <w:bCs/>
                <w:rtl/>
              </w:rPr>
              <w:t xml:space="preserve">הנאשם </w:t>
            </w:r>
          </w:p>
          <w:p w14:paraId="226C7689" w14:textId="77777777" w:rsidR="00BD2A7F" w:rsidRPr="00305436" w:rsidRDefault="00BD2A7F">
            <w:pPr>
              <w:spacing w:line="360" w:lineRule="auto"/>
              <w:jc w:val="both"/>
              <w:rPr>
                <w:rFonts w:ascii="Arial" w:hAnsi="Arial"/>
                <w:b/>
                <w:bCs/>
                <w:rtl/>
              </w:rPr>
            </w:pPr>
          </w:p>
        </w:tc>
        <w:tc>
          <w:tcPr>
            <w:tcW w:w="6379" w:type="dxa"/>
            <w:gridSpan w:val="2"/>
            <w:tcBorders>
              <w:top w:val="nil"/>
              <w:left w:val="nil"/>
              <w:bottom w:val="nil"/>
              <w:right w:val="nil"/>
            </w:tcBorders>
            <w:shd w:val="clear" w:color="auto" w:fill="auto"/>
          </w:tcPr>
          <w:p w14:paraId="360C1B32" w14:textId="77777777" w:rsidR="00BD2A7F" w:rsidRPr="00305436" w:rsidRDefault="00305436">
            <w:pPr>
              <w:spacing w:line="360" w:lineRule="auto"/>
              <w:rPr>
                <w:rFonts w:ascii="Arial" w:hAnsi="Arial"/>
                <w:b/>
                <w:bCs/>
              </w:rPr>
            </w:pPr>
            <w:r w:rsidRPr="00305436">
              <w:rPr>
                <w:rFonts w:hint="cs"/>
                <w:b/>
                <w:bCs/>
                <w:rtl/>
              </w:rPr>
              <w:t>אלי אזולאי</w:t>
            </w:r>
          </w:p>
        </w:tc>
      </w:tr>
      <w:tr w:rsidR="00BD2A7F" w:rsidRPr="00305436" w14:paraId="4B5423B6" w14:textId="77777777">
        <w:trPr>
          <w:trHeight w:val="355"/>
          <w:jc w:val="center"/>
        </w:trPr>
        <w:tc>
          <w:tcPr>
            <w:tcW w:w="2441" w:type="dxa"/>
            <w:tcBorders>
              <w:top w:val="nil"/>
              <w:left w:val="nil"/>
              <w:bottom w:val="nil"/>
              <w:right w:val="nil"/>
            </w:tcBorders>
            <w:shd w:val="clear" w:color="auto" w:fill="auto"/>
          </w:tcPr>
          <w:p w14:paraId="781FA37E" w14:textId="77777777" w:rsidR="00BD2A7F" w:rsidRPr="00305436" w:rsidRDefault="00BD2A7F">
            <w:pPr>
              <w:spacing w:line="360" w:lineRule="auto"/>
              <w:rPr>
                <w:rFonts w:ascii="Arial" w:hAnsi="Arial"/>
                <w:b/>
                <w:bCs/>
                <w:rtl/>
              </w:rPr>
            </w:pPr>
          </w:p>
        </w:tc>
        <w:tc>
          <w:tcPr>
            <w:tcW w:w="1559" w:type="dxa"/>
            <w:tcBorders>
              <w:top w:val="nil"/>
              <w:left w:val="nil"/>
              <w:bottom w:val="nil"/>
              <w:right w:val="nil"/>
            </w:tcBorders>
            <w:shd w:val="clear" w:color="auto" w:fill="auto"/>
          </w:tcPr>
          <w:p w14:paraId="70D0171A" w14:textId="77777777" w:rsidR="00BD2A7F" w:rsidRPr="00305436" w:rsidRDefault="00BD2A7F">
            <w:pPr>
              <w:spacing w:line="360" w:lineRule="auto"/>
              <w:rPr>
                <w:b/>
                <w:bCs/>
                <w:rtl/>
              </w:rPr>
            </w:pPr>
          </w:p>
        </w:tc>
        <w:tc>
          <w:tcPr>
            <w:tcW w:w="4820" w:type="dxa"/>
            <w:tcBorders>
              <w:top w:val="nil"/>
              <w:left w:val="nil"/>
              <w:bottom w:val="nil"/>
              <w:right w:val="nil"/>
            </w:tcBorders>
            <w:shd w:val="clear" w:color="auto" w:fill="auto"/>
          </w:tcPr>
          <w:p w14:paraId="7A1323DF" w14:textId="77777777" w:rsidR="00BD2A7F" w:rsidRPr="00305436" w:rsidRDefault="00BD2A7F">
            <w:pPr>
              <w:spacing w:line="360" w:lineRule="auto"/>
              <w:rPr>
                <w:rFonts w:ascii="Arial" w:hAnsi="Arial"/>
                <w:b/>
                <w:bCs/>
              </w:rPr>
            </w:pPr>
          </w:p>
        </w:tc>
      </w:tr>
    </w:tbl>
    <w:p w14:paraId="75EAE723" w14:textId="77777777" w:rsidR="00636C1D" w:rsidRPr="00305436" w:rsidRDefault="00636C1D">
      <w:pPr>
        <w:rPr>
          <w:rFonts w:ascii="Arial" w:hAnsi="Arial"/>
          <w:b/>
          <w:bCs/>
          <w:rtl/>
        </w:rPr>
      </w:pPr>
      <w:bookmarkStart w:id="4" w:name="FirstLawyer"/>
      <w:r w:rsidRPr="00305436">
        <w:rPr>
          <w:rFonts w:ascii="Arial" w:hAnsi="Arial" w:hint="cs"/>
          <w:b/>
          <w:bCs/>
          <w:rtl/>
        </w:rPr>
        <w:t>נוכחים:</w:t>
      </w:r>
    </w:p>
    <w:p w14:paraId="4FB22ABE" w14:textId="77777777" w:rsidR="00636C1D" w:rsidRPr="00305436" w:rsidRDefault="00636C1D">
      <w:pPr>
        <w:rPr>
          <w:rFonts w:ascii="Arial" w:hAnsi="Arial"/>
          <w:b/>
          <w:bCs/>
          <w:rtl/>
        </w:rPr>
      </w:pPr>
      <w:r w:rsidRPr="00305436">
        <w:rPr>
          <w:rFonts w:ascii="Arial" w:hAnsi="Arial" w:hint="cs"/>
          <w:b/>
          <w:bCs/>
          <w:rtl/>
        </w:rPr>
        <w:t>ב"כ המאשימה עו"ד רונית בירס</w:t>
      </w:r>
    </w:p>
    <w:p w14:paraId="011E8CC6" w14:textId="77777777" w:rsidR="00636C1D" w:rsidRPr="00305436" w:rsidRDefault="00636C1D">
      <w:pPr>
        <w:rPr>
          <w:rFonts w:ascii="Arial" w:hAnsi="Arial"/>
          <w:b/>
          <w:bCs/>
          <w:rtl/>
        </w:rPr>
      </w:pPr>
      <w:r w:rsidRPr="00305436">
        <w:rPr>
          <w:rFonts w:ascii="Arial" w:hAnsi="Arial" w:hint="cs"/>
          <w:b/>
          <w:bCs/>
          <w:rtl/>
        </w:rPr>
        <w:t>הנאשם בעצמו וב"כ עו"ד ענת קירשנברג</w:t>
      </w:r>
    </w:p>
    <w:p w14:paraId="0C0B41ED" w14:textId="77777777" w:rsidR="00636C1D" w:rsidRDefault="00636C1D">
      <w:pPr>
        <w:jc w:val="center"/>
        <w:rPr>
          <w:rFonts w:ascii="Arial" w:hAnsi="Arial" w:hint="cs"/>
          <w:b/>
          <w:bCs/>
          <w:sz w:val="28"/>
          <w:szCs w:val="28"/>
          <w:rtl/>
        </w:rPr>
      </w:pPr>
    </w:p>
    <w:p w14:paraId="26ECEB34" w14:textId="77777777" w:rsidR="00636C1D" w:rsidRDefault="00636C1D">
      <w:pPr>
        <w:jc w:val="center"/>
        <w:rPr>
          <w:rFonts w:ascii="Arial" w:hAnsi="Arial" w:hint="cs"/>
          <w:b/>
          <w:bCs/>
          <w:sz w:val="28"/>
          <w:szCs w:val="28"/>
          <w:rtl/>
        </w:rPr>
      </w:pPr>
    </w:p>
    <w:p w14:paraId="6A080184" w14:textId="77777777" w:rsidR="00636C1D" w:rsidRPr="00636C1D" w:rsidRDefault="00636C1D" w:rsidP="00636C1D">
      <w:pPr>
        <w:pStyle w:val="a3"/>
        <w:spacing w:after="120" w:line="240" w:lineRule="exact"/>
        <w:ind w:left="283" w:hanging="283"/>
        <w:jc w:val="both"/>
        <w:rPr>
          <w:rFonts w:ascii="FrankRuehl" w:hAnsi="FrankRuehl" w:cs="FrankRuehl"/>
          <w:rtl/>
        </w:rPr>
      </w:pPr>
      <w:r w:rsidRPr="00636C1D">
        <w:rPr>
          <w:rFonts w:ascii="FrankRuehl" w:hAnsi="FrankRuehl" w:cs="FrankRuehl"/>
          <w:rtl/>
        </w:rPr>
        <w:t xml:space="preserve">חקיקה שאוזכרה: </w:t>
      </w:r>
    </w:p>
    <w:p w14:paraId="502F226B" w14:textId="77777777" w:rsidR="00636C1D" w:rsidRPr="00636C1D" w:rsidRDefault="00636C1D" w:rsidP="00636C1D">
      <w:pPr>
        <w:pStyle w:val="a3"/>
        <w:spacing w:after="120" w:line="240" w:lineRule="exact"/>
        <w:ind w:left="283" w:hanging="283"/>
        <w:jc w:val="both"/>
        <w:rPr>
          <w:rFonts w:ascii="FrankRuehl" w:hAnsi="FrankRuehl" w:cs="FrankRuehl"/>
          <w:color w:val="0000FF"/>
          <w:u w:val="single"/>
          <w:rtl/>
        </w:rPr>
      </w:pPr>
      <w:hyperlink r:id="rId7" w:history="1">
        <w:r w:rsidRPr="00636C1D">
          <w:rPr>
            <w:rStyle w:val="Hyperlink"/>
            <w:rFonts w:ascii="FrankRuehl" w:hAnsi="FrankRuehl" w:cs="FrankRuehl"/>
            <w:color w:val="0000FF"/>
            <w:rtl/>
          </w:rPr>
          <w:t>פקודת הסמים המסוכנים [נוסח חדש], תשל"ג-1973</w:t>
        </w:r>
      </w:hyperlink>
      <w:r w:rsidRPr="00636C1D">
        <w:rPr>
          <w:rFonts w:ascii="FrankRuehl" w:hAnsi="FrankRuehl" w:cs="FrankRuehl"/>
          <w:color w:val="0000FF"/>
          <w:u w:val="single"/>
          <w:rtl/>
        </w:rPr>
        <w:t xml:space="preserve">: סע'  </w:t>
      </w:r>
      <w:hyperlink r:id="rId8" w:history="1">
        <w:r w:rsidRPr="00636C1D">
          <w:rPr>
            <w:rStyle w:val="Hyperlink"/>
            <w:rFonts w:ascii="FrankRuehl" w:hAnsi="FrankRuehl" w:cs="FrankRuehl"/>
            <w:color w:val="0000FF"/>
          </w:rPr>
          <w:t>7(</w:t>
        </w:r>
        <w:r w:rsidRPr="00636C1D">
          <w:rPr>
            <w:rStyle w:val="Hyperlink"/>
            <w:rFonts w:ascii="FrankRuehl" w:hAnsi="FrankRuehl" w:cs="FrankRuehl"/>
            <w:color w:val="0000FF"/>
            <w:rtl/>
          </w:rPr>
          <w:t>א</w:t>
        </w:r>
        <w:r w:rsidRPr="00636C1D">
          <w:rPr>
            <w:rStyle w:val="Hyperlink"/>
            <w:rFonts w:ascii="FrankRuehl" w:hAnsi="FrankRuehl" w:cs="FrankRuehl"/>
            <w:color w:val="0000FF"/>
          </w:rPr>
          <w:t>)</w:t>
        </w:r>
      </w:hyperlink>
      <w:r w:rsidRPr="00636C1D">
        <w:rPr>
          <w:rFonts w:ascii="FrankRuehl" w:hAnsi="FrankRuehl" w:cs="FrankRuehl"/>
          <w:color w:val="0000FF"/>
          <w:u w:val="single"/>
          <w:rtl/>
        </w:rPr>
        <w:t xml:space="preserve">, </w:t>
      </w:r>
      <w:hyperlink r:id="rId9" w:history="1">
        <w:r w:rsidRPr="00636C1D">
          <w:rPr>
            <w:rStyle w:val="Hyperlink"/>
            <w:rFonts w:ascii="FrankRuehl" w:hAnsi="FrankRuehl" w:cs="FrankRuehl"/>
            <w:color w:val="0000FF"/>
          </w:rPr>
          <w:t>7(</w:t>
        </w:r>
        <w:r w:rsidRPr="00636C1D">
          <w:rPr>
            <w:rStyle w:val="Hyperlink"/>
            <w:rFonts w:ascii="FrankRuehl" w:hAnsi="FrankRuehl" w:cs="FrankRuehl"/>
            <w:color w:val="0000FF"/>
            <w:rtl/>
          </w:rPr>
          <w:t>ג</w:t>
        </w:r>
        <w:r w:rsidRPr="00636C1D">
          <w:rPr>
            <w:rStyle w:val="Hyperlink"/>
            <w:rFonts w:ascii="FrankRuehl" w:hAnsi="FrankRuehl" w:cs="FrankRuehl"/>
            <w:color w:val="0000FF"/>
          </w:rPr>
          <w:t>)</w:t>
        </w:r>
      </w:hyperlink>
    </w:p>
    <w:p w14:paraId="3B4855F6" w14:textId="77777777" w:rsidR="00636C1D" w:rsidRPr="00636C1D" w:rsidRDefault="00636C1D" w:rsidP="00636C1D">
      <w:pPr>
        <w:pStyle w:val="a3"/>
        <w:spacing w:after="120" w:line="240" w:lineRule="exact"/>
        <w:ind w:left="283" w:hanging="283"/>
        <w:jc w:val="both"/>
        <w:rPr>
          <w:rFonts w:ascii="FrankRuehl" w:hAnsi="FrankRuehl" w:cs="FrankRuehl"/>
          <w:color w:val="0000FF"/>
          <w:u w:val="single"/>
          <w:rtl/>
        </w:rPr>
      </w:pPr>
      <w:hyperlink r:id="rId10" w:history="1">
        <w:r w:rsidRPr="00636C1D">
          <w:rPr>
            <w:rStyle w:val="Hyperlink"/>
            <w:rFonts w:ascii="FrankRuehl" w:hAnsi="FrankRuehl" w:cs="FrankRuehl"/>
            <w:color w:val="0000FF"/>
            <w:rtl/>
          </w:rPr>
          <w:t>חוק העונשין, תשל"ז-1977</w:t>
        </w:r>
      </w:hyperlink>
      <w:r w:rsidRPr="00636C1D">
        <w:rPr>
          <w:rFonts w:ascii="FrankRuehl" w:hAnsi="FrankRuehl" w:cs="FrankRuehl"/>
          <w:color w:val="0000FF"/>
          <w:u w:val="single"/>
          <w:rtl/>
        </w:rPr>
        <w:t xml:space="preserve">: סע'  </w:t>
      </w:r>
      <w:hyperlink r:id="rId11" w:history="1">
        <w:r w:rsidRPr="00636C1D">
          <w:rPr>
            <w:rStyle w:val="Hyperlink"/>
            <w:rFonts w:ascii="FrankRuehl" w:hAnsi="FrankRuehl" w:cs="FrankRuehl"/>
            <w:color w:val="0000FF"/>
          </w:rPr>
          <w:t>40</w:t>
        </w:r>
        <w:r w:rsidRPr="00636C1D">
          <w:rPr>
            <w:rStyle w:val="Hyperlink"/>
            <w:rFonts w:ascii="FrankRuehl" w:hAnsi="FrankRuehl" w:cs="FrankRuehl"/>
            <w:color w:val="0000FF"/>
            <w:rtl/>
          </w:rPr>
          <w:t>ג(א</w:t>
        </w:r>
        <w:r w:rsidRPr="00636C1D">
          <w:rPr>
            <w:rStyle w:val="Hyperlink"/>
            <w:rFonts w:ascii="FrankRuehl" w:hAnsi="FrankRuehl" w:cs="FrankRuehl"/>
            <w:color w:val="0000FF"/>
          </w:rPr>
          <w:t>)</w:t>
        </w:r>
      </w:hyperlink>
      <w:r w:rsidRPr="00636C1D">
        <w:rPr>
          <w:rFonts w:ascii="FrankRuehl" w:hAnsi="FrankRuehl" w:cs="FrankRuehl"/>
          <w:color w:val="0000FF"/>
          <w:u w:val="single"/>
          <w:rtl/>
        </w:rPr>
        <w:t xml:space="preserve">, </w:t>
      </w:r>
      <w:hyperlink r:id="rId12" w:history="1">
        <w:r w:rsidRPr="00636C1D">
          <w:rPr>
            <w:rStyle w:val="Hyperlink"/>
            <w:rFonts w:ascii="FrankRuehl" w:hAnsi="FrankRuehl" w:cs="FrankRuehl"/>
            <w:color w:val="0000FF"/>
          </w:rPr>
          <w:t xml:space="preserve">40 </w:t>
        </w:r>
        <w:r w:rsidRPr="00636C1D">
          <w:rPr>
            <w:rStyle w:val="Hyperlink"/>
            <w:rFonts w:ascii="FrankRuehl" w:hAnsi="FrankRuehl" w:cs="FrankRuehl"/>
            <w:color w:val="0000FF"/>
            <w:rtl/>
          </w:rPr>
          <w:t>ט</w:t>
        </w:r>
        <w:r w:rsidRPr="00636C1D">
          <w:rPr>
            <w:rStyle w:val="Hyperlink"/>
            <w:rFonts w:ascii="FrankRuehl" w:hAnsi="FrankRuehl" w:cs="FrankRuehl"/>
            <w:color w:val="0000FF"/>
          </w:rPr>
          <w:t>'</w:t>
        </w:r>
      </w:hyperlink>
      <w:r w:rsidRPr="00636C1D">
        <w:rPr>
          <w:rFonts w:ascii="FrankRuehl" w:hAnsi="FrankRuehl" w:cs="FrankRuehl"/>
          <w:color w:val="0000FF"/>
          <w:u w:val="single"/>
          <w:rtl/>
        </w:rPr>
        <w:t xml:space="preserve">, </w:t>
      </w:r>
      <w:hyperlink r:id="rId13" w:history="1">
        <w:r w:rsidRPr="00636C1D">
          <w:rPr>
            <w:rStyle w:val="Hyperlink"/>
            <w:rFonts w:ascii="FrankRuehl" w:hAnsi="FrankRuehl" w:cs="FrankRuehl"/>
            <w:color w:val="0000FF"/>
          </w:rPr>
          <w:t>56</w:t>
        </w:r>
      </w:hyperlink>
    </w:p>
    <w:p w14:paraId="61169834" w14:textId="77777777" w:rsidR="00636C1D" w:rsidRDefault="00636C1D">
      <w:pPr>
        <w:jc w:val="center"/>
        <w:rPr>
          <w:rFonts w:ascii="Arial" w:hAnsi="Arial" w:hint="cs"/>
          <w:b/>
          <w:bCs/>
          <w:sz w:val="28"/>
          <w:szCs w:val="28"/>
          <w:rtl/>
        </w:rPr>
      </w:pPr>
    </w:p>
    <w:p w14:paraId="3AD9FAED" w14:textId="77777777" w:rsidR="00636C1D" w:rsidRDefault="00636C1D">
      <w:pPr>
        <w:jc w:val="center"/>
        <w:rPr>
          <w:rFonts w:ascii="Arial" w:hAnsi="Arial" w:hint="cs"/>
          <w:b/>
          <w:bCs/>
          <w:sz w:val="28"/>
          <w:szCs w:val="28"/>
          <w:rtl/>
        </w:rPr>
      </w:pPr>
    </w:p>
    <w:p w14:paraId="577C2F7C" w14:textId="77777777" w:rsidR="00636C1D" w:rsidRPr="00305436" w:rsidRDefault="00636C1D">
      <w:pPr>
        <w:jc w:val="center"/>
        <w:rPr>
          <w:rFonts w:ascii="Arial" w:hAnsi="Arial" w:hint="cs"/>
          <w:b/>
          <w:bCs/>
          <w:sz w:val="28"/>
          <w:szCs w:val="28"/>
          <w:rtl/>
        </w:rPr>
      </w:pPr>
    </w:p>
    <w:p w14:paraId="52369CA2" w14:textId="77777777" w:rsidR="00636C1D" w:rsidRPr="00305436" w:rsidRDefault="00636C1D">
      <w:pPr>
        <w:jc w:val="center"/>
        <w:rPr>
          <w:rFonts w:ascii="Arial" w:hAnsi="Arial"/>
          <w:sz w:val="28"/>
          <w:szCs w:val="28"/>
          <w:rtl/>
        </w:rPr>
      </w:pPr>
      <w:bookmarkStart w:id="5" w:name="PsakDin"/>
      <w:r w:rsidRPr="00305436">
        <w:rPr>
          <w:rFonts w:ascii="Arial" w:hAnsi="Arial" w:hint="cs"/>
          <w:b/>
          <w:bCs/>
          <w:sz w:val="28"/>
          <w:szCs w:val="28"/>
          <w:rtl/>
        </w:rPr>
        <w:t>גזר דין</w:t>
      </w:r>
      <w:bookmarkEnd w:id="5"/>
    </w:p>
    <w:bookmarkEnd w:id="4"/>
    <w:p w14:paraId="1423E4F8" w14:textId="77777777" w:rsidR="00BD2A7F" w:rsidRPr="00305436" w:rsidRDefault="00BD2A7F">
      <w:pPr>
        <w:spacing w:line="252" w:lineRule="auto"/>
        <w:rPr>
          <w:b/>
          <w:bCs/>
        </w:rPr>
      </w:pPr>
    </w:p>
    <w:p w14:paraId="4013CA12" w14:textId="77777777" w:rsidR="00BD2A7F" w:rsidRPr="00305436" w:rsidRDefault="00305436">
      <w:pPr>
        <w:spacing w:line="360" w:lineRule="auto"/>
        <w:jc w:val="both"/>
        <w:rPr>
          <w:b/>
          <w:bCs/>
        </w:rPr>
      </w:pPr>
      <w:r w:rsidRPr="00305436">
        <w:rPr>
          <w:rFonts w:hint="cs"/>
          <w:b/>
          <w:bCs/>
          <w:rtl/>
        </w:rPr>
        <w:t>רקע כללי</w:t>
      </w:r>
    </w:p>
    <w:p w14:paraId="523BF56C" w14:textId="77777777" w:rsidR="00BD2A7F" w:rsidRPr="00305436" w:rsidRDefault="00BD2A7F">
      <w:pPr>
        <w:spacing w:line="360" w:lineRule="auto"/>
        <w:ind w:left="720"/>
        <w:contextualSpacing/>
        <w:jc w:val="both"/>
        <w:rPr>
          <w:rFonts w:ascii="Arial" w:hAnsi="Arial" w:cs="Arial"/>
          <w:b/>
          <w:bCs/>
        </w:rPr>
      </w:pPr>
    </w:p>
    <w:p w14:paraId="614304C0" w14:textId="77777777" w:rsidR="00BD2A7F" w:rsidRPr="00305436" w:rsidRDefault="00305436">
      <w:pPr>
        <w:spacing w:line="360" w:lineRule="auto"/>
        <w:ind w:left="720" w:hanging="720"/>
        <w:jc w:val="both"/>
        <w:rPr>
          <w:rFonts w:ascii="Calibri" w:hAnsi="Calibri" w:cs="Calibri"/>
        </w:rPr>
      </w:pPr>
      <w:r w:rsidRPr="00305436">
        <w:rPr>
          <w:rFonts w:hint="cs"/>
          <w:rtl/>
        </w:rPr>
        <w:t>1.</w:t>
      </w:r>
      <w:r w:rsidRPr="00305436">
        <w:rPr>
          <w:rFonts w:hint="cs"/>
          <w:rtl/>
        </w:rPr>
        <w:tab/>
        <w:t xml:space="preserve">כנגד הנאשם הוגש ביום </w:t>
      </w:r>
      <w:r w:rsidRPr="00305436">
        <w:rPr>
          <w:rFonts w:hint="cs"/>
          <w:b/>
          <w:bCs/>
          <w:rtl/>
        </w:rPr>
        <w:t>30.12.12</w:t>
      </w:r>
      <w:r w:rsidRPr="00305436">
        <w:rPr>
          <w:rFonts w:hint="cs"/>
          <w:rtl/>
        </w:rPr>
        <w:t xml:space="preserve">, כתב אישום המייחס לו </w:t>
      </w:r>
      <w:r w:rsidRPr="00305436">
        <w:rPr>
          <w:rFonts w:hint="cs"/>
          <w:b/>
          <w:bCs/>
          <w:rtl/>
        </w:rPr>
        <w:t>החזקת סם שלא לצריכה עצמית</w:t>
      </w:r>
      <w:r w:rsidRPr="00305436">
        <w:rPr>
          <w:rFonts w:hint="cs"/>
          <w:rtl/>
        </w:rPr>
        <w:t xml:space="preserve"> ביום </w:t>
      </w:r>
      <w:r w:rsidRPr="00305436">
        <w:rPr>
          <w:rFonts w:hint="cs"/>
          <w:b/>
          <w:bCs/>
          <w:rtl/>
        </w:rPr>
        <w:t>14.2.10</w:t>
      </w:r>
      <w:r w:rsidRPr="00305436">
        <w:rPr>
          <w:rFonts w:hint="cs"/>
          <w:rtl/>
        </w:rPr>
        <w:t xml:space="preserve">, לפי </w:t>
      </w:r>
      <w:hyperlink r:id="rId14" w:history="1">
        <w:r w:rsidR="00636C1D" w:rsidRPr="00636C1D">
          <w:rPr>
            <w:rStyle w:val="Hyperlink"/>
            <w:rFonts w:hint="eastAsia"/>
            <w:color w:val="0000FF"/>
            <w:rtl/>
          </w:rPr>
          <w:t>סעיף</w:t>
        </w:r>
        <w:r w:rsidR="00636C1D" w:rsidRPr="00636C1D">
          <w:rPr>
            <w:rStyle w:val="Hyperlink"/>
            <w:color w:val="0000FF"/>
            <w:rtl/>
          </w:rPr>
          <w:t xml:space="preserve"> 7(א)</w:t>
        </w:r>
      </w:hyperlink>
      <w:r w:rsidRPr="00305436">
        <w:rPr>
          <w:rFonts w:hint="cs"/>
          <w:rtl/>
        </w:rPr>
        <w:t xml:space="preserve"> + </w:t>
      </w:r>
      <w:hyperlink r:id="rId15" w:history="1">
        <w:r w:rsidR="00636C1D" w:rsidRPr="00636C1D">
          <w:rPr>
            <w:rStyle w:val="Hyperlink"/>
            <w:color w:val="0000FF"/>
            <w:rtl/>
          </w:rPr>
          <w:t>7(ג)</w:t>
        </w:r>
      </w:hyperlink>
      <w:r w:rsidRPr="00305436">
        <w:rPr>
          <w:rFonts w:hint="cs"/>
          <w:rtl/>
        </w:rPr>
        <w:t xml:space="preserve"> רישא ל</w:t>
      </w:r>
      <w:hyperlink r:id="rId16" w:history="1">
        <w:r w:rsidRPr="00305436">
          <w:rPr>
            <w:color w:val="0000FF"/>
            <w:u w:val="single"/>
            <w:rtl/>
          </w:rPr>
          <w:t>פקודת הסמים המסוכנים</w:t>
        </w:r>
      </w:hyperlink>
      <w:r w:rsidRPr="00305436">
        <w:rPr>
          <w:rFonts w:hint="cs"/>
          <w:rtl/>
        </w:rPr>
        <w:t xml:space="preserve"> (נוסח חדש), תשל"ג –1973. (להלן: "פקודת הסמים").  </w:t>
      </w:r>
    </w:p>
    <w:p w14:paraId="631A35C1" w14:textId="77777777" w:rsidR="00BD2A7F" w:rsidRPr="00305436" w:rsidRDefault="00BD2A7F">
      <w:pPr>
        <w:spacing w:line="360" w:lineRule="auto"/>
        <w:ind w:left="1080"/>
        <w:contextualSpacing/>
        <w:jc w:val="both"/>
        <w:rPr>
          <w:b/>
          <w:bCs/>
        </w:rPr>
      </w:pPr>
    </w:p>
    <w:p w14:paraId="7F8D1E8D" w14:textId="77777777" w:rsidR="00BD2A7F" w:rsidRPr="00305436" w:rsidRDefault="00305436">
      <w:pPr>
        <w:spacing w:line="360" w:lineRule="auto"/>
        <w:ind w:left="720" w:hanging="720"/>
        <w:jc w:val="both"/>
      </w:pPr>
      <w:r w:rsidRPr="00305436">
        <w:rPr>
          <w:rFonts w:hint="cs"/>
          <w:rtl/>
        </w:rPr>
        <w:lastRenderedPageBreak/>
        <w:t>2.</w:t>
      </w:r>
      <w:r w:rsidRPr="00305436">
        <w:rPr>
          <w:rFonts w:hint="cs"/>
          <w:rtl/>
        </w:rPr>
        <w:tab/>
        <w:t xml:space="preserve">ביום 29.12.14, בדיון שהתקיים בפני כב' הש' שרון, הגיעו הצדדים להסכמה לתיקון כתב האישום וצירוף </w:t>
      </w:r>
      <w:hyperlink r:id="rId17" w:history="1">
        <w:r w:rsidRPr="00305436">
          <w:rPr>
            <w:color w:val="0000FF"/>
            <w:u w:val="single"/>
            <w:rtl/>
          </w:rPr>
          <w:t>ת"פ 59757-12-13</w:t>
        </w:r>
      </w:hyperlink>
      <w:r w:rsidRPr="00305436">
        <w:rPr>
          <w:rFonts w:hint="cs"/>
          <w:rtl/>
        </w:rPr>
        <w:t xml:space="preserve">, באופן שבו יורשע הנאשם בכתב אישום מתוקן הכולל עובדות תיק דנא והתיק המצורף. </w:t>
      </w:r>
    </w:p>
    <w:p w14:paraId="63DA0793" w14:textId="77777777" w:rsidR="00BD2A7F" w:rsidRPr="00305436" w:rsidRDefault="00BD2A7F">
      <w:pPr>
        <w:spacing w:line="360" w:lineRule="auto"/>
        <w:ind w:left="1069"/>
        <w:contextualSpacing/>
        <w:jc w:val="both"/>
        <w:rPr>
          <w:rtl/>
        </w:rPr>
      </w:pPr>
    </w:p>
    <w:p w14:paraId="3E617216" w14:textId="77777777" w:rsidR="00BD2A7F" w:rsidRPr="00305436" w:rsidRDefault="00305436">
      <w:pPr>
        <w:spacing w:line="360" w:lineRule="auto"/>
        <w:ind w:left="720" w:hanging="720"/>
        <w:jc w:val="both"/>
        <w:rPr>
          <w:rtl/>
        </w:rPr>
      </w:pPr>
      <w:r w:rsidRPr="00305436">
        <w:rPr>
          <w:rFonts w:hint="cs"/>
          <w:rtl/>
        </w:rPr>
        <w:t>3.</w:t>
      </w:r>
      <w:r w:rsidRPr="00305436">
        <w:rPr>
          <w:rtl/>
        </w:rPr>
        <w:tab/>
      </w:r>
      <w:r w:rsidRPr="00305436">
        <w:rPr>
          <w:rFonts w:hint="cs"/>
          <w:rtl/>
        </w:rPr>
        <w:t xml:space="preserve">כמפורט בכתב האישום המתוקן, </w:t>
      </w:r>
      <w:bookmarkStart w:id="6" w:name="ABSTRACT_START"/>
      <w:bookmarkEnd w:id="6"/>
      <w:r w:rsidRPr="00305436">
        <w:rPr>
          <w:rFonts w:hint="cs"/>
          <w:rtl/>
        </w:rPr>
        <w:t>ביום 14.2.2010 בשעת צהריים, בבית הסוהר בו ריצה הנאשם עונש שהוטל עליו ב</w:t>
      </w:r>
      <w:hyperlink r:id="rId18" w:history="1">
        <w:r w:rsidRPr="00305436">
          <w:rPr>
            <w:color w:val="0000FF"/>
            <w:u w:val="single"/>
            <w:rtl/>
          </w:rPr>
          <w:t>ת"פ 8012/09</w:t>
        </w:r>
      </w:hyperlink>
      <w:r w:rsidRPr="00305436">
        <w:rPr>
          <w:rFonts w:hint="cs"/>
          <w:rtl/>
        </w:rPr>
        <w:t xml:space="preserve">, פלט מגופו מארז העשוי פלסטיק ונייר שבתוכו נמצא סם מסוכן מסוג "הרואין" במשקל 16.62 גרם נטו. חודשיים לאחר מכן ביום  15.4.10 בשעת צהריים, הוציא הנאשם מכיס מכנסיו מארז ובו 16 מנות סם מסוג "הרואין" במשקל כולל של 0.56 גרם נטו, וכשנתפס ניסה להעלימם. </w:t>
      </w:r>
    </w:p>
    <w:p w14:paraId="3B628E1C" w14:textId="77777777" w:rsidR="00BD2A7F" w:rsidRPr="00305436" w:rsidRDefault="00BD2A7F">
      <w:pPr>
        <w:spacing w:line="360" w:lineRule="auto"/>
        <w:ind w:left="720"/>
        <w:contextualSpacing/>
        <w:jc w:val="both"/>
      </w:pPr>
      <w:bookmarkStart w:id="7" w:name="ABSTRACT_END"/>
      <w:bookmarkEnd w:id="7"/>
    </w:p>
    <w:p w14:paraId="4EF29306" w14:textId="77777777" w:rsidR="00BD2A7F" w:rsidRPr="00305436" w:rsidRDefault="00305436">
      <w:pPr>
        <w:spacing w:line="360" w:lineRule="auto"/>
        <w:ind w:left="720" w:hanging="720"/>
        <w:jc w:val="both"/>
      </w:pPr>
      <w:r w:rsidRPr="00305436">
        <w:rPr>
          <w:rFonts w:hint="cs"/>
          <w:rtl/>
        </w:rPr>
        <w:t>4.</w:t>
      </w:r>
      <w:r w:rsidRPr="00305436">
        <w:rPr>
          <w:rFonts w:hint="cs"/>
          <w:rtl/>
        </w:rPr>
        <w:tab/>
        <w:t>עוד הגיעו הצדדים להסכמה דיונית, לפיה יופנה הנאשם לשירות מבחן שיערוך תסקיר בעניינו.</w:t>
      </w:r>
    </w:p>
    <w:bookmarkEnd w:id="0"/>
    <w:p w14:paraId="4AFF38A0" w14:textId="77777777" w:rsidR="00BD2A7F" w:rsidRDefault="00BD2A7F">
      <w:pPr>
        <w:spacing w:line="360" w:lineRule="auto"/>
        <w:ind w:left="1069"/>
        <w:contextualSpacing/>
        <w:jc w:val="both"/>
      </w:pPr>
    </w:p>
    <w:p w14:paraId="3C2C3E19" w14:textId="77777777" w:rsidR="00BD2A7F" w:rsidRDefault="00305436">
      <w:pPr>
        <w:spacing w:line="360" w:lineRule="auto"/>
        <w:ind w:left="720" w:hanging="720"/>
        <w:jc w:val="both"/>
      </w:pPr>
      <w:r>
        <w:rPr>
          <w:rFonts w:hint="cs"/>
          <w:rtl/>
        </w:rPr>
        <w:t>5.</w:t>
      </w:r>
      <w:r>
        <w:rPr>
          <w:rFonts w:hint="cs"/>
          <w:rtl/>
        </w:rPr>
        <w:tab/>
        <w:t>הנאשם הורשע בעובדות כתב האישום המתוקן והדיון נדחה לצורך קבלת תסקיר וטיעונים לעונש, ליום 12.5.15, אך בשל בקשת דחייה מטעם שירות המבחן, נקבע ליום 24.9.15.</w:t>
      </w:r>
    </w:p>
    <w:p w14:paraId="0857151C" w14:textId="77777777" w:rsidR="00BD2A7F" w:rsidRDefault="00BD2A7F">
      <w:pPr>
        <w:spacing w:line="360" w:lineRule="auto"/>
        <w:ind w:left="1069"/>
        <w:contextualSpacing/>
        <w:jc w:val="both"/>
      </w:pPr>
    </w:p>
    <w:p w14:paraId="0FD1865A" w14:textId="77777777" w:rsidR="00BD2A7F" w:rsidRDefault="00305436">
      <w:pPr>
        <w:spacing w:line="360" w:lineRule="auto"/>
        <w:ind w:left="720" w:hanging="720"/>
        <w:jc w:val="both"/>
        <w:rPr>
          <w:rtl/>
        </w:rPr>
      </w:pPr>
      <w:r>
        <w:rPr>
          <w:rFonts w:hint="cs"/>
          <w:rtl/>
        </w:rPr>
        <w:t>6.</w:t>
      </w:r>
      <w:r>
        <w:rPr>
          <w:rtl/>
        </w:rPr>
        <w:tab/>
      </w:r>
      <w:r>
        <w:rPr>
          <w:rFonts w:hint="cs"/>
          <w:rtl/>
        </w:rPr>
        <w:t xml:space="preserve">במועד זה, התברר שהנאשם לא שיתף פעולה עם שירות המבחן ואף התייצב באיחור לדיון מבלי הודעה מוקדמת. מדברי ב"כ אף עלה שנמסר לו מספר הטלפון של שירות המבחן לצורך יצירת קשר עימם. באין מנוס, נדחה הדיון ליום 12.10.16. </w:t>
      </w:r>
    </w:p>
    <w:p w14:paraId="741BE07E" w14:textId="77777777" w:rsidR="00BD2A7F" w:rsidRDefault="00BD2A7F">
      <w:pPr>
        <w:spacing w:line="360" w:lineRule="auto"/>
        <w:ind w:left="1069"/>
        <w:contextualSpacing/>
        <w:jc w:val="both"/>
      </w:pPr>
    </w:p>
    <w:p w14:paraId="6C802BA5" w14:textId="77777777" w:rsidR="00BD2A7F" w:rsidRDefault="00305436">
      <w:pPr>
        <w:spacing w:line="360" w:lineRule="auto"/>
        <w:ind w:left="720" w:hanging="720"/>
        <w:jc w:val="both"/>
      </w:pPr>
      <w:r>
        <w:rPr>
          <w:rFonts w:hint="cs"/>
          <w:rtl/>
        </w:rPr>
        <w:t>7.</w:t>
      </w:r>
      <w:r>
        <w:rPr>
          <w:rFonts w:hint="cs"/>
          <w:rtl/>
        </w:rPr>
        <w:tab/>
        <w:t xml:space="preserve">ביום 12.10.15, עתרה ב"כ הנאשם לאפשר לנאשם הזדמנות נוספת להפגש עם שירות המבחן ואף תיאמה לנאשם מועד פגישה. בהחלטתו, נעתר כב' השופט שרון לבקשת ב"כ הנאשם, כשמדגיש כי מצא לנהוג כלפי הנאשם לפנים משורת הדין, וזאת בין היתר, נוכח נסיבותיו והתחייבותו לשתף פעולה עם שירות המבחן. </w:t>
      </w:r>
    </w:p>
    <w:p w14:paraId="0C174C1C" w14:textId="77777777" w:rsidR="00BD2A7F" w:rsidRDefault="00BD2A7F">
      <w:pPr>
        <w:spacing w:line="360" w:lineRule="auto"/>
        <w:ind w:left="1069"/>
        <w:contextualSpacing/>
        <w:jc w:val="both"/>
      </w:pPr>
    </w:p>
    <w:p w14:paraId="74CF88B0" w14:textId="77777777" w:rsidR="00BD2A7F" w:rsidRDefault="00305436">
      <w:pPr>
        <w:spacing w:line="360" w:lineRule="auto"/>
        <w:ind w:left="720" w:hanging="720"/>
        <w:jc w:val="both"/>
      </w:pPr>
      <w:r>
        <w:rPr>
          <w:rFonts w:hint="cs"/>
          <w:rtl/>
        </w:rPr>
        <w:t>8.</w:t>
      </w:r>
      <w:r>
        <w:rPr>
          <w:rFonts w:hint="cs"/>
          <w:rtl/>
        </w:rPr>
        <w:tab/>
        <w:t>בדיון הנדחה, שהתקיים ביום 24.11.15, התקבל תסקיר מפורט על אודות הנאשם, שלימד על תובנה ראשונית להשתלב בהליך גמילה מסמים, לצד רמת סיכון גבוהה למעורבות חוזרת בפלילים וסיכויי שיקום נמוכים. שירות המבחן המליץ לדחות הדיון לצורך בחינת שילוב הנאשם באשפוזית. גם לדיון זה לא התייצב הנאשם, ובדיון הנדחה טען (שוב) שהגיע באיחור לבית המשפט והביע רצון להשתלב בהליך הגמילה. לגופו של עניין, על אף התנגדות המאשימה, נוכח בקשת הנאשם, נעתר כב' השופט שרון להמלצת הדחייה אך הבהיר לנאשם חובת שיתוף הפעולה שלו עם שירות המבחן. הדיון נדחה ליום 3.4.16.</w:t>
      </w:r>
    </w:p>
    <w:p w14:paraId="58BBC2D2" w14:textId="77777777" w:rsidR="00BD2A7F" w:rsidRDefault="00BD2A7F">
      <w:pPr>
        <w:spacing w:line="360" w:lineRule="auto"/>
        <w:ind w:left="720"/>
        <w:contextualSpacing/>
        <w:jc w:val="both"/>
      </w:pPr>
    </w:p>
    <w:p w14:paraId="362DC7EF" w14:textId="77777777" w:rsidR="00BD2A7F" w:rsidRDefault="00305436">
      <w:pPr>
        <w:spacing w:line="360" w:lineRule="auto"/>
        <w:ind w:left="720" w:hanging="720"/>
        <w:jc w:val="both"/>
        <w:rPr>
          <w:rtl/>
        </w:rPr>
      </w:pPr>
      <w:r>
        <w:rPr>
          <w:rFonts w:hint="cs"/>
          <w:rtl/>
        </w:rPr>
        <w:lastRenderedPageBreak/>
        <w:t>9.</w:t>
      </w:r>
      <w:r>
        <w:rPr>
          <w:rFonts w:hint="cs"/>
          <w:rtl/>
        </w:rPr>
        <w:tab/>
        <w:t>בדיון זה, שהתקיים בפניי, הוגש תסקיר משלים ממנו עולה שגם הפעם הנאשם לא יצר קשר עם שירות המבחן ושירות המבחן לא הצליח ליצור קשר עימו, אף לא באמצעות בני משפחתו. ב"כ הנאשם ביקשה לאפשר לו הזדמנות נוספת אך דחיתי בקשתה, ואף לא קיבלתי הסברי הנאשם להעדר שיתוף הפעולה עם שירות המבחן. על כן נשמעו טיעונים לעונש במעמד זה.</w:t>
      </w:r>
    </w:p>
    <w:p w14:paraId="155BE6E8" w14:textId="77777777" w:rsidR="00BD2A7F" w:rsidRDefault="00BD2A7F">
      <w:pPr>
        <w:spacing w:line="360" w:lineRule="auto"/>
        <w:ind w:left="360" w:hanging="360"/>
        <w:jc w:val="both"/>
        <w:rPr>
          <w:rtl/>
        </w:rPr>
      </w:pPr>
    </w:p>
    <w:p w14:paraId="01B605E9" w14:textId="77777777" w:rsidR="00BD2A7F" w:rsidRDefault="00305436">
      <w:pPr>
        <w:spacing w:line="360" w:lineRule="auto"/>
        <w:jc w:val="both"/>
        <w:rPr>
          <w:b/>
          <w:bCs/>
          <w:u w:val="single"/>
          <w:rtl/>
        </w:rPr>
      </w:pPr>
      <w:r>
        <w:rPr>
          <w:rFonts w:hint="cs"/>
          <w:b/>
          <w:bCs/>
          <w:u w:val="single"/>
          <w:rtl/>
        </w:rPr>
        <w:t>תמצית טיעוני הצדדים</w:t>
      </w:r>
    </w:p>
    <w:p w14:paraId="3F0D74E4" w14:textId="77777777" w:rsidR="00BD2A7F" w:rsidRDefault="00BD2A7F">
      <w:pPr>
        <w:spacing w:line="360" w:lineRule="auto"/>
        <w:ind w:left="360" w:hanging="360"/>
        <w:jc w:val="both"/>
        <w:rPr>
          <w:rtl/>
        </w:rPr>
      </w:pPr>
    </w:p>
    <w:p w14:paraId="024A1FFB" w14:textId="77777777" w:rsidR="00BD2A7F" w:rsidRDefault="00305436">
      <w:pPr>
        <w:spacing w:line="360" w:lineRule="auto"/>
        <w:ind w:left="720" w:hanging="720"/>
        <w:jc w:val="both"/>
        <w:rPr>
          <w:rtl/>
        </w:rPr>
      </w:pPr>
      <w:r>
        <w:rPr>
          <w:rFonts w:hint="cs"/>
          <w:rtl/>
        </w:rPr>
        <w:t>10.</w:t>
      </w:r>
      <w:r>
        <w:rPr>
          <w:rFonts w:hint="cs"/>
          <w:rtl/>
        </w:rPr>
        <w:tab/>
        <w:t xml:space="preserve">המאשימה עמדה בטיעוניה על כך שמדובר בנאשם יליד 1965, אשר הורשע בצירוף תיקים בביצוע שתי עבירות של החזקת סמים שלא לצריכה עצמית, וציינה את חומרת העבירות בגינן הורשע הנאשם, אשר בשני המקרים בהפרש של חודשיים בלבד, נמצא על גופו סם מסוכן מסוג "הרואין" בכמות גדולה, בעודו אסיר המרצה את עונשו, וכשנתפס ניסה לבלוע את הסם והשליכו על הרצפה. עוד הפנתה לתסקיר שירות המבחן המלמד על נאשם מכור לסמים קשים, שאינו מסוגל לרתום עצמו להליך טיפולי שיקומי, ושקוע עמוק בעולם הסמים. כן הוסיפה המאשימה, כי לחובת הנאשם 23 הרשעות קודמות בעבירות של שוד מזוין, סחר בסמים, החזקת סמים שלא לצריכה עצמית, אלימות, איומים, התפרצויות, בריחה ממשמורת חוקית ועוד. בגין עבירות אלה ריצה הנאשם מאסרים ממושכים מאחורי סורג ובריח, ולחובתו תלוי ועומד מאסר על תנאי בן שנה. </w:t>
      </w:r>
    </w:p>
    <w:p w14:paraId="70B99FCC" w14:textId="77777777" w:rsidR="00BD2A7F" w:rsidRDefault="00BD2A7F">
      <w:pPr>
        <w:spacing w:line="360" w:lineRule="auto"/>
        <w:ind w:left="1080"/>
        <w:contextualSpacing/>
        <w:jc w:val="both"/>
      </w:pPr>
    </w:p>
    <w:p w14:paraId="1C34371F" w14:textId="77777777" w:rsidR="00BD2A7F" w:rsidRDefault="00305436">
      <w:pPr>
        <w:spacing w:line="360" w:lineRule="auto"/>
        <w:ind w:left="720" w:hanging="720"/>
        <w:jc w:val="both"/>
        <w:rPr>
          <w:rtl/>
        </w:rPr>
      </w:pPr>
      <w:r>
        <w:rPr>
          <w:rFonts w:hint="cs"/>
          <w:rtl/>
        </w:rPr>
        <w:t>11.</w:t>
      </w:r>
      <w:r>
        <w:rPr>
          <w:rFonts w:hint="cs"/>
          <w:rtl/>
        </w:rPr>
        <w:tab/>
        <w:t>עוד עמדה המאשימה על כמות הסם הגדולה שהחזיק בשתי הזדמנויות, סוג הסם, והחזקתו בתוככי הכלא בעת שהיה הנאשם אסיר.  המאשימה הדגישה, כי עבירות סמים פוגעות פגיעה קשה לא רק במכורים לסם המקדישים חייהם לחיפוש אחר הסם תוך התעלמות מהשלכות מעשיהם, אלא גם בבני משפחותיהם, חבריהם, מכריהם והציבור בכלל, אשר מוצאים עצמם קורבנות לעבירות רכוש, אלימות, המבוצעות לצורך מימון ההתמכרות. כמו כן, טוענת המאשימה, כי אלו הסוחרים בסמים עומדים בראש מדרג החומרה של עבירות הסמים, ופגיעתם באינטרסים הציבוריים הינה חמורה יותר ומרכזית. לשיטת המאשימה בהתאם לפסיקה שהגישה, המתחם ההולם את העבירות בהן הורשע הנאשם נע בין 18 ל – 36 חודשי מאסר בפועל. לטענתה אין לחרוג ממתחם זה לקולא, ואף יש להחמיר עם הנאשם וזאת מן הטעמים הבאים: הנאשם ביצע מעשיו בין כותלי הכלא; מתסקיר המבחן עולה כי הנאשם לא לוקח אחריות על מעשיו, וכן הצורך להגן על שלום הציבור. לאור כל אלה עותרת המאשימה לענישה ברף הגבוה של המתחם, הפעלת המאסר המותנה במצטבר, מאסר על תנאי נוסף, הפעלת הפסילה המותנית, פסילה רישיונו וקנס.</w:t>
      </w:r>
    </w:p>
    <w:p w14:paraId="1A335AEF" w14:textId="77777777" w:rsidR="00BD2A7F" w:rsidRDefault="00BD2A7F">
      <w:pPr>
        <w:spacing w:line="360" w:lineRule="auto"/>
        <w:ind w:left="360" w:hanging="360"/>
        <w:jc w:val="both"/>
        <w:rPr>
          <w:rtl/>
        </w:rPr>
      </w:pPr>
    </w:p>
    <w:p w14:paraId="3F343EEB" w14:textId="77777777" w:rsidR="00BD2A7F" w:rsidRDefault="00305436">
      <w:pPr>
        <w:spacing w:line="360" w:lineRule="auto"/>
        <w:ind w:left="720" w:hanging="720"/>
        <w:jc w:val="both"/>
        <w:rPr>
          <w:rtl/>
        </w:rPr>
      </w:pPr>
      <w:r>
        <w:rPr>
          <w:rFonts w:hint="cs"/>
          <w:rtl/>
        </w:rPr>
        <w:t>12.</w:t>
      </w:r>
      <w:r>
        <w:rPr>
          <w:rFonts w:hint="cs"/>
          <w:rtl/>
        </w:rPr>
        <w:tab/>
        <w:t>ב"כ הנאשם, עו"ד קירשנברג, פרשה בטיעוניה את תמונת חייו המורכבת והקשה של הנאשם, כך התמכרותו לסמים קשים שדרדרה אותו לקיום אורח חיים עברייני. עוד הדגישה שבמהלך מאסרו, נוצל ע"י אסירים אחרים לצורך העברת הסם (הוצגה תמצית מידע מודיעיני התומכת בטיעונה). ב"כ הנאשם עמדה על חלוף זמן משמעותי בן שנתיים וחצי בין ביצוע העבירות להגשת כתבי האישום, ללא הסבר מניח את הדעת לשיהוי. לשיטתה, הנאשם יכול היה להישפט על תיקים אלו במהלך ריצוי מאסרו ולכך הייתה השלכה על משך מאסרו.  עוד ציינה שהנאשם הינו אדם מבוגר שאורח חייו מורכב, והתמכרותו מנעה ממנו להקים בית ומשפחה משלו, וכן שמאז שחרורו, לפני כשנתיים, לא הסתבך בביצוע עבירות פליליות. בהתחשב בנסיבות אלה, ביקשה לבחון את השיהוי במשקפים של "הגנה מן הצדק" לאור תיקון 113 ל</w:t>
      </w:r>
      <w:hyperlink r:id="rId19" w:history="1">
        <w:r w:rsidRPr="00305436">
          <w:rPr>
            <w:color w:val="0000FF"/>
            <w:u w:val="single"/>
            <w:rtl/>
          </w:rPr>
          <w:t>חוק העונשין</w:t>
        </w:r>
      </w:hyperlink>
      <w:r>
        <w:rPr>
          <w:rFonts w:hint="cs"/>
          <w:rtl/>
        </w:rPr>
        <w:t xml:space="preserve">, וששיקולי הצדק יבואו לידי ביטוי אם לא בביטול כתב האישום, אזי בגזירת העונש. לשיטתה מתחם הענישה בעבירות אלו בהתאם לפסיקה אותה הציגה, נע בין 6 ל - 18 חודשי מאסר בפועל, אשר יכול וירוצו בעבודות שירות, כשעניינו של הנאשם ממוקם ברף התחתון, ומאפשר בחינת הארכת תקופת התנאי שתלוי כנגדו.   </w:t>
      </w:r>
    </w:p>
    <w:p w14:paraId="525E8AC5" w14:textId="77777777" w:rsidR="00BD2A7F" w:rsidRDefault="00BD2A7F">
      <w:pPr>
        <w:spacing w:line="360" w:lineRule="auto"/>
        <w:ind w:left="360" w:hanging="360"/>
        <w:jc w:val="both"/>
        <w:rPr>
          <w:rtl/>
        </w:rPr>
      </w:pPr>
    </w:p>
    <w:p w14:paraId="0FFE99C3" w14:textId="77777777" w:rsidR="00BD2A7F" w:rsidRDefault="00305436">
      <w:pPr>
        <w:spacing w:line="360" w:lineRule="auto"/>
        <w:ind w:left="360" w:hanging="360"/>
        <w:jc w:val="both"/>
        <w:rPr>
          <w:rtl/>
        </w:rPr>
      </w:pPr>
      <w:r>
        <w:rPr>
          <w:rFonts w:hint="cs"/>
          <w:rtl/>
        </w:rPr>
        <w:t>13.</w:t>
      </w:r>
      <w:r>
        <w:rPr>
          <w:rFonts w:hint="cs"/>
          <w:rtl/>
        </w:rPr>
        <w:tab/>
      </w:r>
      <w:r>
        <w:rPr>
          <w:rtl/>
        </w:rPr>
        <w:tab/>
      </w:r>
      <w:r>
        <w:rPr>
          <w:rFonts w:hint="cs"/>
          <w:rtl/>
        </w:rPr>
        <w:t xml:space="preserve">הנאשם בדברו האחרון, הביע חרטה וצער, סיפר על קשייו וצערו נוכח פטירת אביו במהלך </w:t>
      </w:r>
    </w:p>
    <w:p w14:paraId="355D7A6C" w14:textId="77777777" w:rsidR="00BD2A7F" w:rsidRDefault="00305436">
      <w:pPr>
        <w:spacing w:line="360" w:lineRule="auto"/>
        <w:ind w:left="720"/>
        <w:jc w:val="both"/>
        <w:rPr>
          <w:rtl/>
        </w:rPr>
      </w:pPr>
      <w:r>
        <w:rPr>
          <w:rFonts w:hint="cs"/>
          <w:rtl/>
        </w:rPr>
        <w:t xml:space="preserve">מאסרו האחרון. עוד הצהיר, כי אינו  מעורב בפלילים משך שנה וחצי ושומר על עצמו, וביקש רחמי בית המשפט. </w:t>
      </w:r>
    </w:p>
    <w:p w14:paraId="5E2E5DFE" w14:textId="77777777" w:rsidR="00BD2A7F" w:rsidRDefault="00BD2A7F">
      <w:pPr>
        <w:spacing w:line="360" w:lineRule="auto"/>
        <w:ind w:left="720"/>
        <w:contextualSpacing/>
        <w:jc w:val="both"/>
      </w:pPr>
    </w:p>
    <w:p w14:paraId="33D8D488" w14:textId="77777777" w:rsidR="00BD2A7F" w:rsidRDefault="00305436">
      <w:pPr>
        <w:spacing w:line="360" w:lineRule="auto"/>
        <w:jc w:val="both"/>
        <w:rPr>
          <w:rFonts w:cs="Times New Roman"/>
          <w:b/>
          <w:bCs/>
          <w:u w:val="single"/>
        </w:rPr>
      </w:pPr>
      <w:r>
        <w:rPr>
          <w:rFonts w:hint="cs"/>
          <w:b/>
          <w:bCs/>
          <w:u w:val="single"/>
          <w:rtl/>
        </w:rPr>
        <w:t>דיון והכרעה</w:t>
      </w:r>
    </w:p>
    <w:p w14:paraId="205E3788" w14:textId="77777777" w:rsidR="00BD2A7F" w:rsidRDefault="00BD2A7F">
      <w:pPr>
        <w:spacing w:line="360" w:lineRule="auto"/>
        <w:jc w:val="both"/>
        <w:rPr>
          <w:b/>
          <w:bCs/>
          <w:u w:val="single"/>
          <w:rtl/>
        </w:rPr>
      </w:pPr>
    </w:p>
    <w:p w14:paraId="598512E1" w14:textId="77777777" w:rsidR="00BD2A7F" w:rsidRDefault="00305436">
      <w:pPr>
        <w:spacing w:line="360" w:lineRule="auto"/>
        <w:jc w:val="both"/>
        <w:rPr>
          <w:b/>
          <w:bCs/>
          <w:u w:val="single"/>
          <w:rtl/>
        </w:rPr>
      </w:pPr>
      <w:r>
        <w:rPr>
          <w:rFonts w:hint="cs"/>
          <w:b/>
          <w:bCs/>
          <w:u w:val="single"/>
          <w:rtl/>
        </w:rPr>
        <w:t>קביעת מתחם העונש ההולם</w:t>
      </w:r>
    </w:p>
    <w:p w14:paraId="61321D99" w14:textId="77777777" w:rsidR="00BD2A7F" w:rsidRDefault="00BD2A7F">
      <w:pPr>
        <w:spacing w:line="360" w:lineRule="auto"/>
        <w:jc w:val="both"/>
        <w:rPr>
          <w:b/>
          <w:bCs/>
          <w:u w:val="single"/>
          <w:rtl/>
        </w:rPr>
      </w:pPr>
    </w:p>
    <w:p w14:paraId="5AA66AF2" w14:textId="77777777" w:rsidR="00BD2A7F" w:rsidRDefault="00305436">
      <w:pPr>
        <w:spacing w:line="360" w:lineRule="auto"/>
        <w:ind w:left="709" w:hanging="709"/>
        <w:jc w:val="both"/>
        <w:rPr>
          <w:rtl/>
        </w:rPr>
      </w:pPr>
      <w:r>
        <w:rPr>
          <w:rFonts w:hint="cs"/>
          <w:rtl/>
        </w:rPr>
        <w:t>14.</w:t>
      </w:r>
      <w:r>
        <w:rPr>
          <w:rFonts w:hint="cs"/>
          <w:rtl/>
        </w:rPr>
        <w:tab/>
        <w:t xml:space="preserve">עקרון ההלימה הוא העיקרון העומד בראש קביעת מתחם העונש, בהתאם להוראת </w:t>
      </w:r>
      <w:hyperlink r:id="rId20" w:history="1">
        <w:r w:rsidR="00636C1D" w:rsidRPr="00636C1D">
          <w:rPr>
            <w:rStyle w:val="Hyperlink"/>
            <w:rFonts w:hint="eastAsia"/>
            <w:color w:val="0000FF"/>
            <w:rtl/>
          </w:rPr>
          <w:t>סעיף</w:t>
        </w:r>
        <w:r w:rsidR="00636C1D" w:rsidRPr="00636C1D">
          <w:rPr>
            <w:rStyle w:val="Hyperlink"/>
            <w:color w:val="0000FF"/>
            <w:rtl/>
          </w:rPr>
          <w:t xml:space="preserve"> 40ג(א)</w:t>
        </w:r>
      </w:hyperlink>
      <w:r>
        <w:rPr>
          <w:rFonts w:hint="cs"/>
          <w:u w:val="single"/>
          <w:rtl/>
        </w:rPr>
        <w:t xml:space="preserve"> ל</w:t>
      </w:r>
      <w:hyperlink r:id="rId21" w:history="1">
        <w:r w:rsidRPr="00305436">
          <w:rPr>
            <w:color w:val="0000FF"/>
            <w:u w:val="single"/>
            <w:rtl/>
          </w:rPr>
          <w:t>חוק העונשין</w:t>
        </w:r>
      </w:hyperlink>
      <w:r>
        <w:rPr>
          <w:rFonts w:hint="cs"/>
          <w:u w:val="single"/>
          <w:rtl/>
        </w:rPr>
        <w:t>, התשל"ז – 1977 (להלן: "החוק")</w:t>
      </w:r>
      <w:r>
        <w:rPr>
          <w:rFonts w:hint="cs"/>
          <w:rtl/>
        </w:rPr>
        <w:t>, לפיו בעת גזירת עונשו של נאשם על בית המשפט לקבוע, את מתחם העונש ההולם את המעשים בגינם הורשע הנאשם, להתחשב</w:t>
      </w:r>
      <w:r>
        <w:rPr>
          <w:rFonts w:cs="Miriam" w:hint="cs"/>
          <w:rtl/>
        </w:rPr>
        <w:t xml:space="preserve"> בערך החברתי</w:t>
      </w:r>
      <w:r>
        <w:rPr>
          <w:rFonts w:hint="cs"/>
          <w:sz w:val="26"/>
          <w:szCs w:val="26"/>
          <w:rtl/>
        </w:rPr>
        <w:t xml:space="preserve"> </w:t>
      </w:r>
      <w:r>
        <w:rPr>
          <w:rFonts w:hint="cs"/>
          <w:rtl/>
        </w:rPr>
        <w:t>שנפגע מביצוע העבירה ובמידת הפגיעה בו</w:t>
      </w:r>
      <w:r>
        <w:rPr>
          <w:rFonts w:hint="cs"/>
          <w:sz w:val="26"/>
          <w:szCs w:val="26"/>
          <w:rtl/>
        </w:rPr>
        <w:t>,</w:t>
      </w:r>
      <w:r>
        <w:rPr>
          <w:rFonts w:hint="cs"/>
          <w:rtl/>
        </w:rPr>
        <w:t xml:space="preserve"> </w:t>
      </w:r>
      <w:r>
        <w:rPr>
          <w:rFonts w:cs="Miriam" w:hint="cs"/>
          <w:rtl/>
        </w:rPr>
        <w:t>במדיניות הענישה הנוהגת ובנסיבות הקשורות בביצוע העבירה</w:t>
      </w:r>
      <w:r>
        <w:rPr>
          <w:rFonts w:hint="cs"/>
          <w:rtl/>
        </w:rPr>
        <w:t>. לאחר מכן,</w:t>
      </w:r>
      <w:r>
        <w:rPr>
          <w:rFonts w:cs="Miriam Fixed" w:hint="cs"/>
          <w:rtl/>
        </w:rPr>
        <w:t xml:space="preserve"> </w:t>
      </w:r>
      <w:r>
        <w:rPr>
          <w:rFonts w:cs="Miriam" w:hint="cs"/>
          <w:rtl/>
        </w:rPr>
        <w:t>בתוך מתחם העונש</w:t>
      </w:r>
      <w:r>
        <w:rPr>
          <w:rFonts w:cs="Miriam Fixed" w:hint="cs"/>
          <w:rtl/>
        </w:rPr>
        <w:t xml:space="preserve"> </w:t>
      </w:r>
      <w:r>
        <w:rPr>
          <w:rFonts w:cs="Miriam" w:hint="cs"/>
          <w:rtl/>
        </w:rPr>
        <w:t>ההולם</w:t>
      </w:r>
      <w:r>
        <w:rPr>
          <w:rFonts w:cs="Miriam Fixed" w:hint="cs"/>
          <w:rtl/>
        </w:rPr>
        <w:t xml:space="preserve"> </w:t>
      </w:r>
      <w:r>
        <w:rPr>
          <w:rFonts w:hint="cs"/>
          <w:rtl/>
        </w:rPr>
        <w:t>יגזור בית המשפט את העונש המתאים לנאשם,</w:t>
      </w:r>
      <w:r>
        <w:rPr>
          <w:rFonts w:hint="cs"/>
          <w:sz w:val="26"/>
          <w:szCs w:val="26"/>
          <w:rtl/>
        </w:rPr>
        <w:t xml:space="preserve"> </w:t>
      </w:r>
      <w:r>
        <w:rPr>
          <w:rFonts w:hint="cs"/>
          <w:rtl/>
        </w:rPr>
        <w:t xml:space="preserve">בהתחשב בנסיבות המקרה הספציפי ובהתאם למתחם העונש שנקבע. </w:t>
      </w:r>
    </w:p>
    <w:p w14:paraId="3D61A320" w14:textId="77777777" w:rsidR="00BD2A7F" w:rsidRDefault="00BD2A7F">
      <w:pPr>
        <w:spacing w:line="360" w:lineRule="auto"/>
        <w:ind w:left="1080"/>
        <w:contextualSpacing/>
        <w:jc w:val="both"/>
        <w:rPr>
          <w:rFonts w:ascii="Arial" w:hAnsi="Arial" w:cs="Arial"/>
        </w:rPr>
      </w:pPr>
    </w:p>
    <w:p w14:paraId="65BBDAF7" w14:textId="77777777" w:rsidR="00BD2A7F" w:rsidRDefault="00305436">
      <w:pPr>
        <w:spacing w:line="360" w:lineRule="auto"/>
        <w:ind w:left="709" w:hanging="709"/>
        <w:jc w:val="both"/>
        <w:rPr>
          <w:rFonts w:cs="Times New Roman"/>
          <w:rtl/>
          <w:lang w:eastAsia="he-IL"/>
        </w:rPr>
      </w:pPr>
      <w:r>
        <w:rPr>
          <w:rFonts w:hint="cs"/>
          <w:rtl/>
          <w:lang w:eastAsia="he-IL"/>
        </w:rPr>
        <w:t>15.</w:t>
      </w:r>
      <w:r>
        <w:rPr>
          <w:rFonts w:hint="cs"/>
          <w:rtl/>
          <w:lang w:eastAsia="he-IL"/>
        </w:rPr>
        <w:tab/>
        <w:t xml:space="preserve">הערך החברתי המוגן העומד בבסיס עבירות הסמים ואשר נפגע כתוצאה מביצוע העבירות בגינן הורשע הנאשם, הינו בראש ובראשונה בריאות הציבור, לצד ההגנה על שלום הציבור וסיכון מפני ביצוע עבירות פליליות, ומפני הנזקים החברתיים הישירים והעקיפים אשר נגרמים כתוצאה מסמים מסוכנים, כמו כן הפגיעה בסדר ובארגון שבבית - הסוהר שיש בו כדי לפתוח פתח  לאלימות יתרה בין האסירים, ולהערים קשיים על כוחות שירות בתי הסוהר לנהל את מתקן הכלא באופן סדיר ותקין. </w:t>
      </w:r>
    </w:p>
    <w:p w14:paraId="72CC157C" w14:textId="77777777" w:rsidR="00BD2A7F" w:rsidRDefault="00BD2A7F">
      <w:pPr>
        <w:spacing w:after="120" w:line="360" w:lineRule="auto"/>
        <w:ind w:left="720" w:hanging="720"/>
        <w:jc w:val="both"/>
        <w:rPr>
          <w:rFonts w:ascii="Calibri" w:hAnsi="Calibri"/>
          <w:color w:val="000000"/>
          <w:rtl/>
        </w:rPr>
      </w:pPr>
    </w:p>
    <w:p w14:paraId="1A613B7F" w14:textId="77777777" w:rsidR="00BD2A7F" w:rsidRDefault="00305436">
      <w:pPr>
        <w:spacing w:line="360" w:lineRule="auto"/>
        <w:ind w:left="709" w:hanging="709"/>
        <w:jc w:val="both"/>
        <w:rPr>
          <w:rFonts w:ascii="Arial" w:hAnsi="Arial" w:cs="Arial"/>
        </w:rPr>
      </w:pPr>
      <w:r>
        <w:rPr>
          <w:rFonts w:hint="cs"/>
          <w:rtl/>
        </w:rPr>
        <w:t>16.</w:t>
      </w:r>
      <w:r>
        <w:rPr>
          <w:rFonts w:hint="cs"/>
          <w:rtl/>
        </w:rPr>
        <w:tab/>
        <w:t xml:space="preserve">מידת הפגיעה בערך המוגן המונח בבסיס עבירת החזקת הסמים בין כותלי הכלא, רבה וחמורה. המדובר במי אשר בעודו מרצה עונש מאסר בגין עבירות סמים, החזיק בשתי הזדמנויות סם קטלני מסוג הרואין במשקלים נכבדים. פוטנציאל הנזק בעבירות כגון דא ברור ומוחשי, והדברים נאמרים במשנה תוקף כאשר ציבור הצרכנים הם אותם אסירים אשר מצויים בין כותלי הכלא והשלכות השימוש בסמים במקום שכזה. </w:t>
      </w:r>
    </w:p>
    <w:p w14:paraId="1F343DF2" w14:textId="77777777" w:rsidR="00BD2A7F" w:rsidRDefault="00BD2A7F">
      <w:pPr>
        <w:pStyle w:val="ListParagraph"/>
        <w:spacing w:line="360" w:lineRule="auto"/>
        <w:jc w:val="both"/>
        <w:rPr>
          <w:rFonts w:ascii="Arial" w:hAnsi="Arial" w:cs="Arial"/>
          <w:sz w:val="24"/>
          <w:szCs w:val="24"/>
          <w:rtl/>
        </w:rPr>
      </w:pPr>
    </w:p>
    <w:p w14:paraId="32393958" w14:textId="77777777" w:rsidR="00BD2A7F" w:rsidRDefault="00305436">
      <w:pPr>
        <w:spacing w:line="360" w:lineRule="auto"/>
        <w:ind w:left="709" w:hanging="709"/>
        <w:jc w:val="both"/>
        <w:rPr>
          <w:rFonts w:ascii="Calibri" w:hAnsi="Calibri" w:cs="Calibri"/>
        </w:rPr>
      </w:pPr>
      <w:r>
        <w:rPr>
          <w:rFonts w:hint="cs"/>
          <w:rtl/>
        </w:rPr>
        <w:t>17.</w:t>
      </w:r>
      <w:r>
        <w:rPr>
          <w:rFonts w:hint="cs"/>
          <w:rtl/>
        </w:rPr>
        <w:tab/>
        <w:t>יצוין, שנוכח תיקון כתב האישום, ובהסכמת הצדדים, אראה במעשי הנאשם בגינם הורשע אירוע עברייני אחד, על אף פער הזמנים, ויש בכך כדי להשליך על גזר דיני.</w:t>
      </w:r>
    </w:p>
    <w:p w14:paraId="5859A2EF" w14:textId="77777777" w:rsidR="00BD2A7F" w:rsidRDefault="00BD2A7F">
      <w:pPr>
        <w:spacing w:line="360" w:lineRule="auto"/>
        <w:ind w:left="720"/>
        <w:contextualSpacing/>
        <w:jc w:val="both"/>
        <w:rPr>
          <w:rFonts w:ascii="Arial" w:hAnsi="Arial" w:cs="Arial"/>
          <w:sz w:val="22"/>
          <w:szCs w:val="22"/>
        </w:rPr>
      </w:pPr>
    </w:p>
    <w:p w14:paraId="01CC8CFC" w14:textId="77777777" w:rsidR="00BD2A7F" w:rsidRDefault="00305436">
      <w:pPr>
        <w:spacing w:line="360" w:lineRule="auto"/>
        <w:ind w:left="709" w:hanging="709"/>
        <w:jc w:val="both"/>
        <w:rPr>
          <w:rFonts w:ascii="Calibri" w:hAnsi="Calibri" w:cs="Calibri"/>
          <w:b/>
          <w:bCs/>
          <w:u w:val="single"/>
          <w:rtl/>
        </w:rPr>
      </w:pPr>
      <w:r>
        <w:rPr>
          <w:rFonts w:hint="cs"/>
          <w:rtl/>
        </w:rPr>
        <w:t>18.</w:t>
      </w:r>
      <w:r>
        <w:rPr>
          <w:rFonts w:hint="cs"/>
          <w:rtl/>
        </w:rPr>
        <w:tab/>
        <w:t xml:space="preserve">בתי המשפט הדגישו חזור ושנה את חומרתן היתרה של עבירות הסמים, והשלכותיו הקשות על גופו ונפשו של המשתמש, ולפי כך נקבע כי הענישה אמורה לשקף את הצורך במיגור תופעה זו. ראה </w:t>
      </w:r>
      <w:hyperlink r:id="rId22" w:history="1">
        <w:r w:rsidRPr="00305436">
          <w:rPr>
            <w:color w:val="0000FF"/>
            <w:u w:val="single"/>
            <w:rtl/>
          </w:rPr>
          <w:t>ע"פ 3117/12</w:t>
        </w:r>
      </w:hyperlink>
      <w:r>
        <w:rPr>
          <w:rFonts w:hint="cs"/>
          <w:b/>
          <w:bCs/>
          <w:rtl/>
        </w:rPr>
        <w:t xml:space="preserve"> </w:t>
      </w:r>
      <w:r>
        <w:rPr>
          <w:rFonts w:cs="Miriam" w:hint="cs"/>
          <w:rtl/>
        </w:rPr>
        <w:t>שמעון ארביב נ' מדינת ישראל</w:t>
      </w:r>
      <w:r>
        <w:rPr>
          <w:rFonts w:cs="FrankRuehl" w:hint="cs"/>
          <w:sz w:val="28"/>
          <w:szCs w:val="28"/>
          <w:rtl/>
        </w:rPr>
        <w:t xml:space="preserve"> (6.9.12).</w:t>
      </w:r>
      <w:r>
        <w:rPr>
          <w:rFonts w:hint="cs"/>
          <w:rtl/>
        </w:rPr>
        <w:t xml:space="preserve"> כן ראו </w:t>
      </w:r>
      <w:hyperlink r:id="rId23" w:history="1">
        <w:r w:rsidRPr="00305436">
          <w:rPr>
            <w:color w:val="0000FF"/>
            <w:u w:val="single"/>
            <w:rtl/>
          </w:rPr>
          <w:t>ע"פ 6029/03 מדינת ישראל נ' שמאי פ"ד נח</w:t>
        </w:r>
      </w:hyperlink>
      <w:r>
        <w:rPr>
          <w:rFonts w:hint="cs"/>
          <w:rtl/>
        </w:rPr>
        <w:t>(2) 734</w:t>
      </w:r>
      <w:r>
        <w:rPr>
          <w:rFonts w:hint="cs"/>
          <w:b/>
          <w:bCs/>
          <w:rtl/>
        </w:rPr>
        <w:t xml:space="preserve"> </w:t>
      </w:r>
      <w:r>
        <w:rPr>
          <w:rFonts w:hint="cs"/>
          <w:rtl/>
        </w:rPr>
        <w:t>מפי כב' השופט מ' חשין, שם הודגש כי יש להילחם מלחמת חורמה קשה וארוכה, בעברייני הסמים המחזיקים, הסוחרים והמפיצים  וביתר שאת, בהחזקת הסמים בין כותלי בית הסוהר</w:t>
      </w:r>
      <w:r>
        <w:rPr>
          <w:rFonts w:hint="cs"/>
          <w:b/>
          <w:bCs/>
          <w:rtl/>
        </w:rPr>
        <w:t xml:space="preserve">. </w:t>
      </w:r>
      <w:r>
        <w:rPr>
          <w:rFonts w:hint="cs"/>
          <w:rtl/>
        </w:rPr>
        <w:t>עוד ראה</w:t>
      </w:r>
      <w:r>
        <w:rPr>
          <w:rFonts w:hint="cs"/>
          <w:b/>
          <w:bCs/>
          <w:rtl/>
        </w:rPr>
        <w:t xml:space="preserve"> </w:t>
      </w:r>
      <w:hyperlink r:id="rId24" w:history="1">
        <w:r w:rsidRPr="00305436">
          <w:rPr>
            <w:color w:val="0000FF"/>
            <w:u w:val="single"/>
            <w:rtl/>
          </w:rPr>
          <w:t>ע"פ 5233/09</w:t>
        </w:r>
      </w:hyperlink>
      <w:r>
        <w:rPr>
          <w:rFonts w:hint="cs"/>
          <w:b/>
          <w:bCs/>
          <w:rtl/>
        </w:rPr>
        <w:t xml:space="preserve"> </w:t>
      </w:r>
      <w:r>
        <w:rPr>
          <w:rFonts w:cs="Miriam" w:hint="cs"/>
          <w:rtl/>
        </w:rPr>
        <w:t>מדינת ישראל נ' פלוני</w:t>
      </w:r>
      <w:r>
        <w:rPr>
          <w:rFonts w:hint="cs"/>
          <w:b/>
          <w:bCs/>
          <w:rtl/>
        </w:rPr>
        <w:t xml:space="preserve"> </w:t>
      </w:r>
      <w:r>
        <w:rPr>
          <w:rFonts w:hint="cs"/>
          <w:rtl/>
        </w:rPr>
        <w:t>(09.11.2009).</w:t>
      </w:r>
      <w:r>
        <w:rPr>
          <w:rFonts w:hint="cs"/>
          <w:b/>
          <w:bCs/>
          <w:rtl/>
        </w:rPr>
        <w:t xml:space="preserve"> </w:t>
      </w:r>
    </w:p>
    <w:p w14:paraId="1F495114" w14:textId="77777777" w:rsidR="00BD2A7F" w:rsidRDefault="00BD2A7F">
      <w:pPr>
        <w:pStyle w:val="ListParagraph"/>
        <w:spacing w:line="360" w:lineRule="auto"/>
        <w:jc w:val="both"/>
        <w:rPr>
          <w:b/>
          <w:bCs/>
          <w:sz w:val="24"/>
          <w:szCs w:val="24"/>
          <w:u w:val="single"/>
        </w:rPr>
      </w:pPr>
    </w:p>
    <w:p w14:paraId="5AB82237" w14:textId="77777777" w:rsidR="00BD2A7F" w:rsidRDefault="00305436">
      <w:pPr>
        <w:overflowPunct w:val="0"/>
        <w:autoSpaceDE w:val="0"/>
        <w:autoSpaceDN w:val="0"/>
        <w:spacing w:line="360" w:lineRule="auto"/>
        <w:ind w:left="1069"/>
        <w:jc w:val="both"/>
      </w:pPr>
      <w:r>
        <w:rPr>
          <w:rFonts w:hint="cs"/>
          <w:rtl/>
        </w:rPr>
        <w:t>יפים לעניין זה דברי כב' הש' מלצר ב</w:t>
      </w:r>
      <w:hyperlink r:id="rId25" w:history="1">
        <w:r w:rsidRPr="00305436">
          <w:rPr>
            <w:color w:val="0000FF"/>
            <w:u w:val="single"/>
            <w:rtl/>
          </w:rPr>
          <w:t>ע"פ 1932/15</w:t>
        </w:r>
      </w:hyperlink>
      <w:r>
        <w:rPr>
          <w:rFonts w:hint="cs"/>
          <w:u w:val="single"/>
          <w:rtl/>
        </w:rPr>
        <w:t xml:space="preserve"> </w:t>
      </w:r>
      <w:r>
        <w:rPr>
          <w:rFonts w:cs="Miriam" w:hint="cs"/>
          <w:rtl/>
        </w:rPr>
        <w:t>פיליפ בן סעדון נ' מדינת ישראל,</w:t>
      </w:r>
      <w:r>
        <w:rPr>
          <w:rFonts w:hint="cs"/>
          <w:rtl/>
        </w:rPr>
        <w:t xml:space="preserve"> שניתן לפני מספר ימים (17.4.16), בעניינו של מערער שהורשע בעבירות של החזקת סם שלא לצריכה עצמית, לא השכיל לנצל את ההליך הטיפולי בו שולב, ונדון למאסר בן 42 חודשים, בהדגישו את הסכנות הגלומות בשימוש והפצת סמים מסוכנים והחומרה המיוחדת שמייחסת הפסיקה למקרים בהם מבוצעות עבירות של החזקת סם בכמות שאינה לצריכה עצמית:</w:t>
      </w:r>
    </w:p>
    <w:p w14:paraId="6505806E" w14:textId="77777777" w:rsidR="00BD2A7F" w:rsidRDefault="00BD2A7F">
      <w:pPr>
        <w:overflowPunct w:val="0"/>
        <w:autoSpaceDE w:val="0"/>
        <w:autoSpaceDN w:val="0"/>
        <w:spacing w:line="360" w:lineRule="auto"/>
        <w:ind w:left="1069"/>
        <w:jc w:val="both"/>
      </w:pPr>
    </w:p>
    <w:p w14:paraId="1F1CDDBF" w14:textId="77777777" w:rsidR="00BD2A7F" w:rsidRDefault="00305436">
      <w:pPr>
        <w:overflowPunct w:val="0"/>
        <w:autoSpaceDE w:val="0"/>
        <w:autoSpaceDN w:val="0"/>
        <w:spacing w:line="360" w:lineRule="auto"/>
        <w:ind w:left="1069"/>
        <w:jc w:val="both"/>
        <w:rPr>
          <w:b/>
          <w:bCs/>
          <w:rtl/>
        </w:rPr>
      </w:pPr>
      <w:r>
        <w:rPr>
          <w:rFonts w:hint="cs"/>
          <w:b/>
          <w:bCs/>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w:t>
      </w:r>
    </w:p>
    <w:p w14:paraId="31739D70" w14:textId="77777777" w:rsidR="00BD2A7F" w:rsidRDefault="00305436">
      <w:pPr>
        <w:overflowPunct w:val="0"/>
        <w:autoSpaceDE w:val="0"/>
        <w:autoSpaceDN w:val="0"/>
        <w:spacing w:line="360" w:lineRule="auto"/>
        <w:ind w:left="1069"/>
        <w:jc w:val="both"/>
        <w:rPr>
          <w:rFonts w:cs="Miriam"/>
          <w:rtl/>
        </w:rPr>
      </w:pPr>
      <w:r>
        <w:rPr>
          <w:rFonts w:hint="cs"/>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סם מיד ליד</w:t>
      </w:r>
      <w:r>
        <w:rPr>
          <w:rFonts w:hint="cs"/>
          <w:rtl/>
        </w:rPr>
        <w:t>" (</w:t>
      </w:r>
      <w:hyperlink r:id="rId26" w:history="1">
        <w:r w:rsidRPr="00305436">
          <w:rPr>
            <w:color w:val="0000FF"/>
            <w:u w:val="single"/>
            <w:rtl/>
          </w:rPr>
          <w:t>ע"פ 211/09</w:t>
        </w:r>
      </w:hyperlink>
      <w:r>
        <w:rPr>
          <w:rFonts w:hint="cs"/>
          <w:u w:val="single"/>
          <w:rtl/>
        </w:rPr>
        <w:t xml:space="preserve"> </w:t>
      </w:r>
      <w:r>
        <w:rPr>
          <w:rFonts w:cs="Miriam" w:hint="cs"/>
          <w:rtl/>
        </w:rPr>
        <w:t>אזולאי נ' מדינת ישראל, 22.6.10)</w:t>
      </w:r>
    </w:p>
    <w:p w14:paraId="3B6B9C3E" w14:textId="77777777" w:rsidR="00BD2A7F" w:rsidRDefault="00BD2A7F">
      <w:pPr>
        <w:overflowPunct w:val="0"/>
        <w:autoSpaceDE w:val="0"/>
        <w:autoSpaceDN w:val="0"/>
        <w:spacing w:line="360" w:lineRule="auto"/>
        <w:ind w:left="1789"/>
        <w:jc w:val="both"/>
        <w:rPr>
          <w:b/>
          <w:bCs/>
          <w:rtl/>
        </w:rPr>
      </w:pPr>
    </w:p>
    <w:p w14:paraId="2A55C619" w14:textId="77777777" w:rsidR="00BD2A7F" w:rsidRDefault="00305436">
      <w:pPr>
        <w:spacing w:line="360" w:lineRule="auto"/>
        <w:ind w:left="709" w:hanging="709"/>
        <w:jc w:val="both"/>
        <w:rPr>
          <w:rFonts w:cs="Calibri"/>
          <w:rtl/>
        </w:rPr>
      </w:pPr>
      <w:r>
        <w:rPr>
          <w:rFonts w:hint="cs"/>
          <w:rtl/>
        </w:rPr>
        <w:t>19.</w:t>
      </w:r>
      <w:r>
        <w:rPr>
          <w:rFonts w:hint="cs"/>
          <w:rtl/>
        </w:rPr>
        <w:tab/>
        <w:t>מדיניות הענישה הראויה, בגין העבירות שבהן הורשע הנאשם מחמירה ומחייבת הטלת עונשים מרתיעים מאלה אשר בוצעו מחוץ לכותלי הכלא. בפסיקות שונות הודגשה החובה להילחם בתופעת הברחות סמים לתוככי הכלא או הפצתם בין כותליו באמצעות ענישה קשה. על כגון דא נאמר ב</w:t>
      </w:r>
      <w:hyperlink r:id="rId27" w:history="1">
        <w:r w:rsidRPr="00305436">
          <w:rPr>
            <w:rFonts w:ascii="Arial" w:hAnsi="Arial"/>
            <w:color w:val="0000FF"/>
            <w:u w:val="single"/>
            <w:rtl/>
          </w:rPr>
          <w:t>ע"פ 6048/04</w:t>
        </w:r>
      </w:hyperlink>
      <w:r>
        <w:rPr>
          <w:rFonts w:hint="cs"/>
          <w:rtl/>
        </w:rPr>
        <w:t xml:space="preserve"> </w:t>
      </w:r>
      <w:r>
        <w:rPr>
          <w:rFonts w:cs="Miriam" w:hint="cs"/>
          <w:rtl/>
        </w:rPr>
        <w:t>אברהם אדגואיצאנו נ' מדינת ישראל</w:t>
      </w:r>
      <w:r>
        <w:rPr>
          <w:rFonts w:hint="cs"/>
          <w:rtl/>
        </w:rPr>
        <w:t xml:space="preserve"> (לא פורסם, 12.07.05) מפי השופטת ע. ארבל: </w:t>
      </w:r>
      <w:r>
        <w:rPr>
          <w:rFonts w:hint="cs"/>
          <w:b/>
          <w:bCs/>
          <w:rtl/>
        </w:rPr>
        <w:t xml:space="preserve">"... עבירות סמים הן עבירות חמורות והחדרת סמים מסוכנים אל בין כתלי הכלא, במיוחד כשמדובר בסם המסוכן והקטלני שבין הסמים, חמורה היא שבעתיים ויש לעשות הכל על מנת להלחם בנגע הסמים ובתופעה של החדרת סמים לכלא". </w:t>
      </w:r>
      <w:r>
        <w:rPr>
          <w:rFonts w:hint="cs"/>
          <w:rtl/>
        </w:rPr>
        <w:t xml:space="preserve">ראו לעניין זה גם </w:t>
      </w:r>
      <w:hyperlink r:id="rId28" w:history="1">
        <w:r w:rsidRPr="00305436">
          <w:rPr>
            <w:color w:val="0000FF"/>
            <w:u w:val="single"/>
            <w:rtl/>
          </w:rPr>
          <w:t>ע"פ 5233/09</w:t>
        </w:r>
      </w:hyperlink>
      <w:r>
        <w:rPr>
          <w:rFonts w:hint="cs"/>
          <w:rtl/>
        </w:rPr>
        <w:t xml:space="preserve"> </w:t>
      </w:r>
      <w:r>
        <w:rPr>
          <w:rFonts w:cs="Miriam" w:hint="cs"/>
          <w:rtl/>
        </w:rPr>
        <w:t>מדינת ישראל נ' פלוני</w:t>
      </w:r>
      <w:r>
        <w:rPr>
          <w:rFonts w:hint="cs"/>
          <w:rtl/>
        </w:rPr>
        <w:t xml:space="preserve"> (מיום 9.11.09).</w:t>
      </w:r>
    </w:p>
    <w:p w14:paraId="379D832D" w14:textId="77777777" w:rsidR="00BD2A7F" w:rsidRDefault="00BD2A7F">
      <w:pPr>
        <w:spacing w:line="360" w:lineRule="auto"/>
        <w:ind w:left="1069"/>
        <w:contextualSpacing/>
        <w:jc w:val="both"/>
        <w:rPr>
          <w:rtl/>
        </w:rPr>
      </w:pPr>
    </w:p>
    <w:p w14:paraId="30BE23E0" w14:textId="77777777" w:rsidR="00BD2A7F" w:rsidRDefault="00305436">
      <w:pPr>
        <w:spacing w:line="360" w:lineRule="auto"/>
        <w:ind w:left="709" w:hanging="709"/>
        <w:jc w:val="both"/>
        <w:rPr>
          <w:rtl/>
        </w:rPr>
      </w:pPr>
      <w:r>
        <w:rPr>
          <w:rFonts w:hint="cs"/>
          <w:rtl/>
        </w:rPr>
        <w:t>20.</w:t>
      </w:r>
      <w:r>
        <w:rPr>
          <w:rFonts w:hint="cs"/>
          <w:rtl/>
        </w:rPr>
        <w:tab/>
        <w:t>הכבדת הענישה ניכרת גם ברמת הענישה המחמירה, כשבעבירות דומות הושתו על נאשמים עונשי מאסר בפועל בין שנה  לשלוש שנים, כך לדוגמא:</w:t>
      </w:r>
    </w:p>
    <w:p w14:paraId="097309A4" w14:textId="77777777" w:rsidR="00BD2A7F" w:rsidRDefault="00BD2A7F">
      <w:pPr>
        <w:pStyle w:val="ListParagraph"/>
        <w:spacing w:line="360" w:lineRule="auto"/>
        <w:jc w:val="both"/>
        <w:rPr>
          <w:sz w:val="24"/>
          <w:szCs w:val="24"/>
        </w:rPr>
      </w:pPr>
    </w:p>
    <w:p w14:paraId="1D459413" w14:textId="77777777" w:rsidR="00BD2A7F" w:rsidRDefault="00305436">
      <w:pPr>
        <w:pStyle w:val="ListParagraph"/>
        <w:numPr>
          <w:ilvl w:val="0"/>
          <w:numId w:val="1"/>
        </w:numPr>
        <w:spacing w:line="360" w:lineRule="auto"/>
        <w:jc w:val="both"/>
        <w:rPr>
          <w:rFonts w:cs="David"/>
          <w:sz w:val="24"/>
          <w:szCs w:val="24"/>
        </w:rPr>
      </w:pPr>
      <w:hyperlink r:id="rId29" w:history="1">
        <w:r w:rsidRPr="00305436">
          <w:rPr>
            <w:rFonts w:cs="David" w:hint="cs"/>
            <w:color w:val="0000FF"/>
            <w:sz w:val="24"/>
            <w:szCs w:val="24"/>
            <w:u w:val="single"/>
            <w:rtl/>
          </w:rPr>
          <w:t>רע</w:t>
        </w:r>
        <w:r w:rsidRPr="00305436">
          <w:rPr>
            <w:rFonts w:cs="David"/>
            <w:color w:val="0000FF"/>
            <w:sz w:val="24"/>
            <w:szCs w:val="24"/>
            <w:u w:val="single"/>
            <w:rtl/>
          </w:rPr>
          <w:t>"</w:t>
        </w:r>
        <w:r w:rsidRPr="00305436">
          <w:rPr>
            <w:rFonts w:cs="David" w:hint="cs"/>
            <w:color w:val="0000FF"/>
            <w:sz w:val="24"/>
            <w:szCs w:val="24"/>
            <w:u w:val="single"/>
            <w:rtl/>
          </w:rPr>
          <w:t>פ</w:t>
        </w:r>
        <w:r w:rsidRPr="00305436">
          <w:rPr>
            <w:rFonts w:cs="David"/>
            <w:color w:val="0000FF"/>
            <w:sz w:val="24"/>
            <w:szCs w:val="24"/>
            <w:u w:val="single"/>
            <w:rtl/>
          </w:rPr>
          <w:t xml:space="preserve"> 2408/09</w:t>
        </w:r>
      </w:hyperlink>
      <w:r>
        <w:rPr>
          <w:rFonts w:cs="David" w:hint="cs"/>
          <w:sz w:val="24"/>
          <w:szCs w:val="24"/>
          <w:rtl/>
        </w:rPr>
        <w:t xml:space="preserve"> </w:t>
      </w:r>
      <w:r>
        <w:rPr>
          <w:rFonts w:cs="David" w:hint="cs"/>
          <w:b/>
          <w:bCs/>
          <w:sz w:val="24"/>
          <w:szCs w:val="24"/>
          <w:rtl/>
        </w:rPr>
        <w:t>קאיד סלאמה נ' מדינת ישראל,</w:t>
      </w:r>
      <w:r>
        <w:rPr>
          <w:rFonts w:cs="David" w:hint="cs"/>
          <w:sz w:val="24"/>
          <w:szCs w:val="24"/>
          <w:rtl/>
        </w:rPr>
        <w:t xml:space="preserve"> (28.7.09) – שם נדון אסיר שהחזיק בכלא סם הרואין במשקל 0.2 גר' למאסר בפועל בן 13 חודשים, הכולל הפעלת מאסר על תנאי.    </w:t>
      </w:r>
    </w:p>
    <w:p w14:paraId="114E58EC" w14:textId="77777777" w:rsidR="00BD2A7F" w:rsidRDefault="00305436">
      <w:pPr>
        <w:pStyle w:val="ListParagraph"/>
        <w:numPr>
          <w:ilvl w:val="0"/>
          <w:numId w:val="1"/>
        </w:numPr>
        <w:spacing w:line="360" w:lineRule="auto"/>
        <w:jc w:val="both"/>
        <w:rPr>
          <w:sz w:val="24"/>
          <w:szCs w:val="24"/>
        </w:rPr>
      </w:pPr>
      <w:r>
        <w:rPr>
          <w:rFonts w:cs="David" w:hint="cs"/>
          <w:sz w:val="24"/>
          <w:szCs w:val="24"/>
          <w:rtl/>
        </w:rPr>
        <w:t xml:space="preserve"> </w:t>
      </w:r>
      <w:hyperlink r:id="rId30" w:history="1">
        <w:r w:rsidRPr="00305436">
          <w:rPr>
            <w:rFonts w:cs="David" w:hint="cs"/>
            <w:color w:val="0000FF"/>
            <w:sz w:val="24"/>
            <w:szCs w:val="24"/>
            <w:u w:val="single"/>
            <w:rtl/>
          </w:rPr>
          <w:t>ע</w:t>
        </w:r>
        <w:r w:rsidRPr="00305436">
          <w:rPr>
            <w:rFonts w:cs="David"/>
            <w:color w:val="0000FF"/>
            <w:sz w:val="24"/>
            <w:szCs w:val="24"/>
            <w:u w:val="single"/>
            <w:rtl/>
          </w:rPr>
          <w:t>"</w:t>
        </w:r>
        <w:r w:rsidRPr="00305436">
          <w:rPr>
            <w:rFonts w:cs="David" w:hint="cs"/>
            <w:color w:val="0000FF"/>
            <w:sz w:val="24"/>
            <w:szCs w:val="24"/>
            <w:u w:val="single"/>
            <w:rtl/>
          </w:rPr>
          <w:t>פ</w:t>
        </w:r>
        <w:r w:rsidRPr="00305436">
          <w:rPr>
            <w:rFonts w:cs="David"/>
            <w:color w:val="0000FF"/>
            <w:sz w:val="24"/>
            <w:szCs w:val="24"/>
            <w:u w:val="single"/>
            <w:rtl/>
          </w:rPr>
          <w:t xml:space="preserve"> 5213/11</w:t>
        </w:r>
      </w:hyperlink>
      <w:r>
        <w:rPr>
          <w:rFonts w:cs="David" w:hint="cs"/>
          <w:sz w:val="24"/>
          <w:szCs w:val="24"/>
          <w:u w:val="single"/>
          <w:rtl/>
        </w:rPr>
        <w:t xml:space="preserve"> </w:t>
      </w:r>
      <w:r>
        <w:rPr>
          <w:rFonts w:cs="David" w:hint="cs"/>
          <w:b/>
          <w:bCs/>
          <w:sz w:val="24"/>
          <w:szCs w:val="24"/>
          <w:rtl/>
        </w:rPr>
        <w:t>דניס ארימייב נ' מדינת ישראל</w:t>
      </w:r>
      <w:r>
        <w:rPr>
          <w:rFonts w:cs="David" w:hint="cs"/>
          <w:sz w:val="24"/>
          <w:szCs w:val="24"/>
          <w:rtl/>
        </w:rPr>
        <w:t xml:space="preserve"> (21.6.12)- שם נדון המערער ל-51 חודשי מאסר על החדרת סם הרואין במשקל 33 גר', חשיש, וכדורי </w:t>
      </w:r>
      <w:r>
        <w:rPr>
          <w:sz w:val="24"/>
          <w:szCs w:val="24"/>
        </w:rPr>
        <w:t>MDMA</w:t>
      </w:r>
      <w:r>
        <w:rPr>
          <w:rFonts w:cs="David" w:hint="cs"/>
          <w:sz w:val="24"/>
          <w:szCs w:val="24"/>
          <w:rtl/>
        </w:rPr>
        <w:t xml:space="preserve"> וצירוף תיק חמור נוסף של החזקת סם בכלא. הערעור נדחה. </w:t>
      </w:r>
    </w:p>
    <w:p w14:paraId="05B61C2C" w14:textId="77777777" w:rsidR="00BD2A7F" w:rsidRDefault="00305436">
      <w:pPr>
        <w:pStyle w:val="ListParagraph"/>
        <w:numPr>
          <w:ilvl w:val="0"/>
          <w:numId w:val="1"/>
        </w:numPr>
        <w:spacing w:line="360" w:lineRule="auto"/>
        <w:jc w:val="both"/>
        <w:rPr>
          <w:sz w:val="24"/>
          <w:szCs w:val="24"/>
          <w:rtl/>
        </w:rPr>
      </w:pPr>
      <w:hyperlink r:id="rId31" w:history="1">
        <w:r w:rsidRPr="00305436">
          <w:rPr>
            <w:rFonts w:cs="David" w:hint="cs"/>
            <w:color w:val="0000FF"/>
            <w:sz w:val="24"/>
            <w:szCs w:val="24"/>
            <w:u w:val="single"/>
            <w:rtl/>
          </w:rPr>
          <w:t>עפ</w:t>
        </w:r>
        <w:r w:rsidRPr="00305436">
          <w:rPr>
            <w:rFonts w:cs="David"/>
            <w:color w:val="0000FF"/>
            <w:sz w:val="24"/>
            <w:szCs w:val="24"/>
            <w:u w:val="single"/>
            <w:rtl/>
          </w:rPr>
          <w:t>"</w:t>
        </w:r>
        <w:r w:rsidRPr="00305436">
          <w:rPr>
            <w:rFonts w:cs="David" w:hint="cs"/>
            <w:color w:val="0000FF"/>
            <w:sz w:val="24"/>
            <w:szCs w:val="24"/>
            <w:u w:val="single"/>
            <w:rtl/>
          </w:rPr>
          <w:t>ג</w:t>
        </w:r>
        <w:r w:rsidRPr="00305436">
          <w:rPr>
            <w:rFonts w:cs="David"/>
            <w:color w:val="0000FF"/>
            <w:sz w:val="24"/>
            <w:szCs w:val="24"/>
            <w:u w:val="single"/>
            <w:rtl/>
          </w:rPr>
          <w:t>(</w:t>
        </w:r>
        <w:r w:rsidRPr="00305436">
          <w:rPr>
            <w:rFonts w:cs="David" w:hint="cs"/>
            <w:color w:val="0000FF"/>
            <w:sz w:val="24"/>
            <w:szCs w:val="24"/>
            <w:u w:val="single"/>
            <w:rtl/>
          </w:rPr>
          <w:t>מרכז</w:t>
        </w:r>
        <w:r w:rsidRPr="00305436">
          <w:rPr>
            <w:rFonts w:cs="David"/>
            <w:color w:val="0000FF"/>
            <w:sz w:val="24"/>
            <w:szCs w:val="24"/>
            <w:u w:val="single"/>
            <w:rtl/>
          </w:rPr>
          <w:t>) 16338-11-08</w:t>
        </w:r>
      </w:hyperlink>
      <w:r>
        <w:rPr>
          <w:rFonts w:cs="David" w:hint="cs"/>
          <w:sz w:val="24"/>
          <w:szCs w:val="24"/>
          <w:rtl/>
        </w:rPr>
        <w:t xml:space="preserve"> </w:t>
      </w:r>
      <w:r>
        <w:rPr>
          <w:rFonts w:cs="David" w:hint="cs"/>
          <w:b/>
          <w:bCs/>
          <w:sz w:val="24"/>
          <w:szCs w:val="24"/>
          <w:rtl/>
        </w:rPr>
        <w:t>עבד חמיס נ' מדינת ישראל</w:t>
      </w:r>
      <w:r>
        <w:rPr>
          <w:rFonts w:cs="David" w:hint="cs"/>
          <w:sz w:val="24"/>
          <w:szCs w:val="24"/>
          <w:rtl/>
        </w:rPr>
        <w:t xml:space="preserve"> (18.2.09)- במסגרתו נדחה ערעור על גזר דין בן 14 חודשי מאסר, הכולל הפעלת מאסר על תנאי שהושת על אסיר שהבריח לכלא 6 גר' סם הירואין;</w:t>
      </w:r>
    </w:p>
    <w:p w14:paraId="36636D92" w14:textId="77777777" w:rsidR="00BD2A7F" w:rsidRDefault="00305436">
      <w:pPr>
        <w:pStyle w:val="ListParagraph"/>
        <w:numPr>
          <w:ilvl w:val="0"/>
          <w:numId w:val="1"/>
        </w:numPr>
        <w:spacing w:line="360" w:lineRule="auto"/>
        <w:jc w:val="both"/>
        <w:rPr>
          <w:sz w:val="24"/>
          <w:szCs w:val="24"/>
        </w:rPr>
      </w:pPr>
      <w:hyperlink r:id="rId32" w:history="1">
        <w:r w:rsidRPr="00305436">
          <w:rPr>
            <w:rFonts w:cs="David" w:hint="cs"/>
            <w:color w:val="0000FF"/>
            <w:sz w:val="24"/>
            <w:szCs w:val="24"/>
            <w:u w:val="single"/>
            <w:rtl/>
          </w:rPr>
          <w:t>ע</w:t>
        </w:r>
        <w:r w:rsidRPr="00305436">
          <w:rPr>
            <w:rFonts w:cs="David"/>
            <w:color w:val="0000FF"/>
            <w:sz w:val="24"/>
            <w:szCs w:val="24"/>
            <w:u w:val="single"/>
            <w:rtl/>
          </w:rPr>
          <w:t>"</w:t>
        </w:r>
        <w:r w:rsidRPr="00305436">
          <w:rPr>
            <w:rFonts w:cs="David" w:hint="cs"/>
            <w:color w:val="0000FF"/>
            <w:sz w:val="24"/>
            <w:szCs w:val="24"/>
            <w:u w:val="single"/>
            <w:rtl/>
          </w:rPr>
          <w:t>פ</w:t>
        </w:r>
        <w:r w:rsidRPr="00305436">
          <w:rPr>
            <w:rFonts w:cs="David"/>
            <w:color w:val="0000FF"/>
            <w:sz w:val="24"/>
            <w:szCs w:val="24"/>
            <w:u w:val="single"/>
            <w:rtl/>
          </w:rPr>
          <w:t xml:space="preserve"> (</w:t>
        </w:r>
        <w:r w:rsidRPr="00305436">
          <w:rPr>
            <w:rFonts w:cs="David" w:hint="cs"/>
            <w:color w:val="0000FF"/>
            <w:sz w:val="24"/>
            <w:szCs w:val="24"/>
            <w:u w:val="single"/>
            <w:rtl/>
          </w:rPr>
          <w:t>מחוזי</w:t>
        </w:r>
        <w:r w:rsidRPr="00305436">
          <w:rPr>
            <w:rFonts w:cs="David"/>
            <w:color w:val="0000FF"/>
            <w:sz w:val="24"/>
            <w:szCs w:val="24"/>
            <w:u w:val="single"/>
            <w:rtl/>
          </w:rPr>
          <w:t xml:space="preserve"> </w:t>
        </w:r>
        <w:r w:rsidRPr="00305436">
          <w:rPr>
            <w:rFonts w:cs="David" w:hint="cs"/>
            <w:color w:val="0000FF"/>
            <w:sz w:val="24"/>
            <w:szCs w:val="24"/>
            <w:u w:val="single"/>
            <w:rtl/>
          </w:rPr>
          <w:t>נצרת</w:t>
        </w:r>
        <w:r w:rsidRPr="00305436">
          <w:rPr>
            <w:rFonts w:cs="David"/>
            <w:color w:val="0000FF"/>
            <w:sz w:val="24"/>
            <w:szCs w:val="24"/>
            <w:u w:val="single"/>
            <w:rtl/>
          </w:rPr>
          <w:t>) 1168/06</w:t>
        </w:r>
      </w:hyperlink>
      <w:r>
        <w:rPr>
          <w:rFonts w:cs="David" w:hint="cs"/>
          <w:sz w:val="24"/>
          <w:szCs w:val="24"/>
          <w:rtl/>
        </w:rPr>
        <w:t xml:space="preserve"> </w:t>
      </w:r>
      <w:r>
        <w:rPr>
          <w:rFonts w:cs="David" w:hint="cs"/>
          <w:b/>
          <w:bCs/>
          <w:sz w:val="24"/>
          <w:szCs w:val="24"/>
          <w:rtl/>
        </w:rPr>
        <w:t xml:space="preserve">קוליקוב לאוניד נ' מדינת ישראל </w:t>
      </w:r>
      <w:r>
        <w:rPr>
          <w:rFonts w:cs="David" w:hint="cs"/>
          <w:sz w:val="24"/>
          <w:szCs w:val="24"/>
          <w:rtl/>
        </w:rPr>
        <w:t xml:space="preserve">(27.6.06)- שם נדון אסיר צעיר ונעדר עבר פלילי, למאסר בן שנה על החזקת 3 ריבועי סם מסוג </w:t>
      </w:r>
      <w:r>
        <w:rPr>
          <w:sz w:val="24"/>
          <w:szCs w:val="24"/>
        </w:rPr>
        <w:t>L.S.D</w:t>
      </w:r>
      <w:r>
        <w:rPr>
          <w:rFonts w:cs="David" w:hint="cs"/>
          <w:sz w:val="24"/>
          <w:szCs w:val="24"/>
          <w:rtl/>
        </w:rPr>
        <w:t>, ועונשו הופחת נוכח סיבותיו לשמונה חודשי מאסר;</w:t>
      </w:r>
    </w:p>
    <w:p w14:paraId="1F6F4C9D" w14:textId="77777777" w:rsidR="00BD2A7F" w:rsidRDefault="00305436">
      <w:pPr>
        <w:pStyle w:val="ListParagraph"/>
        <w:numPr>
          <w:ilvl w:val="0"/>
          <w:numId w:val="1"/>
        </w:numPr>
        <w:spacing w:line="360" w:lineRule="auto"/>
        <w:jc w:val="both"/>
        <w:rPr>
          <w:sz w:val="24"/>
          <w:szCs w:val="24"/>
        </w:rPr>
      </w:pPr>
      <w:hyperlink r:id="rId33" w:history="1">
        <w:r w:rsidRPr="00305436">
          <w:rPr>
            <w:rFonts w:cs="David" w:hint="cs"/>
            <w:color w:val="0000FF"/>
            <w:sz w:val="24"/>
            <w:szCs w:val="24"/>
            <w:u w:val="single"/>
            <w:rtl/>
          </w:rPr>
          <w:t>עפ</w:t>
        </w:r>
        <w:r w:rsidRPr="00305436">
          <w:rPr>
            <w:rFonts w:cs="David"/>
            <w:color w:val="0000FF"/>
            <w:sz w:val="24"/>
            <w:szCs w:val="24"/>
            <w:u w:val="single"/>
            <w:rtl/>
          </w:rPr>
          <w:t>"</w:t>
        </w:r>
        <w:r w:rsidRPr="00305436">
          <w:rPr>
            <w:rFonts w:cs="David" w:hint="cs"/>
            <w:color w:val="0000FF"/>
            <w:sz w:val="24"/>
            <w:szCs w:val="24"/>
            <w:u w:val="single"/>
            <w:rtl/>
          </w:rPr>
          <w:t>ג</w:t>
        </w:r>
        <w:r w:rsidRPr="00305436">
          <w:rPr>
            <w:rFonts w:cs="David"/>
            <w:color w:val="0000FF"/>
            <w:sz w:val="24"/>
            <w:szCs w:val="24"/>
            <w:u w:val="single"/>
            <w:rtl/>
          </w:rPr>
          <w:t xml:space="preserve"> (</w:t>
        </w:r>
        <w:r w:rsidRPr="00305436">
          <w:rPr>
            <w:rFonts w:cs="David" w:hint="cs"/>
            <w:color w:val="0000FF"/>
            <w:sz w:val="24"/>
            <w:szCs w:val="24"/>
            <w:u w:val="single"/>
            <w:rtl/>
          </w:rPr>
          <w:t>מרכז</w:t>
        </w:r>
        <w:r w:rsidRPr="00305436">
          <w:rPr>
            <w:rFonts w:cs="David"/>
            <w:color w:val="0000FF"/>
            <w:sz w:val="24"/>
            <w:szCs w:val="24"/>
            <w:u w:val="single"/>
            <w:rtl/>
          </w:rPr>
          <w:t>) 17558-07-09</w:t>
        </w:r>
      </w:hyperlink>
      <w:r>
        <w:rPr>
          <w:rFonts w:cs="David" w:hint="cs"/>
          <w:b/>
          <w:bCs/>
          <w:sz w:val="24"/>
          <w:szCs w:val="24"/>
          <w:rtl/>
        </w:rPr>
        <w:t xml:space="preserve"> מסראווה נ'</w:t>
      </w:r>
      <w:r>
        <w:rPr>
          <w:rFonts w:cs="David" w:hint="cs"/>
          <w:sz w:val="24"/>
          <w:szCs w:val="24"/>
          <w:rtl/>
        </w:rPr>
        <w:t xml:space="preserve"> </w:t>
      </w:r>
      <w:r>
        <w:rPr>
          <w:rFonts w:cs="David" w:hint="cs"/>
          <w:b/>
          <w:bCs/>
          <w:sz w:val="24"/>
          <w:szCs w:val="24"/>
          <w:rtl/>
        </w:rPr>
        <w:t>מדינת ישראל</w:t>
      </w:r>
      <w:r>
        <w:rPr>
          <w:rFonts w:cs="David" w:hint="cs"/>
          <w:sz w:val="24"/>
          <w:szCs w:val="24"/>
          <w:rtl/>
        </w:rPr>
        <w:t xml:space="preserve"> (26.12.09)- שם נדון אסיר שהבריח סם מסוג חשיש והירואין במשקל 4 גר' לכותלי הכלא לשבעה חודשי מאסר;</w:t>
      </w:r>
    </w:p>
    <w:p w14:paraId="0BDADCF5" w14:textId="77777777" w:rsidR="00BD2A7F" w:rsidRDefault="00305436">
      <w:pPr>
        <w:pStyle w:val="ListParagraph"/>
        <w:numPr>
          <w:ilvl w:val="0"/>
          <w:numId w:val="1"/>
        </w:numPr>
        <w:spacing w:line="360" w:lineRule="auto"/>
        <w:jc w:val="both"/>
        <w:rPr>
          <w:sz w:val="24"/>
          <w:szCs w:val="24"/>
          <w:rtl/>
        </w:rPr>
      </w:pPr>
      <w:hyperlink r:id="rId34" w:history="1">
        <w:r w:rsidRPr="00305436">
          <w:rPr>
            <w:rFonts w:cs="David" w:hint="cs"/>
            <w:color w:val="0000FF"/>
            <w:sz w:val="24"/>
            <w:szCs w:val="24"/>
            <w:u w:val="single"/>
            <w:rtl/>
          </w:rPr>
          <w:t>ע</w:t>
        </w:r>
        <w:r w:rsidRPr="00305436">
          <w:rPr>
            <w:rFonts w:cs="David"/>
            <w:color w:val="0000FF"/>
            <w:sz w:val="24"/>
            <w:szCs w:val="24"/>
            <w:u w:val="single"/>
            <w:rtl/>
          </w:rPr>
          <w:t>"</w:t>
        </w:r>
        <w:r w:rsidRPr="00305436">
          <w:rPr>
            <w:rFonts w:cs="David" w:hint="cs"/>
            <w:color w:val="0000FF"/>
            <w:sz w:val="24"/>
            <w:szCs w:val="24"/>
            <w:u w:val="single"/>
            <w:rtl/>
          </w:rPr>
          <w:t>פ</w:t>
        </w:r>
        <w:r w:rsidRPr="00305436">
          <w:rPr>
            <w:rFonts w:cs="David"/>
            <w:color w:val="0000FF"/>
            <w:sz w:val="24"/>
            <w:szCs w:val="24"/>
            <w:u w:val="single"/>
            <w:rtl/>
          </w:rPr>
          <w:t xml:space="preserve"> 1277/06</w:t>
        </w:r>
      </w:hyperlink>
      <w:r>
        <w:rPr>
          <w:rFonts w:cs="David" w:hint="cs"/>
          <w:sz w:val="24"/>
          <w:szCs w:val="24"/>
          <w:u w:val="single"/>
          <w:rtl/>
        </w:rPr>
        <w:t xml:space="preserve"> (מח-נצרת)</w:t>
      </w:r>
      <w:r>
        <w:rPr>
          <w:rFonts w:cs="David" w:hint="cs"/>
          <w:sz w:val="24"/>
          <w:szCs w:val="24"/>
          <w:rtl/>
        </w:rPr>
        <w:t xml:space="preserve"> </w:t>
      </w:r>
      <w:r>
        <w:rPr>
          <w:rFonts w:cs="David" w:hint="cs"/>
          <w:b/>
          <w:bCs/>
          <w:sz w:val="24"/>
          <w:szCs w:val="24"/>
          <w:rtl/>
        </w:rPr>
        <w:t>מחמוד סאחר נ' מדינת ישראל</w:t>
      </w:r>
      <w:r>
        <w:rPr>
          <w:rFonts w:cs="David" w:hint="cs"/>
          <w:sz w:val="24"/>
          <w:szCs w:val="24"/>
          <w:rtl/>
        </w:rPr>
        <w:t xml:space="preserve"> (24.10.06)- שם נדון אסיר על החזקת סם מסוג הירואין במשקל 12 גר' למאסר בפועל בן 18 חודשים, 15 מהם במצטבר למאסרו הנוכחי. ערעורו נדחה. </w:t>
      </w:r>
    </w:p>
    <w:p w14:paraId="665B6623" w14:textId="77777777" w:rsidR="00BD2A7F" w:rsidRDefault="00305436">
      <w:pPr>
        <w:pStyle w:val="ListParagraph"/>
        <w:numPr>
          <w:ilvl w:val="0"/>
          <w:numId w:val="1"/>
        </w:numPr>
        <w:spacing w:line="360" w:lineRule="auto"/>
        <w:jc w:val="both"/>
        <w:rPr>
          <w:sz w:val="24"/>
          <w:szCs w:val="24"/>
        </w:rPr>
      </w:pPr>
      <w:r>
        <w:rPr>
          <w:rFonts w:cs="David" w:hint="cs"/>
          <w:sz w:val="24"/>
          <w:szCs w:val="24"/>
          <w:rtl/>
        </w:rPr>
        <w:t xml:space="preserve"> </w:t>
      </w:r>
      <w:hyperlink r:id="rId35" w:history="1">
        <w:r w:rsidRPr="00305436">
          <w:rPr>
            <w:rFonts w:cs="David" w:hint="cs"/>
            <w:color w:val="0000FF"/>
            <w:sz w:val="24"/>
            <w:szCs w:val="24"/>
            <w:u w:val="single"/>
            <w:rtl/>
          </w:rPr>
          <w:t>ת</w:t>
        </w:r>
        <w:r w:rsidRPr="00305436">
          <w:rPr>
            <w:rFonts w:cs="David"/>
            <w:color w:val="0000FF"/>
            <w:sz w:val="24"/>
            <w:szCs w:val="24"/>
            <w:u w:val="single"/>
            <w:rtl/>
          </w:rPr>
          <w:t>"</w:t>
        </w:r>
        <w:r w:rsidRPr="00305436">
          <w:rPr>
            <w:rFonts w:cs="David" w:hint="cs"/>
            <w:color w:val="0000FF"/>
            <w:sz w:val="24"/>
            <w:szCs w:val="24"/>
            <w:u w:val="single"/>
            <w:rtl/>
          </w:rPr>
          <w:t>פ</w:t>
        </w:r>
        <w:r w:rsidRPr="00305436">
          <w:rPr>
            <w:rFonts w:cs="David"/>
            <w:color w:val="0000FF"/>
            <w:sz w:val="24"/>
            <w:szCs w:val="24"/>
            <w:u w:val="single"/>
            <w:rtl/>
          </w:rPr>
          <w:t>(</w:t>
        </w:r>
        <w:r w:rsidRPr="00305436">
          <w:rPr>
            <w:rFonts w:cs="David" w:hint="cs"/>
            <w:color w:val="0000FF"/>
            <w:sz w:val="24"/>
            <w:szCs w:val="24"/>
            <w:u w:val="single"/>
            <w:rtl/>
          </w:rPr>
          <w:t>ב</w:t>
        </w:r>
        <w:r w:rsidRPr="00305436">
          <w:rPr>
            <w:rFonts w:cs="David"/>
            <w:color w:val="0000FF"/>
            <w:sz w:val="24"/>
            <w:szCs w:val="24"/>
            <w:u w:val="single"/>
            <w:rtl/>
          </w:rPr>
          <w:t>"</w:t>
        </w:r>
        <w:r w:rsidRPr="00305436">
          <w:rPr>
            <w:rFonts w:cs="David" w:hint="cs"/>
            <w:color w:val="0000FF"/>
            <w:sz w:val="24"/>
            <w:szCs w:val="24"/>
            <w:u w:val="single"/>
            <w:rtl/>
          </w:rPr>
          <w:t>ש</w:t>
        </w:r>
        <w:r w:rsidRPr="00305436">
          <w:rPr>
            <w:rFonts w:cs="David"/>
            <w:color w:val="0000FF"/>
            <w:sz w:val="24"/>
            <w:szCs w:val="24"/>
            <w:u w:val="single"/>
            <w:rtl/>
          </w:rPr>
          <w:t>) 11211-05-14</w:t>
        </w:r>
      </w:hyperlink>
      <w:r>
        <w:rPr>
          <w:rFonts w:cs="David" w:hint="cs"/>
          <w:sz w:val="24"/>
          <w:szCs w:val="24"/>
          <w:rtl/>
        </w:rPr>
        <w:t xml:space="preserve"> </w:t>
      </w:r>
      <w:r>
        <w:rPr>
          <w:rFonts w:cs="David" w:hint="cs"/>
          <w:b/>
          <w:bCs/>
          <w:sz w:val="24"/>
          <w:szCs w:val="24"/>
          <w:rtl/>
        </w:rPr>
        <w:t xml:space="preserve">מדינת ישראל נ' ניסים חג'אג', </w:t>
      </w:r>
      <w:r>
        <w:rPr>
          <w:rFonts w:cs="David" w:hint="cs"/>
          <w:sz w:val="24"/>
          <w:szCs w:val="24"/>
          <w:rtl/>
        </w:rPr>
        <w:t>שם נדון הנאשם</w:t>
      </w:r>
      <w:r>
        <w:rPr>
          <w:rFonts w:cs="David" w:hint="cs"/>
          <w:b/>
          <w:bCs/>
          <w:sz w:val="24"/>
          <w:szCs w:val="24"/>
          <w:rtl/>
        </w:rPr>
        <w:t xml:space="preserve"> </w:t>
      </w:r>
      <w:r>
        <w:rPr>
          <w:rFonts w:cs="David" w:hint="cs"/>
          <w:sz w:val="24"/>
          <w:szCs w:val="24"/>
          <w:rtl/>
        </w:rPr>
        <w:t xml:space="preserve">שהחזיק 2.3 גר' סם הירואין בכלא, בעת שריצה מאסרו, למאסר בפועל בן 15 חודשים. </w:t>
      </w:r>
    </w:p>
    <w:p w14:paraId="5B6A4353" w14:textId="77777777" w:rsidR="00BD2A7F" w:rsidRDefault="00305436">
      <w:pPr>
        <w:pStyle w:val="ListParagraph"/>
        <w:numPr>
          <w:ilvl w:val="0"/>
          <w:numId w:val="1"/>
        </w:numPr>
        <w:spacing w:line="360" w:lineRule="auto"/>
        <w:jc w:val="both"/>
        <w:rPr>
          <w:sz w:val="24"/>
          <w:szCs w:val="24"/>
        </w:rPr>
      </w:pPr>
      <w:hyperlink r:id="rId36" w:history="1">
        <w:r w:rsidRPr="00305436">
          <w:rPr>
            <w:rFonts w:cs="David" w:hint="cs"/>
            <w:color w:val="0000FF"/>
            <w:sz w:val="24"/>
            <w:szCs w:val="24"/>
            <w:u w:val="single"/>
            <w:rtl/>
          </w:rPr>
          <w:t>ע</w:t>
        </w:r>
        <w:r w:rsidRPr="00305436">
          <w:rPr>
            <w:rFonts w:cs="David"/>
            <w:color w:val="0000FF"/>
            <w:sz w:val="24"/>
            <w:szCs w:val="24"/>
            <w:u w:val="single"/>
            <w:rtl/>
          </w:rPr>
          <w:t>"</w:t>
        </w:r>
        <w:r w:rsidRPr="00305436">
          <w:rPr>
            <w:rFonts w:cs="David" w:hint="cs"/>
            <w:color w:val="0000FF"/>
            <w:sz w:val="24"/>
            <w:szCs w:val="24"/>
            <w:u w:val="single"/>
            <w:rtl/>
          </w:rPr>
          <w:t>פ</w:t>
        </w:r>
        <w:r w:rsidRPr="00305436">
          <w:rPr>
            <w:rFonts w:cs="David"/>
            <w:color w:val="0000FF"/>
            <w:sz w:val="24"/>
            <w:szCs w:val="24"/>
            <w:u w:val="single"/>
            <w:rtl/>
          </w:rPr>
          <w:t xml:space="preserve"> (</w:t>
        </w:r>
        <w:r w:rsidRPr="00305436">
          <w:rPr>
            <w:rFonts w:cs="David" w:hint="cs"/>
            <w:color w:val="0000FF"/>
            <w:sz w:val="24"/>
            <w:szCs w:val="24"/>
            <w:u w:val="single"/>
            <w:rtl/>
          </w:rPr>
          <w:t>ת</w:t>
        </w:r>
        <w:r w:rsidRPr="00305436">
          <w:rPr>
            <w:rFonts w:cs="David"/>
            <w:color w:val="0000FF"/>
            <w:sz w:val="24"/>
            <w:szCs w:val="24"/>
            <w:u w:val="single"/>
            <w:rtl/>
          </w:rPr>
          <w:t>"</w:t>
        </w:r>
        <w:r w:rsidRPr="00305436">
          <w:rPr>
            <w:rFonts w:cs="David" w:hint="cs"/>
            <w:color w:val="0000FF"/>
            <w:sz w:val="24"/>
            <w:szCs w:val="24"/>
            <w:u w:val="single"/>
            <w:rtl/>
          </w:rPr>
          <w:t>א</w:t>
        </w:r>
        <w:r w:rsidRPr="00305436">
          <w:rPr>
            <w:rFonts w:cs="David"/>
            <w:color w:val="0000FF"/>
            <w:sz w:val="24"/>
            <w:szCs w:val="24"/>
            <w:u w:val="single"/>
            <w:rtl/>
          </w:rPr>
          <w:t>) 71558/06</w:t>
        </w:r>
      </w:hyperlink>
      <w:r>
        <w:rPr>
          <w:rFonts w:cs="David" w:hint="cs"/>
          <w:sz w:val="24"/>
          <w:szCs w:val="24"/>
          <w:u w:val="single"/>
          <w:rtl/>
        </w:rPr>
        <w:t xml:space="preserve"> </w:t>
      </w:r>
      <w:r>
        <w:rPr>
          <w:rFonts w:cs="David" w:hint="cs"/>
          <w:b/>
          <w:bCs/>
          <w:sz w:val="24"/>
          <w:szCs w:val="24"/>
          <w:rtl/>
        </w:rPr>
        <w:t>מדינת ישראל נ' מאיר זיו</w:t>
      </w:r>
      <w:r>
        <w:rPr>
          <w:rFonts w:cs="David" w:hint="cs"/>
          <w:sz w:val="24"/>
          <w:szCs w:val="24"/>
          <w:rtl/>
        </w:rPr>
        <w:t xml:space="preserve">- שם נדון עו"ד שהבריח סמים לכלא לענישה צופה פני עתיד. ערעור המדינה התקבל ועונשו הוחמר לשנת מאסר בפועל. </w:t>
      </w:r>
    </w:p>
    <w:p w14:paraId="16A5B599" w14:textId="77777777" w:rsidR="00BD2A7F" w:rsidRDefault="00BD2A7F">
      <w:pPr>
        <w:spacing w:line="360" w:lineRule="auto"/>
        <w:ind w:left="709"/>
        <w:jc w:val="both"/>
        <w:rPr>
          <w:rFonts w:cs="Times New Roman"/>
          <w:b/>
          <w:bCs/>
          <w:sz w:val="22"/>
          <w:szCs w:val="22"/>
          <w:u w:val="single"/>
          <w:rtl/>
        </w:rPr>
      </w:pPr>
    </w:p>
    <w:p w14:paraId="6E347E61" w14:textId="77777777" w:rsidR="00BD2A7F" w:rsidRDefault="00305436">
      <w:pPr>
        <w:spacing w:line="360" w:lineRule="auto"/>
        <w:ind w:left="709"/>
        <w:jc w:val="both"/>
        <w:rPr>
          <w:rFonts w:ascii="Calibri" w:hAnsi="Calibri" w:cs="Calibri"/>
          <w:b/>
          <w:bCs/>
          <w:u w:val="single"/>
        </w:rPr>
      </w:pPr>
      <w:r>
        <w:rPr>
          <w:rFonts w:hint="cs"/>
          <w:b/>
          <w:bCs/>
          <w:u w:val="single"/>
          <w:rtl/>
        </w:rPr>
        <w:t>נסיבות הקשורות בביצוע העבירה;</w:t>
      </w:r>
    </w:p>
    <w:p w14:paraId="6EE13A3C" w14:textId="77777777" w:rsidR="00BD2A7F" w:rsidRDefault="00BD2A7F">
      <w:pPr>
        <w:spacing w:line="360" w:lineRule="auto"/>
        <w:ind w:left="709"/>
        <w:jc w:val="both"/>
        <w:rPr>
          <w:b/>
          <w:bCs/>
          <w:u w:val="single"/>
        </w:rPr>
      </w:pPr>
    </w:p>
    <w:p w14:paraId="5183F852" w14:textId="77777777" w:rsidR="00BD2A7F" w:rsidRDefault="00305436">
      <w:pPr>
        <w:spacing w:line="360" w:lineRule="auto"/>
        <w:ind w:left="709" w:hanging="709"/>
        <w:rPr>
          <w:b/>
          <w:bCs/>
          <w:u w:val="single"/>
        </w:rPr>
      </w:pPr>
      <w:r>
        <w:rPr>
          <w:rFonts w:hint="cs"/>
          <w:rtl/>
        </w:rPr>
        <w:t>21.</w:t>
      </w:r>
      <w:r>
        <w:rPr>
          <w:rFonts w:hint="cs"/>
          <w:rtl/>
        </w:rPr>
        <w:tab/>
        <w:t xml:space="preserve">בהתאם </w:t>
      </w:r>
      <w:hyperlink r:id="rId37" w:history="1">
        <w:r w:rsidR="00636C1D" w:rsidRPr="00636C1D">
          <w:rPr>
            <w:rStyle w:val="Hyperlink"/>
            <w:rFonts w:ascii="Arial" w:hAnsi="Arial" w:hint="eastAsia"/>
            <w:color w:val="0000FF"/>
            <w:rtl/>
          </w:rPr>
          <w:t>לסעיף</w:t>
        </w:r>
        <w:r w:rsidR="00636C1D" w:rsidRPr="00636C1D">
          <w:rPr>
            <w:rStyle w:val="Hyperlink"/>
            <w:rFonts w:ascii="Arial" w:hAnsi="Arial"/>
            <w:color w:val="0000FF"/>
            <w:rtl/>
          </w:rPr>
          <w:t xml:space="preserve"> 40 ט'</w:t>
        </w:r>
      </w:hyperlink>
      <w:r>
        <w:rPr>
          <w:rFonts w:hint="cs"/>
          <w:rtl/>
        </w:rPr>
        <w:t xml:space="preserve"> ל</w:t>
      </w:r>
      <w:hyperlink r:id="rId38" w:history="1">
        <w:r w:rsidRPr="00305436">
          <w:rPr>
            <w:rFonts w:ascii="Arial" w:hAnsi="Arial"/>
            <w:color w:val="0000FF"/>
            <w:u w:val="single"/>
            <w:rtl/>
          </w:rPr>
          <w:t>חוק העונשין</w:t>
        </w:r>
      </w:hyperlink>
      <w:r>
        <w:rPr>
          <w:rFonts w:hint="cs"/>
          <w:rtl/>
        </w:rPr>
        <w:t xml:space="preserve">,  יש ליתן את הדעת לשיקולים הבאים: הנזק שנגרם מביצוע העבירה ולסיבות שהביאו את הנאשם לבצע את העבירות. במקרה שלפנינו המדובר באדם אשר התמכרותו לסמים קשה וארוכת שנים, וכתוצאה ממנה נתון לניצולם של חזקים ממנו בתוך המסגרת של בית הסוהר, אשר משתמשים בו להחזקת הסמים לצורך הפצתם. יש בכך כדי להבהיר את הרקע להחזקת הכמות הגדולה של הסם, אך לא כדי להשפיע באופן משמעותי על מידת עונשו של הנאשם. </w:t>
      </w:r>
      <w:r>
        <w:rPr>
          <w:rFonts w:hint="cs"/>
          <w:b/>
          <w:bCs/>
          <w:rtl/>
        </w:rPr>
        <w:t xml:space="preserve"> </w:t>
      </w:r>
    </w:p>
    <w:p w14:paraId="4EDA4A9D" w14:textId="77777777" w:rsidR="00BD2A7F" w:rsidRDefault="00BD2A7F">
      <w:pPr>
        <w:spacing w:line="360" w:lineRule="auto"/>
        <w:ind w:left="1069"/>
        <w:contextualSpacing/>
        <w:jc w:val="both"/>
        <w:rPr>
          <w:rFonts w:cs="Calibri"/>
          <w:b/>
          <w:bCs/>
          <w:u w:val="single"/>
          <w:rtl/>
        </w:rPr>
      </w:pPr>
    </w:p>
    <w:p w14:paraId="276D474C" w14:textId="77777777" w:rsidR="00BD2A7F" w:rsidRDefault="00305436">
      <w:pPr>
        <w:spacing w:line="360" w:lineRule="auto"/>
        <w:ind w:left="709" w:hanging="709"/>
        <w:rPr>
          <w:rFonts w:cs="Times New Roman"/>
          <w:rtl/>
        </w:rPr>
      </w:pPr>
      <w:r>
        <w:rPr>
          <w:rFonts w:hint="cs"/>
          <w:rtl/>
        </w:rPr>
        <w:t>22.</w:t>
      </w:r>
      <w:r>
        <w:rPr>
          <w:rFonts w:hint="cs"/>
          <w:rtl/>
        </w:rPr>
        <w:tab/>
        <w:t xml:space="preserve">בהתאם לתיקון 113 לחוק, ולאחר ששקלתי כלל השיקולים הנוגעים לדבר, מצאתי כי מתחם העונש ההולם בעבירות שבהן הורשע הנאשם, הינו החל </w:t>
      </w:r>
      <w:r>
        <w:rPr>
          <w:rFonts w:hint="cs"/>
          <w:b/>
          <w:bCs/>
          <w:rtl/>
        </w:rPr>
        <w:t>מעשרה חודשי מאסר ועד</w:t>
      </w:r>
      <w:r>
        <w:rPr>
          <w:rFonts w:hint="cs"/>
          <w:rtl/>
        </w:rPr>
        <w:t xml:space="preserve"> </w:t>
      </w:r>
      <w:r>
        <w:rPr>
          <w:rFonts w:hint="cs"/>
          <w:b/>
          <w:bCs/>
          <w:rtl/>
        </w:rPr>
        <w:t>24 חודשים</w:t>
      </w:r>
      <w:r>
        <w:rPr>
          <w:rFonts w:hint="cs"/>
          <w:rtl/>
        </w:rPr>
        <w:t xml:space="preserve">. בשל נסיבות חריגות שתפורטנה להלן, נראה כי יש למקם עונשו ברף התחתון של טווח הענישה. לצד זאת, יופעל מאסר על תנאי בן שנה.  </w:t>
      </w:r>
    </w:p>
    <w:p w14:paraId="2654F56B" w14:textId="77777777" w:rsidR="00BD2A7F" w:rsidRDefault="00BD2A7F">
      <w:pPr>
        <w:spacing w:line="360" w:lineRule="auto"/>
        <w:jc w:val="both"/>
        <w:rPr>
          <w:rFonts w:ascii="Calibri" w:hAnsi="Calibri" w:cs="Calibri"/>
        </w:rPr>
      </w:pPr>
    </w:p>
    <w:p w14:paraId="2457D64D" w14:textId="77777777" w:rsidR="00BD2A7F" w:rsidRDefault="00305436">
      <w:pPr>
        <w:spacing w:line="360" w:lineRule="auto"/>
        <w:jc w:val="both"/>
        <w:rPr>
          <w:b/>
          <w:bCs/>
          <w:u w:val="single"/>
          <w:rtl/>
        </w:rPr>
      </w:pPr>
      <w:r>
        <w:rPr>
          <w:rFonts w:hint="cs"/>
          <w:b/>
          <w:bCs/>
          <w:u w:val="single"/>
          <w:rtl/>
        </w:rPr>
        <w:t>נסיבות שאינן קשורות בביצוע העבירה:</w:t>
      </w:r>
    </w:p>
    <w:p w14:paraId="58C505F0" w14:textId="77777777" w:rsidR="00BD2A7F" w:rsidRDefault="00BD2A7F">
      <w:pPr>
        <w:spacing w:line="360" w:lineRule="auto"/>
        <w:jc w:val="both"/>
        <w:rPr>
          <w:rFonts w:cs="Times New Roman"/>
          <w:b/>
          <w:bCs/>
          <w:u w:val="single"/>
          <w:rtl/>
        </w:rPr>
      </w:pPr>
    </w:p>
    <w:p w14:paraId="1981AA59" w14:textId="77777777" w:rsidR="00BD2A7F" w:rsidRDefault="00305436">
      <w:pPr>
        <w:spacing w:line="360" w:lineRule="auto"/>
        <w:ind w:left="709" w:hanging="709"/>
        <w:jc w:val="both"/>
      </w:pPr>
      <w:r>
        <w:rPr>
          <w:rFonts w:hint="cs"/>
          <w:rtl/>
        </w:rPr>
        <w:t>23.</w:t>
      </w:r>
      <w:r>
        <w:rPr>
          <w:rtl/>
        </w:rPr>
        <w:tab/>
      </w:r>
      <w:r>
        <w:rPr>
          <w:rFonts w:hint="cs"/>
          <w:rtl/>
        </w:rPr>
        <w:t xml:space="preserve">אך בכך לא תמה מלאכתנו, בגזירת דינו של הנאשם, בגדרי מתחם העונש ההולם, יש להתייחס גם לנסיבותיו האישיות של הנאשם, ובענייננו ניתן למנות מספר נתונים בעלי משקל: </w:t>
      </w:r>
      <w:r>
        <w:rPr>
          <w:rFonts w:hint="cs"/>
          <w:b/>
          <w:bCs/>
          <w:rtl/>
        </w:rPr>
        <w:t>ראשית</w:t>
      </w:r>
      <w:r>
        <w:rPr>
          <w:rFonts w:hint="cs"/>
          <w:rtl/>
        </w:rPr>
        <w:t xml:space="preserve">, הנאשם בן 50 רווק, מכור פעיל לסמים נרקוטיים ללא מסגרת תעסוקתית או טיפולית המתגורר עם אחיו בדירה שכורה. </w:t>
      </w:r>
      <w:r>
        <w:rPr>
          <w:rFonts w:hint="cs"/>
          <w:b/>
          <w:bCs/>
          <w:rtl/>
        </w:rPr>
        <w:t>שנית</w:t>
      </w:r>
      <w:r>
        <w:rPr>
          <w:rFonts w:hint="cs"/>
          <w:rtl/>
        </w:rPr>
        <w:t xml:space="preserve">, הנאשם נטל אחריות והביע חרטה על מעשיו. </w:t>
      </w:r>
      <w:r>
        <w:rPr>
          <w:rFonts w:hint="cs"/>
          <w:b/>
          <w:bCs/>
          <w:rtl/>
        </w:rPr>
        <w:t>שלישית</w:t>
      </w:r>
      <w:r>
        <w:rPr>
          <w:rFonts w:hint="cs"/>
          <w:rtl/>
        </w:rPr>
        <w:t xml:space="preserve">, מצאתי ליתן משקל לטיעוני הסנגורית לפיהם מציאות החיים הקשה שעבר הנאשם היא שהובילה אותו למעגל סמים שממנו לא מצליח להשתחרר, ולכך שמאז שחרורו לפני כשנתיים לא הסתבך שוב בפלילים. </w:t>
      </w:r>
    </w:p>
    <w:p w14:paraId="1E70C9DD" w14:textId="77777777" w:rsidR="00BD2A7F" w:rsidRDefault="00BD2A7F">
      <w:pPr>
        <w:spacing w:line="360" w:lineRule="auto"/>
        <w:ind w:left="1069"/>
        <w:contextualSpacing/>
        <w:jc w:val="both"/>
      </w:pPr>
    </w:p>
    <w:p w14:paraId="67FCD93B" w14:textId="77777777" w:rsidR="00BD2A7F" w:rsidRDefault="00305436">
      <w:pPr>
        <w:spacing w:line="360" w:lineRule="auto"/>
        <w:ind w:left="709" w:hanging="709"/>
        <w:jc w:val="both"/>
        <w:rPr>
          <w:rtl/>
        </w:rPr>
      </w:pPr>
      <w:r>
        <w:rPr>
          <w:rFonts w:hint="cs"/>
          <w:rtl/>
        </w:rPr>
        <w:t>24.</w:t>
      </w:r>
      <w:r>
        <w:rPr>
          <w:rFonts w:hint="cs"/>
          <w:rtl/>
        </w:rPr>
        <w:tab/>
        <w:t xml:space="preserve">הנאשם קיבל הזדמנות נדירה ובלתי חוזרת להשתלב בהליך טיפולי, ואף שבית המשפט הלך לקראתו כבר דרך ארוכה, לא השכיל לנצלה. אכן, כעולה מתסקיר שירות המבחן, עסקינן בנאשם מכור, דל כוחות, חסר מעגל תמיכה וערירי. עם זאת, הנאשם היה מודע היטב לגישתה ההוגנת של המאשימה כלפיו, שהסכימה לתקן כתב האישום לקולא ולאפשר לו להשתלב בהליך טיפולי, וכמובן לגישתו הראויה לשבח של כב' השופט שרון, אך הוכיח עצמו כמי שאין בכוחו לערוך שיקום ממשי באורח חייו. </w:t>
      </w:r>
    </w:p>
    <w:p w14:paraId="6A26A43E" w14:textId="77777777" w:rsidR="00BD2A7F" w:rsidRDefault="00BD2A7F">
      <w:pPr>
        <w:spacing w:line="360" w:lineRule="auto"/>
        <w:ind w:left="1069"/>
        <w:contextualSpacing/>
        <w:jc w:val="both"/>
        <w:rPr>
          <w:b/>
          <w:bCs/>
          <w:u w:val="single"/>
          <w:rtl/>
        </w:rPr>
      </w:pPr>
    </w:p>
    <w:p w14:paraId="6777C95E" w14:textId="77777777" w:rsidR="00BD2A7F" w:rsidRDefault="00305436">
      <w:pPr>
        <w:spacing w:line="360" w:lineRule="auto"/>
        <w:jc w:val="both"/>
        <w:rPr>
          <w:u w:val="single"/>
        </w:rPr>
      </w:pPr>
      <w:r>
        <w:rPr>
          <w:rFonts w:hint="cs"/>
          <w:b/>
          <w:bCs/>
          <w:u w:val="single"/>
          <w:rtl/>
        </w:rPr>
        <w:t>תקופת השיהוי</w:t>
      </w:r>
    </w:p>
    <w:p w14:paraId="79751C19" w14:textId="77777777" w:rsidR="00BD2A7F" w:rsidRDefault="00BD2A7F">
      <w:pPr>
        <w:spacing w:line="360" w:lineRule="auto"/>
        <w:ind w:left="720"/>
        <w:contextualSpacing/>
        <w:jc w:val="both"/>
        <w:rPr>
          <w:rtl/>
        </w:rPr>
      </w:pPr>
    </w:p>
    <w:p w14:paraId="1CC3DC14" w14:textId="77777777" w:rsidR="00BD2A7F" w:rsidRDefault="00305436">
      <w:pPr>
        <w:spacing w:line="360" w:lineRule="auto"/>
        <w:ind w:left="709" w:hanging="709"/>
        <w:jc w:val="both"/>
        <w:rPr>
          <w:rFonts w:cs="Miriam"/>
        </w:rPr>
      </w:pPr>
      <w:r>
        <w:rPr>
          <w:rFonts w:hint="cs"/>
          <w:rtl/>
        </w:rPr>
        <w:t>25.</w:t>
      </w:r>
      <w:r>
        <w:rPr>
          <w:rFonts w:hint="cs"/>
          <w:rtl/>
        </w:rPr>
        <w:tab/>
        <w:t xml:space="preserve">מצאתי טעם רב בטיעוני הסנגורית, כי יש ליתן משקל רב לשיהוי הארוך והבלתי מוצדק שנקטה המאשימה בהגשת כתב האישום כנגד הנאשם, שכן נקבע, כי קצב ניהול ההליכים יכול ויביא להצדקת טענת "הגנה מן הצדק". בענייננו, כתב האישום הוגש כשנתיים וחצי לאחר מועד ביצוע העבירה מבלי שהוסבר הטעם לשיהוי. אזקוף נתון זה לחובת המאשימה, כל שכן כמדובר בנאשם שריצה מאסר ממושך ביותר, וניתן היה להגיש את כתב האישום בתקופת מאסרו ובכך להביא להקלה מסוימת בעונשו ע"י חפיפת חלקו למאסר אותו מרצה.  נקבע לא אחת בפסיקת בית המשפט העליון כי שיהוי משמעותי הוא בבחינת עינוי דין לנאשם וככזה עשוי הוא להוות שיקול להקלה בגזירת דינו של נאשם. </w:t>
      </w:r>
      <w:r>
        <w:rPr>
          <w:rFonts w:hint="cs"/>
          <w:b/>
          <w:bCs/>
          <w:rtl/>
        </w:rPr>
        <w:t xml:space="preserve">(ראו והשוו </w:t>
      </w:r>
      <w:hyperlink r:id="rId39" w:history="1">
        <w:r w:rsidRPr="00305436">
          <w:rPr>
            <w:color w:val="0000FF"/>
            <w:u w:val="single"/>
            <w:rtl/>
          </w:rPr>
          <w:t>ע"פ 5920/13</w:t>
        </w:r>
      </w:hyperlink>
      <w:r>
        <w:rPr>
          <w:rFonts w:hint="cs"/>
          <w:u w:val="single"/>
          <w:rtl/>
        </w:rPr>
        <w:t xml:space="preserve"> </w:t>
      </w:r>
      <w:r>
        <w:rPr>
          <w:rFonts w:cs="Miriam" w:hint="cs"/>
          <w:rtl/>
        </w:rPr>
        <w:t>יוסף מרדכי אטלן נ' מדינת ישראל</w:t>
      </w:r>
      <w:r>
        <w:rPr>
          <w:rFonts w:hint="cs"/>
          <w:b/>
          <w:bCs/>
          <w:rtl/>
        </w:rPr>
        <w:t xml:space="preserve">; </w:t>
      </w:r>
      <w:hyperlink r:id="rId40" w:history="1">
        <w:r w:rsidRPr="00305436">
          <w:rPr>
            <w:color w:val="0000FF"/>
            <w:u w:val="single"/>
            <w:rtl/>
          </w:rPr>
          <w:t>ע"פ 4434/10</w:t>
        </w:r>
      </w:hyperlink>
      <w:r>
        <w:rPr>
          <w:rFonts w:hint="cs"/>
          <w:b/>
          <w:bCs/>
          <w:rtl/>
        </w:rPr>
        <w:t xml:space="preserve"> </w:t>
      </w:r>
      <w:r>
        <w:rPr>
          <w:rFonts w:cs="Miriam" w:hint="cs"/>
          <w:rtl/>
        </w:rPr>
        <w:t xml:space="preserve">יחזקאל נ' מדינת ישראל (8.3.10)).  </w:t>
      </w:r>
    </w:p>
    <w:p w14:paraId="20DE9B72" w14:textId="77777777" w:rsidR="00BD2A7F" w:rsidRDefault="00BD2A7F">
      <w:pPr>
        <w:spacing w:line="360" w:lineRule="auto"/>
        <w:ind w:left="720"/>
        <w:contextualSpacing/>
        <w:jc w:val="both"/>
        <w:rPr>
          <w:rFonts w:cs="Calibri"/>
        </w:rPr>
      </w:pPr>
    </w:p>
    <w:p w14:paraId="16FE3663" w14:textId="77777777" w:rsidR="00BD2A7F" w:rsidRDefault="00305436">
      <w:pPr>
        <w:spacing w:line="360" w:lineRule="auto"/>
        <w:ind w:left="709" w:hanging="709"/>
        <w:jc w:val="both"/>
        <w:rPr>
          <w:rtl/>
        </w:rPr>
      </w:pPr>
      <w:r>
        <w:rPr>
          <w:rFonts w:hint="cs"/>
          <w:rtl/>
        </w:rPr>
        <w:t>26.</w:t>
      </w:r>
      <w:r>
        <w:rPr>
          <w:rFonts w:hint="cs"/>
          <w:rtl/>
        </w:rPr>
        <w:tab/>
        <w:t xml:space="preserve">זאת ועוד, עיון בגיליון הרישום הפלילי של הנאשם מלמד, כי ניתן היה להפעיל את המאסר על תנאי שעומד כנגד הנאשם, עוד במסגרת גזר דינו של הנאשם בת"פ 1402/09 (אשדוד), ולא ברור מדוע סוגיה זו לא עלתה במסגרת הליך זה. כפועל יוצא מכך, רק כיום, </w:t>
      </w:r>
      <w:r>
        <w:rPr>
          <w:rFonts w:hint="cs"/>
          <w:b/>
          <w:bCs/>
          <w:rtl/>
        </w:rPr>
        <w:t>כעשר</w:t>
      </w:r>
      <w:r>
        <w:rPr>
          <w:rFonts w:hint="cs"/>
          <w:rtl/>
        </w:rPr>
        <w:t xml:space="preserve"> </w:t>
      </w:r>
      <w:r>
        <w:rPr>
          <w:rFonts w:hint="cs"/>
          <w:b/>
          <w:bCs/>
          <w:rtl/>
        </w:rPr>
        <w:t xml:space="preserve">שנים </w:t>
      </w:r>
      <w:r>
        <w:rPr>
          <w:rFonts w:hint="cs"/>
          <w:rtl/>
        </w:rPr>
        <w:t>לאחר שהושת על הנאשם המאסר על תנאי בר ההפעלה, התבקשה הפעלתו. גם לכך אתן משקל בגזר דיני.</w:t>
      </w:r>
    </w:p>
    <w:p w14:paraId="317942DE" w14:textId="77777777" w:rsidR="00BD2A7F" w:rsidRDefault="00BD2A7F">
      <w:pPr>
        <w:pStyle w:val="ListParagraph"/>
        <w:spacing w:line="360" w:lineRule="auto"/>
        <w:jc w:val="both"/>
        <w:rPr>
          <w:b/>
          <w:bCs/>
          <w:sz w:val="24"/>
          <w:szCs w:val="24"/>
        </w:rPr>
      </w:pPr>
    </w:p>
    <w:p w14:paraId="1406FC64" w14:textId="77777777" w:rsidR="00BD2A7F" w:rsidRDefault="00305436">
      <w:pPr>
        <w:spacing w:line="360" w:lineRule="auto"/>
        <w:ind w:left="709" w:hanging="709"/>
        <w:jc w:val="both"/>
        <w:rPr>
          <w:rtl/>
        </w:rPr>
      </w:pPr>
      <w:r>
        <w:rPr>
          <w:rFonts w:hint="cs"/>
          <w:rtl/>
        </w:rPr>
        <w:t>27.</w:t>
      </w:r>
      <w:r>
        <w:rPr>
          <w:rFonts w:hint="cs"/>
          <w:rtl/>
        </w:rPr>
        <w:tab/>
        <w:t xml:space="preserve">עם זאת, אינני מקבלת טיעוני ההגנה, לפיהם הנאשם לא יכול היה לסיים הליך זה בעודו נתון במאסר. כך עולה מפרוטוקול 30.3.14, שהנאשם שאמור היה להשתחרר ממאסרו רק מספר חודשים לאחר מכן, ביקש לדחות הדיון לאחר שחרורו, בין היתר, נוכח פטירת אביו. </w:t>
      </w:r>
    </w:p>
    <w:p w14:paraId="6B0D5594" w14:textId="77777777" w:rsidR="00BD2A7F" w:rsidRDefault="00BD2A7F">
      <w:pPr>
        <w:pStyle w:val="ListParagraph"/>
        <w:spacing w:line="360" w:lineRule="auto"/>
        <w:jc w:val="both"/>
        <w:rPr>
          <w:sz w:val="24"/>
          <w:szCs w:val="24"/>
        </w:rPr>
      </w:pPr>
    </w:p>
    <w:p w14:paraId="7998F304" w14:textId="77777777" w:rsidR="00BD2A7F" w:rsidRDefault="00305436">
      <w:pPr>
        <w:spacing w:line="360" w:lineRule="auto"/>
        <w:ind w:left="709" w:hanging="709"/>
        <w:jc w:val="both"/>
        <w:rPr>
          <w:rtl/>
        </w:rPr>
      </w:pPr>
      <w:r>
        <w:rPr>
          <w:rFonts w:hint="cs"/>
          <w:rtl/>
        </w:rPr>
        <w:t>28.</w:t>
      </w:r>
      <w:r>
        <w:rPr>
          <w:rFonts w:hint="cs"/>
          <w:rtl/>
        </w:rPr>
        <w:tab/>
        <w:t xml:space="preserve">עברו הפלילי המכביד של הנאשם עומד לו לרועץ. עיון בגיליון הרשעותיו מעלה שהנאשם הורשע בעבר פעמים רבות, בעבירות שונות ומגוונות, וכי רובן ככולן הן עבירות נלוות אשר נועדו למטרה אחת והיא השגת הסמים לצריכתו ולשימושו האישי. למעשה, כבר בשירותו הצבאי נדון הנאשם למאסר בפועל בן שנה וחצי בגין הברחת סמים מלבנון, ובהמשך הורשע בשורה ארוכה של עבירות סמים, רכוש ואלימות. נראה כי מדובר באדם שאין לו מורא מפני הדין, ושאין לו כל רצון לעבור שינוי משמעותי ולעלות על דרך שבה ימצא עצמו מנהל אורח חיים נקי מסמים, וזאת חרף עזרה שהושטה לו, הן בין כותלי הכלא והן מחוצה לו.  </w:t>
      </w:r>
    </w:p>
    <w:p w14:paraId="7BAFE227" w14:textId="77777777" w:rsidR="00BD2A7F" w:rsidRDefault="00BD2A7F">
      <w:pPr>
        <w:pStyle w:val="ListParagraph"/>
        <w:spacing w:line="360" w:lineRule="auto"/>
        <w:jc w:val="both"/>
        <w:rPr>
          <w:sz w:val="24"/>
          <w:szCs w:val="24"/>
        </w:rPr>
      </w:pPr>
    </w:p>
    <w:p w14:paraId="2583DC32" w14:textId="77777777" w:rsidR="00BD2A7F" w:rsidRDefault="00305436">
      <w:pPr>
        <w:spacing w:line="360" w:lineRule="auto"/>
        <w:ind w:left="709" w:hanging="709"/>
        <w:jc w:val="both"/>
        <w:rPr>
          <w:rtl/>
        </w:rPr>
      </w:pPr>
      <w:r>
        <w:rPr>
          <w:rFonts w:hint="cs"/>
          <w:rtl/>
        </w:rPr>
        <w:t>29.</w:t>
      </w:r>
      <w:r>
        <w:rPr>
          <w:rFonts w:hint="cs"/>
          <w:rtl/>
        </w:rPr>
        <w:tab/>
        <w:t xml:space="preserve">עיון בגיליון רישומי תקופות מאסריו מלמד, שהנאשם נדון לתקופת מאסר ממושכת בגין עבירות סמים, שוחרר בשלהי שנת 2008, הסתבך זמן קצר לאחר מכן בביצוע עבירות סחר בסם מול סוכן משטרתי סמוי ושוד מזוין, נדון בגינן לחמש שנות מאסר שבמהלכן ביצע העבירות בגינן הורשע בהליך זה. </w:t>
      </w:r>
    </w:p>
    <w:p w14:paraId="4EA31E8A" w14:textId="77777777" w:rsidR="00BD2A7F" w:rsidRDefault="00BD2A7F">
      <w:pPr>
        <w:pStyle w:val="ListParagraph"/>
        <w:spacing w:line="360" w:lineRule="auto"/>
        <w:jc w:val="both"/>
        <w:rPr>
          <w:sz w:val="24"/>
          <w:szCs w:val="24"/>
        </w:rPr>
      </w:pPr>
    </w:p>
    <w:p w14:paraId="62D76CB2" w14:textId="77777777" w:rsidR="00BD2A7F" w:rsidRDefault="00305436">
      <w:pPr>
        <w:spacing w:line="360" w:lineRule="auto"/>
        <w:jc w:val="both"/>
        <w:rPr>
          <w:b/>
          <w:bCs/>
          <w:u w:val="single"/>
          <w:rtl/>
        </w:rPr>
      </w:pPr>
      <w:r>
        <w:rPr>
          <w:rFonts w:hint="cs"/>
          <w:b/>
          <w:bCs/>
          <w:u w:val="single"/>
          <w:rtl/>
        </w:rPr>
        <w:t>סוף דבר</w:t>
      </w:r>
    </w:p>
    <w:p w14:paraId="7D71DD53" w14:textId="77777777" w:rsidR="00BD2A7F" w:rsidRDefault="00BD2A7F">
      <w:pPr>
        <w:spacing w:line="360" w:lineRule="auto"/>
        <w:ind w:left="1069"/>
        <w:contextualSpacing/>
        <w:jc w:val="both"/>
      </w:pPr>
    </w:p>
    <w:p w14:paraId="1444B23D" w14:textId="77777777" w:rsidR="00BD2A7F" w:rsidRDefault="00305436">
      <w:pPr>
        <w:spacing w:line="360" w:lineRule="auto"/>
        <w:ind w:left="709" w:hanging="709"/>
        <w:jc w:val="both"/>
        <w:rPr>
          <w:rtl/>
        </w:rPr>
      </w:pPr>
      <w:r>
        <w:rPr>
          <w:rFonts w:hint="cs"/>
          <w:rtl/>
        </w:rPr>
        <w:t>30.</w:t>
      </w:r>
      <w:r>
        <w:rPr>
          <w:rFonts w:hint="cs"/>
          <w:rtl/>
        </w:rPr>
        <w:tab/>
        <w:t xml:space="preserve">עניינו של הנאשם שבפניי מורכב. לחובתו עומד כתב אישום חמור של החזקת סמים קשים בהיקפים נכבדים ובשתי הזדמנויות, בין כותלי הכלא במהלך ריצוי מאסרו, עברו המכביד והעדר שיתוף הפעולה עם שירות המבחן. מנגד, יש לתת משקל לגילו המבוגר, תקופה ממושכת מאז שחרורו במהלכה לא הסתבך שוב בפלילים, עייפות מניהול אורח חיים עברייני ונסיבותיו האישיות הקשות. עוד יש לתת משקל לא מבוטל לשיהוי בלתי מוצדק בהגשת כתב האישום ולחלוף הזמן הרב ממועד ביצוע העבירות. </w:t>
      </w:r>
    </w:p>
    <w:p w14:paraId="2A769605" w14:textId="77777777" w:rsidR="00BD2A7F" w:rsidRDefault="00BD2A7F">
      <w:pPr>
        <w:spacing w:line="360" w:lineRule="auto"/>
        <w:ind w:left="1069"/>
        <w:contextualSpacing/>
        <w:jc w:val="both"/>
        <w:rPr>
          <w:rtl/>
        </w:rPr>
      </w:pPr>
    </w:p>
    <w:p w14:paraId="2265F8B6" w14:textId="77777777" w:rsidR="00BD2A7F" w:rsidRDefault="00305436">
      <w:pPr>
        <w:spacing w:line="360" w:lineRule="auto"/>
        <w:ind w:left="709" w:hanging="709"/>
        <w:jc w:val="both"/>
      </w:pPr>
      <w:r>
        <w:rPr>
          <w:rFonts w:hint="cs"/>
          <w:rtl/>
        </w:rPr>
        <w:t>31.</w:t>
      </w:r>
      <w:r>
        <w:rPr>
          <w:rFonts w:hint="cs"/>
          <w:rtl/>
        </w:rPr>
        <w:tab/>
        <w:t xml:space="preserve">עתירת ההגנה למתחם ענישה של מספר חודשי מאסר והארכת תקופת המאסר על תנאי שתלויה ועומדת כנגדו, אין לה על מה לסמוך. לא הוצגו בפני טעמים מיוחדים כנדרש </w:t>
      </w:r>
      <w:hyperlink r:id="rId41" w:history="1">
        <w:r w:rsidR="00636C1D" w:rsidRPr="00636C1D">
          <w:rPr>
            <w:rStyle w:val="Hyperlink"/>
            <w:rFonts w:hint="eastAsia"/>
            <w:color w:val="0000FF"/>
            <w:rtl/>
          </w:rPr>
          <w:t>בסעיף</w:t>
        </w:r>
        <w:r w:rsidR="00636C1D" w:rsidRPr="00636C1D">
          <w:rPr>
            <w:rStyle w:val="Hyperlink"/>
            <w:color w:val="0000FF"/>
            <w:rtl/>
          </w:rPr>
          <w:t xml:space="preserve"> 56</w:t>
        </w:r>
      </w:hyperlink>
      <w:r>
        <w:rPr>
          <w:rFonts w:hint="cs"/>
          <w:rtl/>
        </w:rPr>
        <w:t xml:space="preserve"> ל</w:t>
      </w:r>
      <w:hyperlink r:id="rId42" w:history="1">
        <w:r w:rsidRPr="00305436">
          <w:rPr>
            <w:color w:val="0000FF"/>
            <w:u w:val="single"/>
            <w:rtl/>
          </w:rPr>
          <w:t>חוק העונשין</w:t>
        </w:r>
      </w:hyperlink>
      <w:r>
        <w:rPr>
          <w:rFonts w:hint="cs"/>
          <w:rtl/>
        </w:rPr>
        <w:t xml:space="preserve">, ניתנו לנאשם הזדמנויות רבות לערוך שינוי בחייו אך הנאשם בחר מדעת שלא לנצלן.  </w:t>
      </w:r>
    </w:p>
    <w:p w14:paraId="3D032F1D" w14:textId="77777777" w:rsidR="00BD2A7F" w:rsidRDefault="00BD2A7F">
      <w:pPr>
        <w:pStyle w:val="ListParagraph"/>
        <w:spacing w:line="360" w:lineRule="auto"/>
        <w:jc w:val="both"/>
        <w:rPr>
          <w:sz w:val="24"/>
          <w:szCs w:val="24"/>
        </w:rPr>
      </w:pPr>
    </w:p>
    <w:p w14:paraId="3E3352F0" w14:textId="77777777" w:rsidR="00BD2A7F" w:rsidRDefault="00305436">
      <w:pPr>
        <w:spacing w:line="360" w:lineRule="auto"/>
        <w:ind w:left="709" w:hanging="709"/>
        <w:jc w:val="both"/>
      </w:pPr>
      <w:r>
        <w:rPr>
          <w:rFonts w:hint="cs"/>
          <w:rtl/>
        </w:rPr>
        <w:t>32.</w:t>
      </w:r>
      <w:r>
        <w:rPr>
          <w:rFonts w:hint="cs"/>
          <w:rtl/>
        </w:rPr>
        <w:tab/>
        <w:t xml:space="preserve">דומה שאין ספק, כי אם היה נגזר דינו של הנאשם בסמוך למועד ביצוע העבירות היה מוטל עליו עונש חמור וכבד אך ניתן היה לחפוף חלק ממנו לתקופת המאסר הממושכת אותה ריצה. קל וחומר, אם הייתה מופעלת תקופת מאסר על תנאי במסגרת ת"פ 1402/09 (אשדוד) עוד בשנת 2009. עם זאת, אין להתעלם מההשלכות הקשות של חזרתו של הנאשם, לאחר תקופה שבה הצליח ככל שניתן להחזיק את ראשו מעל המים, שוב למאסר מאחורי סורג ובריח. </w:t>
      </w:r>
    </w:p>
    <w:p w14:paraId="52018E23" w14:textId="77777777" w:rsidR="00BD2A7F" w:rsidRDefault="00BD2A7F">
      <w:pPr>
        <w:pStyle w:val="ListParagraph"/>
        <w:spacing w:line="360" w:lineRule="auto"/>
        <w:jc w:val="both"/>
        <w:rPr>
          <w:sz w:val="24"/>
          <w:szCs w:val="24"/>
        </w:rPr>
      </w:pPr>
    </w:p>
    <w:p w14:paraId="20B6C376" w14:textId="77777777" w:rsidR="00BD2A7F" w:rsidRDefault="00305436">
      <w:pPr>
        <w:spacing w:line="360" w:lineRule="auto"/>
        <w:ind w:left="709" w:hanging="709"/>
        <w:jc w:val="both"/>
        <w:rPr>
          <w:rtl/>
        </w:rPr>
      </w:pPr>
      <w:r>
        <w:rPr>
          <w:rFonts w:hint="cs"/>
          <w:rtl/>
        </w:rPr>
        <w:t>33.</w:t>
      </w:r>
      <w:r>
        <w:rPr>
          <w:rFonts w:hint="cs"/>
          <w:rtl/>
        </w:rPr>
        <w:tab/>
        <w:t xml:space="preserve">לאחר ששקלתי את מכלול השיקולים, אני סבורה שיש להטיל על הנאשם עונש המצוי בחלק התחתון של מתחם הענישה אותה קבעתי, לצד הפעלת מאסר על תנאי וענישה מחמירה צופה פני עתיד. לו יבקש הנאשם להשתלב בהליך גמילה מסם, חזקה על רשויות השב"ס שיסייעו לו בכך. </w:t>
      </w:r>
    </w:p>
    <w:p w14:paraId="1E754B2E" w14:textId="77777777" w:rsidR="00BD2A7F" w:rsidRDefault="00BD2A7F">
      <w:pPr>
        <w:pStyle w:val="ListParagraph"/>
        <w:spacing w:line="360" w:lineRule="auto"/>
        <w:jc w:val="both"/>
        <w:rPr>
          <w:sz w:val="24"/>
          <w:szCs w:val="24"/>
        </w:rPr>
      </w:pPr>
    </w:p>
    <w:p w14:paraId="14D1D7DD" w14:textId="77777777" w:rsidR="00BD2A7F" w:rsidRDefault="00305436">
      <w:pPr>
        <w:spacing w:line="360" w:lineRule="auto"/>
        <w:ind w:firstLine="709"/>
        <w:jc w:val="both"/>
        <w:rPr>
          <w:b/>
          <w:bCs/>
          <w:rtl/>
        </w:rPr>
      </w:pPr>
      <w:r>
        <w:rPr>
          <w:rFonts w:hint="cs"/>
          <w:b/>
          <w:bCs/>
          <w:rtl/>
        </w:rPr>
        <w:t>אשר על כן, הנני גוזרת על הנאשם את העונשים כדלקמן:</w:t>
      </w:r>
    </w:p>
    <w:p w14:paraId="5152FCF2" w14:textId="77777777" w:rsidR="00BD2A7F" w:rsidRDefault="00305436">
      <w:pPr>
        <w:numPr>
          <w:ilvl w:val="0"/>
          <w:numId w:val="2"/>
        </w:numPr>
        <w:spacing w:after="160" w:line="360" w:lineRule="auto"/>
        <w:contextualSpacing/>
        <w:jc w:val="both"/>
        <w:rPr>
          <w:rFonts w:cs="Times New Roman"/>
        </w:rPr>
      </w:pPr>
      <w:r>
        <w:rPr>
          <w:rFonts w:hint="cs"/>
          <w:rtl/>
        </w:rPr>
        <w:t xml:space="preserve">14 חודשי מאסר בפועל. </w:t>
      </w:r>
    </w:p>
    <w:p w14:paraId="77BEAA93" w14:textId="77777777" w:rsidR="00BD2A7F" w:rsidRDefault="00305436">
      <w:pPr>
        <w:numPr>
          <w:ilvl w:val="0"/>
          <w:numId w:val="2"/>
        </w:numPr>
        <w:spacing w:after="160" w:line="360" w:lineRule="auto"/>
        <w:contextualSpacing/>
        <w:jc w:val="both"/>
        <w:rPr>
          <w:rFonts w:ascii="Calibri" w:hAnsi="Calibri" w:cs="Calibri"/>
          <w:b/>
          <w:bCs/>
          <w:rtl/>
        </w:rPr>
      </w:pPr>
      <w:r>
        <w:rPr>
          <w:rFonts w:hint="cs"/>
          <w:rtl/>
        </w:rPr>
        <w:t xml:space="preserve">מפעילה מאסר על תנאי בן 12 חודשים שהוטל על הנאשם ביום 25.4.2007, בת"פ </w:t>
      </w:r>
      <w:r>
        <w:rPr>
          <w:rFonts w:hint="cs"/>
          <w:u w:val="single"/>
          <w:rtl/>
        </w:rPr>
        <w:t>1879/06</w:t>
      </w:r>
      <w:r>
        <w:rPr>
          <w:rFonts w:hint="cs"/>
          <w:rtl/>
        </w:rPr>
        <w:t xml:space="preserve"> (שלום אשדוד) ע"י כב' השופט אריאל חזק, באופן חופף ומצטבר, </w:t>
      </w:r>
      <w:r>
        <w:rPr>
          <w:rFonts w:hint="cs"/>
          <w:b/>
          <w:bCs/>
          <w:rtl/>
        </w:rPr>
        <w:t xml:space="preserve">כך שהנאשם ירצה תקופת מאסר כוללת בת 16 חודשים.   </w:t>
      </w:r>
    </w:p>
    <w:p w14:paraId="68A2C15C" w14:textId="77777777" w:rsidR="00BD2A7F" w:rsidRDefault="00305436">
      <w:pPr>
        <w:numPr>
          <w:ilvl w:val="0"/>
          <w:numId w:val="2"/>
        </w:numPr>
        <w:spacing w:after="120" w:line="360" w:lineRule="auto"/>
        <w:jc w:val="both"/>
        <w:rPr>
          <w:rFonts w:cs="Times New Roman"/>
        </w:rPr>
      </w:pPr>
      <w:r>
        <w:rPr>
          <w:rFonts w:hint="cs"/>
          <w:rtl/>
        </w:rPr>
        <w:t>8 חודשי מאסר על תנאי, לבל יעבור הנאשם במשך שלוש שנים ממועד שחרורו מן המאסר עבירה של החזקת סמים שלא לצריכה עצמית.</w:t>
      </w:r>
    </w:p>
    <w:p w14:paraId="46E0DF48" w14:textId="77777777" w:rsidR="00BD2A7F" w:rsidRDefault="00305436">
      <w:pPr>
        <w:numPr>
          <w:ilvl w:val="0"/>
          <w:numId w:val="2"/>
        </w:numPr>
        <w:spacing w:after="120" w:line="360" w:lineRule="auto"/>
        <w:jc w:val="both"/>
        <w:rPr>
          <w:rFonts w:cs="Times New Roman"/>
        </w:rPr>
      </w:pPr>
      <w:r>
        <w:rPr>
          <w:rFonts w:hint="cs"/>
          <w:rtl/>
        </w:rPr>
        <w:t xml:space="preserve">5 חודשי מאסר על תנאי, לבל יעבור הנאשם במשך שלוש שנים </w:t>
      </w:r>
      <w:r>
        <w:rPr>
          <w:rFonts w:hint="cs"/>
          <w:b/>
          <w:bCs/>
          <w:rtl/>
        </w:rPr>
        <w:t>מהיום</w:t>
      </w:r>
      <w:r>
        <w:rPr>
          <w:rFonts w:hint="cs"/>
          <w:rtl/>
        </w:rPr>
        <w:t xml:space="preserve"> עבירה של החזקת סם לצריכה עצמית. </w:t>
      </w:r>
    </w:p>
    <w:p w14:paraId="3BE2A679" w14:textId="77777777" w:rsidR="00BD2A7F" w:rsidRDefault="00305436">
      <w:pPr>
        <w:numPr>
          <w:ilvl w:val="0"/>
          <w:numId w:val="2"/>
        </w:numPr>
        <w:spacing w:after="120" w:line="360" w:lineRule="auto"/>
        <w:contextualSpacing/>
        <w:jc w:val="both"/>
        <w:rPr>
          <w:rFonts w:ascii="Calibri" w:hAnsi="Calibri" w:cs="Calibri"/>
          <w:rtl/>
        </w:rPr>
      </w:pPr>
      <w:r>
        <w:rPr>
          <w:rFonts w:hint="cs"/>
          <w:rtl/>
        </w:rPr>
        <w:t xml:space="preserve">מפעילה תקופת פסילת רישיון בת שנה שהוטלה על הנאשם בת"פ </w:t>
      </w:r>
      <w:r>
        <w:rPr>
          <w:rFonts w:hint="cs"/>
          <w:u w:val="single"/>
          <w:rtl/>
        </w:rPr>
        <w:t>1879/06</w:t>
      </w:r>
      <w:r>
        <w:rPr>
          <w:rFonts w:hint="cs"/>
          <w:rtl/>
        </w:rPr>
        <w:t xml:space="preserve"> (שלום אשדוד) שתחל מיום שחרורו. </w:t>
      </w:r>
    </w:p>
    <w:p w14:paraId="01193738" w14:textId="77777777" w:rsidR="00BD2A7F" w:rsidRDefault="00BD2A7F">
      <w:pPr>
        <w:spacing w:after="120" w:line="360" w:lineRule="auto"/>
        <w:ind w:left="1080"/>
        <w:contextualSpacing/>
        <w:jc w:val="both"/>
      </w:pPr>
    </w:p>
    <w:p w14:paraId="3F6808DB" w14:textId="77777777" w:rsidR="00BD2A7F" w:rsidRDefault="00305436">
      <w:pPr>
        <w:rPr>
          <w:b/>
          <w:bCs/>
          <w:rtl/>
        </w:rPr>
      </w:pPr>
      <w:r>
        <w:rPr>
          <w:rFonts w:hint="cs"/>
          <w:b/>
          <w:bCs/>
          <w:rtl/>
        </w:rPr>
        <w:t>זכות ערעור לבית המשפט המחוזי תוך 45 יום.</w:t>
      </w:r>
    </w:p>
    <w:p w14:paraId="1528852A" w14:textId="77777777" w:rsidR="00BD2A7F" w:rsidRDefault="00BD2A7F">
      <w:pPr>
        <w:rPr>
          <w:b/>
          <w:bCs/>
          <w:rtl/>
        </w:rPr>
      </w:pPr>
    </w:p>
    <w:p w14:paraId="4E8965C3" w14:textId="77777777" w:rsidR="00BD2A7F" w:rsidRDefault="00BD2A7F">
      <w:pPr>
        <w:rPr>
          <w:rtl/>
        </w:rPr>
      </w:pPr>
    </w:p>
    <w:p w14:paraId="0811CAF3" w14:textId="77777777" w:rsidR="00BD2A7F" w:rsidRDefault="00305436">
      <w:pPr>
        <w:rPr>
          <w:rFonts w:cs="FrankRuehl"/>
          <w:sz w:val="28"/>
          <w:szCs w:val="28"/>
          <w:rtl/>
        </w:rPr>
      </w:pPr>
      <w:r>
        <w:rPr>
          <w:rFonts w:ascii="Arial" w:hAnsi="Arial"/>
          <w:rtl/>
        </w:rPr>
        <w:t xml:space="preserve">ניתן היום,  כ"ה ניסן תשע"ו, 03 מאי 2016, במעמד ב"כ המאשימה, הנאשם ובאת כוחו. </w:t>
      </w:r>
    </w:p>
    <w:p w14:paraId="2DA38F57" w14:textId="77777777" w:rsidR="00BD2A7F" w:rsidRPr="00305436" w:rsidRDefault="00305436">
      <w:pPr>
        <w:jc w:val="center"/>
        <w:rPr>
          <w:color w:val="FFFFFF"/>
          <w:sz w:val="2"/>
          <w:szCs w:val="2"/>
        </w:rPr>
      </w:pPr>
      <w:r w:rsidRPr="00305436">
        <w:rPr>
          <w:color w:val="FFFFFF"/>
          <w:sz w:val="2"/>
          <w:szCs w:val="2"/>
          <w:rtl/>
        </w:rPr>
        <w:t>5129371</w:t>
      </w:r>
      <w:r w:rsidRPr="00305436">
        <w:rPr>
          <w:rFonts w:hint="cs"/>
          <w:color w:val="FFFFFF"/>
          <w:sz w:val="2"/>
          <w:szCs w:val="2"/>
          <w:rtl/>
        </w:rPr>
        <w:t xml:space="preserve">   </w:t>
      </w:r>
      <w:r w:rsidRPr="00305436">
        <w:rPr>
          <w:rFonts w:hint="cs"/>
          <w:color w:val="FFFFFF"/>
          <w:sz w:val="2"/>
          <w:szCs w:val="2"/>
          <w:rtl/>
        </w:rPr>
        <w:tab/>
      </w:r>
      <w:r w:rsidRPr="00305436">
        <w:rPr>
          <w:rFonts w:hint="cs"/>
          <w:color w:val="FFFFFF"/>
          <w:sz w:val="2"/>
          <w:szCs w:val="2"/>
          <w:rtl/>
        </w:rPr>
        <w:tab/>
      </w:r>
      <w:r w:rsidRPr="00305436">
        <w:rPr>
          <w:rFonts w:hint="cs"/>
          <w:color w:val="FFFFFF"/>
          <w:sz w:val="2"/>
          <w:szCs w:val="2"/>
          <w:rtl/>
        </w:rPr>
        <w:tab/>
      </w:r>
      <w:r w:rsidRPr="00305436">
        <w:rPr>
          <w:rFonts w:hint="cs"/>
          <w:color w:val="FFFFFF"/>
          <w:sz w:val="2"/>
          <w:szCs w:val="2"/>
          <w:rtl/>
        </w:rPr>
        <w:tab/>
      </w:r>
      <w:r w:rsidRPr="00305436">
        <w:rPr>
          <w:rFonts w:hint="cs"/>
          <w:color w:val="FFFFFF"/>
          <w:sz w:val="2"/>
          <w:szCs w:val="2"/>
          <w:rtl/>
        </w:rPr>
        <w:tab/>
      </w:r>
    </w:p>
    <w:p w14:paraId="76BEC5E2" w14:textId="77777777" w:rsidR="00BD2A7F" w:rsidRPr="00305436" w:rsidRDefault="00305436">
      <w:pPr>
        <w:jc w:val="center"/>
        <w:rPr>
          <w:rFonts w:ascii="Arial" w:hAnsi="Arial" w:cs="FrankRuehl"/>
          <w:color w:val="FFFFFF"/>
          <w:sz w:val="2"/>
          <w:szCs w:val="2"/>
          <w:rtl/>
        </w:rPr>
      </w:pPr>
      <w:r w:rsidRPr="00305436">
        <w:rPr>
          <w:rFonts w:ascii="Arial" w:hAnsi="Arial" w:cs="FrankRuehl"/>
          <w:color w:val="FFFFFF"/>
          <w:sz w:val="2"/>
          <w:szCs w:val="2"/>
          <w:rtl/>
        </w:rPr>
        <w:t>54678313</w:t>
      </w:r>
    </w:p>
    <w:p w14:paraId="0FBA61AC" w14:textId="77777777" w:rsidR="00BD2A7F" w:rsidRDefault="00BD2A7F">
      <w:pPr>
        <w:rPr>
          <w:rFonts w:cs="FrankRuehl"/>
          <w:sz w:val="28"/>
          <w:szCs w:val="28"/>
          <w:rtl/>
        </w:rPr>
      </w:pPr>
    </w:p>
    <w:p w14:paraId="7C41AC9E" w14:textId="77777777" w:rsidR="00BD2A7F" w:rsidRDefault="00BD2A7F">
      <w:pPr>
        <w:pStyle w:val="a3"/>
        <w:rPr>
          <w:rtl/>
        </w:rPr>
      </w:pPr>
    </w:p>
    <w:p w14:paraId="7E881EE2" w14:textId="77777777" w:rsidR="00BD2A7F" w:rsidRDefault="00BD2A7F">
      <w:pPr>
        <w:pStyle w:val="a3"/>
        <w:rPr>
          <w:rtl/>
        </w:rPr>
      </w:pPr>
    </w:p>
    <w:p w14:paraId="4715BD1C" w14:textId="77777777" w:rsidR="00BD2A7F" w:rsidRDefault="00BD2A7F">
      <w:pPr>
        <w:pStyle w:val="a3"/>
        <w:rPr>
          <w:rtl/>
        </w:rPr>
      </w:pPr>
    </w:p>
    <w:p w14:paraId="2804C280" w14:textId="77777777" w:rsidR="00305436" w:rsidRPr="00305436" w:rsidRDefault="00305436" w:rsidP="00305436">
      <w:pPr>
        <w:keepNext/>
        <w:rPr>
          <w:rFonts w:ascii="David" w:hAnsi="David"/>
          <w:color w:val="000000"/>
          <w:sz w:val="22"/>
          <w:szCs w:val="22"/>
          <w:rtl/>
        </w:rPr>
      </w:pPr>
    </w:p>
    <w:p w14:paraId="59A66E7B" w14:textId="77777777" w:rsidR="00305436" w:rsidRPr="00305436" w:rsidRDefault="00305436" w:rsidP="00305436">
      <w:pPr>
        <w:keepNext/>
        <w:rPr>
          <w:rFonts w:ascii="David" w:hAnsi="David"/>
          <w:color w:val="000000"/>
          <w:sz w:val="22"/>
          <w:szCs w:val="22"/>
          <w:rtl/>
        </w:rPr>
      </w:pPr>
      <w:r w:rsidRPr="00305436">
        <w:rPr>
          <w:rFonts w:ascii="David" w:hAnsi="David"/>
          <w:color w:val="000000"/>
          <w:sz w:val="22"/>
          <w:szCs w:val="22"/>
          <w:rtl/>
        </w:rPr>
        <w:t>מרב גרינברג 54678313</w:t>
      </w:r>
    </w:p>
    <w:p w14:paraId="60E9578C" w14:textId="77777777" w:rsidR="00305436" w:rsidRDefault="00305436" w:rsidP="00305436">
      <w:r w:rsidRPr="00305436">
        <w:rPr>
          <w:color w:val="000000"/>
          <w:rtl/>
        </w:rPr>
        <w:t>נוסח מסמך זה כפוף לשינויי ניסוח ועריכה</w:t>
      </w:r>
    </w:p>
    <w:p w14:paraId="72D08127" w14:textId="77777777" w:rsidR="00305436" w:rsidRDefault="00076D73" w:rsidP="00305436">
      <w:pPr>
        <w:rPr>
          <w:rtl/>
        </w:rPr>
      </w:pPr>
      <w:r>
        <w:rPr>
          <w:rFonts w:hint="cs"/>
          <w:rtl/>
        </w:rPr>
        <w:t xml:space="preserve">              </w:t>
      </w:r>
    </w:p>
    <w:p w14:paraId="43F7B991" w14:textId="77777777" w:rsidR="00305436" w:rsidRDefault="00305436" w:rsidP="00305436">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196C805" w14:textId="77777777" w:rsidR="00BD2A7F" w:rsidRPr="00305436" w:rsidRDefault="00BD2A7F" w:rsidP="00305436">
      <w:pPr>
        <w:jc w:val="center"/>
        <w:rPr>
          <w:color w:val="0000FF"/>
          <w:u w:val="single"/>
        </w:rPr>
      </w:pPr>
    </w:p>
    <w:sectPr w:rsidR="00BD2A7F" w:rsidRPr="00305436" w:rsidSect="00305436">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CFE96" w14:textId="77777777" w:rsidR="008E4DCB" w:rsidRDefault="008E4DCB">
      <w:r>
        <w:separator/>
      </w:r>
    </w:p>
  </w:endnote>
  <w:endnote w:type="continuationSeparator" w:id="0">
    <w:p w14:paraId="31E49FA6" w14:textId="77777777" w:rsidR="008E4DCB" w:rsidRDefault="008E4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iriam Fixed">
    <w:panose1 w:val="020B0509050101010101"/>
    <w:charset w:val="00"/>
    <w:family w:val="modern"/>
    <w:pitch w:val="fixed"/>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5CBD7" w14:textId="77777777" w:rsidR="00BC6550" w:rsidRDefault="00BC6550" w:rsidP="0030543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5319D477" w14:textId="77777777" w:rsidR="00BC6550" w:rsidRPr="00305436" w:rsidRDefault="00BC6550" w:rsidP="00305436">
    <w:pPr>
      <w:pStyle w:val="a4"/>
      <w:pBdr>
        <w:top w:val="single" w:sz="4" w:space="1" w:color="auto"/>
        <w:between w:val="single" w:sz="4" w:space="0" w:color="auto"/>
      </w:pBdr>
      <w:spacing w:after="60"/>
      <w:jc w:val="center"/>
      <w:rPr>
        <w:rFonts w:ascii="FrankRuehl" w:hAnsi="FrankRuehl" w:cs="FrankRuehl"/>
        <w:color w:val="000000"/>
      </w:rPr>
    </w:pPr>
    <w:r w:rsidRPr="003054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7B5BF" w14:textId="77777777" w:rsidR="00BC6550" w:rsidRDefault="00BC6550" w:rsidP="0030543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618F">
      <w:rPr>
        <w:rFonts w:ascii="FrankRuehl" w:hAnsi="FrankRuehl" w:cs="FrankRuehl"/>
        <w:noProof/>
        <w:rtl/>
      </w:rPr>
      <w:t>1</w:t>
    </w:r>
    <w:r>
      <w:rPr>
        <w:rFonts w:ascii="FrankRuehl" w:hAnsi="FrankRuehl" w:cs="FrankRuehl"/>
        <w:rtl/>
      </w:rPr>
      <w:fldChar w:fldCharType="end"/>
    </w:r>
  </w:p>
  <w:p w14:paraId="4B6419DB" w14:textId="77777777" w:rsidR="00BC6550" w:rsidRPr="00305436" w:rsidRDefault="00BC6550" w:rsidP="00305436">
    <w:pPr>
      <w:pStyle w:val="a4"/>
      <w:pBdr>
        <w:top w:val="single" w:sz="4" w:space="1" w:color="auto"/>
        <w:between w:val="single" w:sz="4" w:space="0" w:color="auto"/>
      </w:pBdr>
      <w:spacing w:after="60"/>
      <w:jc w:val="center"/>
      <w:rPr>
        <w:rFonts w:ascii="FrankRuehl" w:hAnsi="FrankRuehl" w:cs="FrankRuehl"/>
        <w:color w:val="000000"/>
      </w:rPr>
    </w:pPr>
    <w:r w:rsidRPr="00305436">
      <w:rPr>
        <w:rFonts w:ascii="FrankRuehl" w:hAnsi="FrankRuehl" w:cs="FrankRuehl"/>
        <w:color w:val="000000"/>
      </w:rPr>
      <w:pict w14:anchorId="4518C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AF3B3" w14:textId="77777777" w:rsidR="008E4DCB" w:rsidRDefault="008E4DCB">
      <w:r>
        <w:separator/>
      </w:r>
    </w:p>
  </w:footnote>
  <w:footnote w:type="continuationSeparator" w:id="0">
    <w:p w14:paraId="75721C15" w14:textId="77777777" w:rsidR="008E4DCB" w:rsidRDefault="008E4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2D8AF" w14:textId="77777777" w:rsidR="00BC6550" w:rsidRPr="00305436" w:rsidRDefault="00BC6550" w:rsidP="003054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60394-12-12</w:t>
    </w:r>
    <w:r>
      <w:rPr>
        <w:rFonts w:ascii="David" w:hAnsi="David"/>
        <w:color w:val="000000"/>
        <w:sz w:val="22"/>
        <w:szCs w:val="22"/>
        <w:rtl/>
      </w:rPr>
      <w:tab/>
      <w:t xml:space="preserve"> מדינת ישראל נ' אלי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6160B" w14:textId="77777777" w:rsidR="00BC6550" w:rsidRPr="00305436" w:rsidRDefault="00BC6550" w:rsidP="003054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60394-12-12</w:t>
    </w:r>
    <w:r>
      <w:rPr>
        <w:rFonts w:ascii="David" w:hAnsi="David"/>
        <w:color w:val="000000"/>
        <w:sz w:val="22"/>
        <w:szCs w:val="22"/>
        <w:rtl/>
      </w:rPr>
      <w:tab/>
      <w:t xml:space="preserve"> מדינת ישראל נ' אלי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550E8"/>
    <w:multiLevelType w:val="hybridMultilevel"/>
    <w:tmpl w:val="AB22E504"/>
    <w:lvl w:ilvl="0" w:tplc="9126CCBC">
      <w:start w:val="1"/>
      <w:numFmt w:val="hebrew1"/>
      <w:lvlText w:val="%1."/>
      <w:lvlJc w:val="left"/>
      <w:pPr>
        <w:ind w:left="1429" w:hanging="360"/>
      </w:pPr>
      <w:rPr>
        <w:rFonts w:cs="David"/>
        <w:b/>
        <w:bCs/>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 w15:restartNumberingAfterBreak="0">
    <w:nsid w:val="18BE5EEC"/>
    <w:multiLevelType w:val="hybridMultilevel"/>
    <w:tmpl w:val="53C65C1C"/>
    <w:lvl w:ilvl="0" w:tplc="007AAF14">
      <w:start w:val="1"/>
      <w:numFmt w:val="hebrew1"/>
      <w:lvlText w:val="%1."/>
      <w:lvlJc w:val="left"/>
      <w:pPr>
        <w:ind w:left="1080" w:hanging="360"/>
      </w:pPr>
      <w:rPr>
        <w:rFonts w:cs="David"/>
        <w:b/>
        <w:bC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6648244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56949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2A7F"/>
    <w:rsid w:val="00076D73"/>
    <w:rsid w:val="0010437E"/>
    <w:rsid w:val="001113A6"/>
    <w:rsid w:val="001F773A"/>
    <w:rsid w:val="002C475F"/>
    <w:rsid w:val="00305436"/>
    <w:rsid w:val="005B20DC"/>
    <w:rsid w:val="00636C1D"/>
    <w:rsid w:val="0074618F"/>
    <w:rsid w:val="008E4DCB"/>
    <w:rsid w:val="00BC6550"/>
    <w:rsid w:val="00BD2A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47D25E"/>
  <w15:chartTrackingRefBased/>
  <w15:docId w15:val="{C0FD8891-DE55-493C-AA18-1238B61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1D1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11D13"/>
    <w:pPr>
      <w:tabs>
        <w:tab w:val="center" w:pos="4153"/>
        <w:tab w:val="right" w:pos="8306"/>
      </w:tabs>
    </w:pPr>
  </w:style>
  <w:style w:type="paragraph" w:styleId="a4">
    <w:name w:val="footer"/>
    <w:basedOn w:val="a"/>
    <w:rsid w:val="00D11D13"/>
    <w:pPr>
      <w:tabs>
        <w:tab w:val="center" w:pos="4153"/>
        <w:tab w:val="right" w:pos="8306"/>
      </w:tabs>
    </w:pPr>
  </w:style>
  <w:style w:type="character" w:styleId="a5">
    <w:name w:val="page number"/>
    <w:basedOn w:val="a0"/>
    <w:rsid w:val="00D11D13"/>
  </w:style>
  <w:style w:type="character" w:styleId="Hyperlink">
    <w:name w:val="Hyperlink"/>
    <w:rsid w:val="00D11D13"/>
    <w:rPr>
      <w:color w:val="0563C1"/>
      <w:u w:val="single"/>
    </w:rPr>
  </w:style>
  <w:style w:type="paragraph" w:customStyle="1" w:styleId="ListParagraph">
    <w:name w:val="List Paragraph"/>
    <w:basedOn w:val="a"/>
    <w:rsid w:val="00D11D13"/>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6" TargetMode="External"/><Relationship Id="rId18" Type="http://schemas.openxmlformats.org/officeDocument/2006/relationships/hyperlink" Target="http://www.nevo.co.il/case/2539442" TargetMode="External"/><Relationship Id="rId26" Type="http://schemas.openxmlformats.org/officeDocument/2006/relationships/hyperlink" Target="http://www.nevo.co.il/case/5698919" TargetMode="External"/><Relationship Id="rId39" Type="http://schemas.openxmlformats.org/officeDocument/2006/relationships/hyperlink" Target="http://www.nevo.co.il/case/798014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487216"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831191"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6246200" TargetMode="External"/><Relationship Id="rId32" Type="http://schemas.openxmlformats.org/officeDocument/2006/relationships/hyperlink" Target="http://www.nevo.co.il/case/2244426"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595737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5786821" TargetMode="External"/><Relationship Id="rId28" Type="http://schemas.openxmlformats.org/officeDocument/2006/relationships/hyperlink" Target="http://www.nevo.co.il/case/6246200" TargetMode="External"/><Relationship Id="rId36" Type="http://schemas.openxmlformats.org/officeDocument/2006/relationships/hyperlink" Target="http://www.nevo.co.il/case/528005"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429320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6041301" TargetMode="External"/><Relationship Id="rId30" Type="http://schemas.openxmlformats.org/officeDocument/2006/relationships/hyperlink" Target="http://www.nevo.co.il/case/6000002" TargetMode="External"/><Relationship Id="rId35" Type="http://schemas.openxmlformats.org/officeDocument/2006/relationships/hyperlink" Target="http://www.nevo.co.il/case/16914746"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case/11208983" TargetMode="External"/><Relationship Id="rId25" Type="http://schemas.openxmlformats.org/officeDocument/2006/relationships/hyperlink" Target="http://www.nevo.co.il/case/20118363" TargetMode="External"/><Relationship Id="rId33" Type="http://schemas.openxmlformats.org/officeDocument/2006/relationships/hyperlink" Target="http://www.nevo.co.il/case/5874213"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law/70301/40c.a" TargetMode="External"/><Relationship Id="rId41" Type="http://schemas.openxmlformats.org/officeDocument/2006/relationships/hyperlink" Target="http://www.nevo.co.il/law/70301/5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3057</Words>
  <Characters>15286</Characters>
  <Application>Microsoft Office Word</Application>
  <DocSecurity>0</DocSecurity>
  <Lines>127</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18307</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6488160</vt:i4>
      </vt:variant>
      <vt:variant>
        <vt:i4>102</vt:i4>
      </vt:variant>
      <vt:variant>
        <vt:i4>0</vt:i4>
      </vt:variant>
      <vt:variant>
        <vt:i4>5</vt:i4>
      </vt:variant>
      <vt:variant>
        <vt:lpwstr>http://www.nevo.co.il/law/70301/56</vt:lpwstr>
      </vt:variant>
      <vt:variant>
        <vt:lpwstr/>
      </vt:variant>
      <vt:variant>
        <vt:i4>3211389</vt:i4>
      </vt:variant>
      <vt:variant>
        <vt:i4>99</vt:i4>
      </vt:variant>
      <vt:variant>
        <vt:i4>0</vt:i4>
      </vt:variant>
      <vt:variant>
        <vt:i4>5</vt:i4>
      </vt:variant>
      <vt:variant>
        <vt:lpwstr>http://www.nevo.co.il/case/5957372</vt:lpwstr>
      </vt:variant>
      <vt:variant>
        <vt:lpwstr/>
      </vt:variant>
      <vt:variant>
        <vt:i4>3735673</vt:i4>
      </vt:variant>
      <vt:variant>
        <vt:i4>96</vt:i4>
      </vt:variant>
      <vt:variant>
        <vt:i4>0</vt:i4>
      </vt:variant>
      <vt:variant>
        <vt:i4>5</vt:i4>
      </vt:variant>
      <vt:variant>
        <vt:lpwstr>http://www.nevo.co.il/case/7980147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852038</vt:i4>
      </vt:variant>
      <vt:variant>
        <vt:i4>87</vt:i4>
      </vt:variant>
      <vt:variant>
        <vt:i4>0</vt:i4>
      </vt:variant>
      <vt:variant>
        <vt:i4>5</vt:i4>
      </vt:variant>
      <vt:variant>
        <vt:lpwstr>http://www.nevo.co.il/case/528005</vt:lpwstr>
      </vt:variant>
      <vt:variant>
        <vt:lpwstr/>
      </vt:variant>
      <vt:variant>
        <vt:i4>3670132</vt:i4>
      </vt:variant>
      <vt:variant>
        <vt:i4>84</vt:i4>
      </vt:variant>
      <vt:variant>
        <vt:i4>0</vt:i4>
      </vt:variant>
      <vt:variant>
        <vt:i4>5</vt:i4>
      </vt:variant>
      <vt:variant>
        <vt:lpwstr>http://www.nevo.co.il/case/16914746</vt:lpwstr>
      </vt:variant>
      <vt:variant>
        <vt:lpwstr/>
      </vt:variant>
      <vt:variant>
        <vt:i4>131150</vt:i4>
      </vt:variant>
      <vt:variant>
        <vt:i4>81</vt:i4>
      </vt:variant>
      <vt:variant>
        <vt:i4>0</vt:i4>
      </vt:variant>
      <vt:variant>
        <vt:i4>5</vt:i4>
      </vt:variant>
      <vt:variant>
        <vt:lpwstr>http://www.nevo.co.il/case/487216</vt:lpwstr>
      </vt:variant>
      <vt:variant>
        <vt:lpwstr/>
      </vt:variant>
      <vt:variant>
        <vt:i4>3342457</vt:i4>
      </vt:variant>
      <vt:variant>
        <vt:i4>78</vt:i4>
      </vt:variant>
      <vt:variant>
        <vt:i4>0</vt:i4>
      </vt:variant>
      <vt:variant>
        <vt:i4>5</vt:i4>
      </vt:variant>
      <vt:variant>
        <vt:lpwstr>http://www.nevo.co.il/case/5874213</vt:lpwstr>
      </vt:variant>
      <vt:variant>
        <vt:lpwstr/>
      </vt:variant>
      <vt:variant>
        <vt:i4>3407984</vt:i4>
      </vt:variant>
      <vt:variant>
        <vt:i4>75</vt:i4>
      </vt:variant>
      <vt:variant>
        <vt:i4>0</vt:i4>
      </vt:variant>
      <vt:variant>
        <vt:i4>5</vt:i4>
      </vt:variant>
      <vt:variant>
        <vt:lpwstr>http://www.nevo.co.il/case/2244426</vt:lpwstr>
      </vt:variant>
      <vt:variant>
        <vt:lpwstr/>
      </vt:variant>
      <vt:variant>
        <vt:i4>3735669</vt:i4>
      </vt:variant>
      <vt:variant>
        <vt:i4>72</vt:i4>
      </vt:variant>
      <vt:variant>
        <vt:i4>0</vt:i4>
      </vt:variant>
      <vt:variant>
        <vt:i4>5</vt:i4>
      </vt:variant>
      <vt:variant>
        <vt:lpwstr>http://www.nevo.co.il/case/4293206</vt:lpwstr>
      </vt:variant>
      <vt:variant>
        <vt:lpwstr/>
      </vt:variant>
      <vt:variant>
        <vt:i4>3407988</vt:i4>
      </vt:variant>
      <vt:variant>
        <vt:i4>69</vt:i4>
      </vt:variant>
      <vt:variant>
        <vt:i4>0</vt:i4>
      </vt:variant>
      <vt:variant>
        <vt:i4>5</vt:i4>
      </vt:variant>
      <vt:variant>
        <vt:lpwstr>http://www.nevo.co.il/case/6000002</vt:lpwstr>
      </vt:variant>
      <vt:variant>
        <vt:lpwstr/>
      </vt:variant>
      <vt:variant>
        <vt:i4>3539060</vt:i4>
      </vt:variant>
      <vt:variant>
        <vt:i4>66</vt:i4>
      </vt:variant>
      <vt:variant>
        <vt:i4>0</vt:i4>
      </vt:variant>
      <vt:variant>
        <vt:i4>5</vt:i4>
      </vt:variant>
      <vt:variant>
        <vt:lpwstr>http://www.nevo.co.il/case/5831191</vt:lpwstr>
      </vt:variant>
      <vt:variant>
        <vt:lpwstr/>
      </vt:variant>
      <vt:variant>
        <vt:i4>3145840</vt:i4>
      </vt:variant>
      <vt:variant>
        <vt:i4>63</vt:i4>
      </vt:variant>
      <vt:variant>
        <vt:i4>0</vt:i4>
      </vt:variant>
      <vt:variant>
        <vt:i4>5</vt:i4>
      </vt:variant>
      <vt:variant>
        <vt:lpwstr>http://www.nevo.co.il/case/6246200</vt:lpwstr>
      </vt:variant>
      <vt:variant>
        <vt:lpwstr/>
      </vt:variant>
      <vt:variant>
        <vt:i4>3145845</vt:i4>
      </vt:variant>
      <vt:variant>
        <vt:i4>60</vt:i4>
      </vt:variant>
      <vt:variant>
        <vt:i4>0</vt:i4>
      </vt:variant>
      <vt:variant>
        <vt:i4>5</vt:i4>
      </vt:variant>
      <vt:variant>
        <vt:lpwstr>http://www.nevo.co.il/case/6041301</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3997814</vt:i4>
      </vt:variant>
      <vt:variant>
        <vt:i4>54</vt:i4>
      </vt:variant>
      <vt:variant>
        <vt:i4>0</vt:i4>
      </vt:variant>
      <vt:variant>
        <vt:i4>5</vt:i4>
      </vt:variant>
      <vt:variant>
        <vt:lpwstr>http://www.nevo.co.il/case/20118363</vt:lpwstr>
      </vt:variant>
      <vt:variant>
        <vt:lpwstr/>
      </vt:variant>
      <vt:variant>
        <vt:i4>3145840</vt:i4>
      </vt:variant>
      <vt:variant>
        <vt:i4>51</vt:i4>
      </vt:variant>
      <vt:variant>
        <vt:i4>0</vt:i4>
      </vt:variant>
      <vt:variant>
        <vt:i4>5</vt:i4>
      </vt:variant>
      <vt:variant>
        <vt:lpwstr>http://www.nevo.co.il/case/6246200</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3604604</vt:i4>
      </vt:variant>
      <vt:variant>
        <vt:i4>33</vt:i4>
      </vt:variant>
      <vt:variant>
        <vt:i4>0</vt:i4>
      </vt:variant>
      <vt:variant>
        <vt:i4>5</vt:i4>
      </vt:variant>
      <vt:variant>
        <vt:lpwstr>http://www.nevo.co.il/case/2539442</vt:lpwstr>
      </vt:variant>
      <vt:variant>
        <vt:lpwstr/>
      </vt:variant>
      <vt:variant>
        <vt:i4>3342460</vt:i4>
      </vt:variant>
      <vt:variant>
        <vt:i4>30</vt:i4>
      </vt:variant>
      <vt:variant>
        <vt:i4>0</vt:i4>
      </vt:variant>
      <vt:variant>
        <vt:i4>5</vt:i4>
      </vt:variant>
      <vt:variant>
        <vt:lpwstr>http://www.nevo.co.il/case/11208983</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2025-04-22T21:54:00Z</dcterms:created>
  <dcterms:modified xsi:type="dcterms:W3CDTF">2025-04-22T21:54:00Z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60394</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אלי אזולאי</vt:lpwstr>
  </property>
  <property fmtid="{D5CDD505-2E9C-101B-9397-08002B2CF9AE}" pid="10" name="LAWYER">
    <vt:lpwstr>רונית בירס;ענת קירשנברג </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20160503</vt:lpwstr>
  </property>
  <property fmtid="{D5CDD505-2E9C-101B-9397-08002B2CF9AE}" pid="14" name="TYPE_N_DATE">
    <vt:lpwstr>38020160503</vt:lpwstr>
  </property>
  <property fmtid="{D5CDD505-2E9C-101B-9397-08002B2CF9AE}" pid="15" name="CASESLISTTMP1">
    <vt:lpwstr>11208983;2539442;5583030;5786821;6246200:2;20118363;5698919;6041301;5831191;6000002;4293206;2244426;5874213;487216;16914746;528005;7980147;5957372</vt:lpwstr>
  </property>
  <property fmtid="{D5CDD505-2E9C-101B-9397-08002B2CF9AE}" pid="16" name="CASENOTES1">
    <vt:lpwstr>ProcID=209&amp;PartA=1402&amp;PartC=09</vt:lpwstr>
  </property>
  <property fmtid="{D5CDD505-2E9C-101B-9397-08002B2CF9AE}" pid="17" name="CASENOTES2">
    <vt:lpwstr>ProcID=209&amp;PartA=1879&amp;PartC=06</vt:lpwstr>
  </property>
  <property fmtid="{D5CDD505-2E9C-101B-9397-08002B2CF9AE}" pid="18" name="WORDNUMPAGES">
    <vt:lpwstr>10</vt:lpwstr>
  </property>
  <property fmtid="{D5CDD505-2E9C-101B-9397-08002B2CF9AE}" pid="19" name="TYPE_ABS_DATE">
    <vt:lpwstr>380020160503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4216/007.a;007.c</vt:lpwstr>
  </property>
  <property fmtid="{D5CDD505-2E9C-101B-9397-08002B2CF9AE}" pid="39" name="LAWLISTTMP2">
    <vt:lpwstr>70301/040c.a;040i;056</vt:lpwstr>
  </property>
</Properties>
</file>