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E6804" w:rsidRPr="00FE3207" w14:paraId="277C72A5" w14:textId="77777777">
        <w:trPr>
          <w:trHeight w:hRule="exact" w:val="418"/>
          <w:jc w:val="center"/>
        </w:trPr>
        <w:tc>
          <w:tcPr>
            <w:tcW w:w="8721" w:type="dxa"/>
            <w:gridSpan w:val="2"/>
          </w:tcPr>
          <w:p w14:paraId="3735D6C1" w14:textId="77777777" w:rsidR="006E6804" w:rsidRPr="00FE3207" w:rsidRDefault="00FE3207">
            <w:pPr>
              <w:pStyle w:val="a3"/>
              <w:jc w:val="center"/>
              <w:rPr>
                <w:rFonts w:ascii="Tahoma" w:hAnsi="Tahoma" w:cs="Tahoma"/>
                <w:color w:val="000080"/>
                <w:rtl/>
              </w:rPr>
            </w:pPr>
            <w:bookmarkStart w:id="0" w:name="LastJudge"/>
            <w:r w:rsidRPr="00FE3207">
              <w:rPr>
                <w:rFonts w:ascii="Tahoma" w:hAnsi="Tahoma" w:cs="Tahoma"/>
                <w:b/>
                <w:bCs/>
                <w:color w:val="000080"/>
                <w:rtl/>
              </w:rPr>
              <w:t>בית משפט השלום בתל אביב - יפו</w:t>
            </w:r>
          </w:p>
        </w:tc>
      </w:tr>
      <w:tr w:rsidR="006E6804" w:rsidRPr="00FE3207" w14:paraId="53769E7A" w14:textId="77777777">
        <w:trPr>
          <w:trHeight w:val="337"/>
          <w:jc w:val="center"/>
        </w:trPr>
        <w:tc>
          <w:tcPr>
            <w:tcW w:w="5054" w:type="dxa"/>
          </w:tcPr>
          <w:p w14:paraId="6C46F72F" w14:textId="77777777" w:rsidR="006E6804" w:rsidRPr="00FE3207" w:rsidRDefault="00FE3207">
            <w:pPr>
              <w:rPr>
                <w:rFonts w:cs="FrankRuehl"/>
                <w:sz w:val="28"/>
                <w:szCs w:val="28"/>
                <w:rtl/>
              </w:rPr>
            </w:pPr>
            <w:r w:rsidRPr="00FE3207">
              <w:rPr>
                <w:rFonts w:cs="FrankRuehl"/>
                <w:sz w:val="28"/>
                <w:szCs w:val="28"/>
                <w:rtl/>
              </w:rPr>
              <w:t>ת"פ</w:t>
            </w:r>
            <w:r w:rsidRPr="00FE3207">
              <w:rPr>
                <w:rFonts w:cs="FrankRuehl" w:hint="cs"/>
                <w:sz w:val="28"/>
                <w:szCs w:val="28"/>
                <w:rtl/>
              </w:rPr>
              <w:t xml:space="preserve"> </w:t>
            </w:r>
            <w:r w:rsidRPr="00FE3207">
              <w:rPr>
                <w:rFonts w:cs="FrankRuehl"/>
                <w:sz w:val="28"/>
                <w:szCs w:val="28"/>
                <w:rtl/>
              </w:rPr>
              <w:t>13780-01-13</w:t>
            </w:r>
            <w:r w:rsidRPr="00FE3207">
              <w:rPr>
                <w:rFonts w:cs="FrankRuehl" w:hint="cs"/>
                <w:sz w:val="28"/>
                <w:szCs w:val="28"/>
                <w:rtl/>
              </w:rPr>
              <w:t xml:space="preserve"> </w:t>
            </w:r>
            <w:r w:rsidRPr="00FE3207">
              <w:rPr>
                <w:rFonts w:cs="FrankRuehl"/>
                <w:sz w:val="28"/>
                <w:szCs w:val="28"/>
                <w:rtl/>
              </w:rPr>
              <w:t>מדינת ישראל נ' אבידן</w:t>
            </w:r>
          </w:p>
          <w:p w14:paraId="7985BEB5" w14:textId="77777777" w:rsidR="006E6804" w:rsidRPr="00FE3207" w:rsidRDefault="006E6804">
            <w:pPr>
              <w:pStyle w:val="a3"/>
              <w:rPr>
                <w:rFonts w:cs="FrankRuehl"/>
                <w:sz w:val="28"/>
                <w:szCs w:val="28"/>
                <w:rtl/>
              </w:rPr>
            </w:pPr>
          </w:p>
        </w:tc>
        <w:tc>
          <w:tcPr>
            <w:tcW w:w="3667" w:type="dxa"/>
          </w:tcPr>
          <w:p w14:paraId="1AF210AE" w14:textId="77777777" w:rsidR="006E6804" w:rsidRPr="00FE3207" w:rsidRDefault="006E6804">
            <w:pPr>
              <w:pStyle w:val="a3"/>
              <w:jc w:val="right"/>
              <w:rPr>
                <w:rFonts w:cs="FrankRuehl"/>
                <w:sz w:val="28"/>
                <w:szCs w:val="28"/>
                <w:rtl/>
              </w:rPr>
            </w:pPr>
          </w:p>
        </w:tc>
      </w:tr>
    </w:tbl>
    <w:p w14:paraId="08AAA22A" w14:textId="77777777" w:rsidR="006E6804" w:rsidRPr="00FE3207" w:rsidRDefault="00FE3207">
      <w:pPr>
        <w:pStyle w:val="a3"/>
        <w:rPr>
          <w:rtl/>
        </w:rPr>
      </w:pPr>
      <w:r w:rsidRPr="00FE3207">
        <w:rPr>
          <w:rFonts w:hint="cs"/>
          <w:rtl/>
        </w:rPr>
        <w:t xml:space="preserve"> </w:t>
      </w:r>
    </w:p>
    <w:p w14:paraId="151BD1B1" w14:textId="77777777" w:rsidR="006E6804" w:rsidRPr="00FE3207" w:rsidRDefault="006E6804">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E6804" w:rsidRPr="00FE3207" w14:paraId="518919D8" w14:textId="77777777">
        <w:trPr>
          <w:trHeight w:val="295"/>
          <w:jc w:val="center"/>
        </w:trPr>
        <w:tc>
          <w:tcPr>
            <w:tcW w:w="923" w:type="dxa"/>
            <w:tcBorders>
              <w:top w:val="nil"/>
              <w:left w:val="nil"/>
              <w:bottom w:val="nil"/>
              <w:right w:val="nil"/>
            </w:tcBorders>
            <w:shd w:val="clear" w:color="auto" w:fill="auto"/>
          </w:tcPr>
          <w:p w14:paraId="67484220" w14:textId="77777777" w:rsidR="006E6804" w:rsidRPr="00FE3207" w:rsidRDefault="00FE3207">
            <w:pPr>
              <w:jc w:val="both"/>
              <w:rPr>
                <w:b/>
                <w:bCs/>
              </w:rPr>
            </w:pPr>
            <w:r w:rsidRPr="00FE3207">
              <w:rPr>
                <w:rFonts w:hint="cs"/>
                <w:b/>
                <w:bCs/>
                <w:rtl/>
              </w:rPr>
              <w:t>ב</w:t>
            </w:r>
            <w:r w:rsidRPr="00FE3207">
              <w:rPr>
                <w:b/>
                <w:bCs/>
                <w:rtl/>
              </w:rPr>
              <w:t xml:space="preserve">פני </w:t>
            </w:r>
          </w:p>
        </w:tc>
        <w:tc>
          <w:tcPr>
            <w:tcW w:w="7897" w:type="dxa"/>
            <w:gridSpan w:val="2"/>
            <w:tcBorders>
              <w:top w:val="nil"/>
              <w:left w:val="nil"/>
              <w:bottom w:val="nil"/>
              <w:right w:val="nil"/>
            </w:tcBorders>
            <w:shd w:val="clear" w:color="auto" w:fill="auto"/>
          </w:tcPr>
          <w:p w14:paraId="5A1DA2C2" w14:textId="77777777" w:rsidR="006E6804" w:rsidRPr="00FE3207" w:rsidRDefault="00FE3207">
            <w:pPr>
              <w:rPr>
                <w:b/>
                <w:bCs/>
                <w:rtl/>
              </w:rPr>
            </w:pPr>
            <w:r w:rsidRPr="00FE3207">
              <w:rPr>
                <w:rFonts w:hint="cs"/>
                <w:b/>
                <w:bCs/>
                <w:rtl/>
              </w:rPr>
              <w:t>כבוד השופט  עידו דרויאן</w:t>
            </w:r>
          </w:p>
          <w:p w14:paraId="3DF9E436" w14:textId="77777777" w:rsidR="006E6804" w:rsidRPr="00FE3207" w:rsidRDefault="006E6804">
            <w:pPr>
              <w:rPr>
                <w:b/>
                <w:bCs/>
                <w:rtl/>
              </w:rPr>
            </w:pPr>
          </w:p>
          <w:p w14:paraId="36B4CF7F" w14:textId="77777777" w:rsidR="006E6804" w:rsidRPr="00FE3207" w:rsidRDefault="006E6804">
            <w:pPr>
              <w:jc w:val="both"/>
              <w:rPr>
                <w:b/>
                <w:bCs/>
              </w:rPr>
            </w:pPr>
          </w:p>
        </w:tc>
      </w:tr>
      <w:tr w:rsidR="006E6804" w:rsidRPr="00FE3207" w14:paraId="13C5B3CA" w14:textId="77777777">
        <w:trPr>
          <w:trHeight w:val="355"/>
          <w:jc w:val="center"/>
        </w:trPr>
        <w:tc>
          <w:tcPr>
            <w:tcW w:w="923" w:type="dxa"/>
            <w:tcBorders>
              <w:top w:val="nil"/>
              <w:left w:val="nil"/>
              <w:bottom w:val="nil"/>
              <w:right w:val="nil"/>
            </w:tcBorders>
            <w:shd w:val="clear" w:color="auto" w:fill="auto"/>
          </w:tcPr>
          <w:p w14:paraId="13B16417" w14:textId="77777777" w:rsidR="006E6804" w:rsidRPr="00FE3207" w:rsidRDefault="00FE3207">
            <w:pPr>
              <w:jc w:val="both"/>
              <w:rPr>
                <w:b/>
                <w:bCs/>
              </w:rPr>
            </w:pPr>
            <w:bookmarkStart w:id="1" w:name="FirstAppellant"/>
            <w:r w:rsidRPr="00FE3207">
              <w:rPr>
                <w:rFonts w:hint="cs"/>
                <w:b/>
                <w:bCs/>
                <w:rtl/>
              </w:rPr>
              <w:t>בעניין:</w:t>
            </w:r>
          </w:p>
        </w:tc>
        <w:tc>
          <w:tcPr>
            <w:tcW w:w="4126" w:type="dxa"/>
            <w:tcBorders>
              <w:top w:val="nil"/>
              <w:left w:val="nil"/>
              <w:bottom w:val="nil"/>
              <w:right w:val="nil"/>
            </w:tcBorders>
            <w:shd w:val="clear" w:color="auto" w:fill="auto"/>
          </w:tcPr>
          <w:p w14:paraId="17597A0F" w14:textId="77777777" w:rsidR="006E6804" w:rsidRPr="00FE3207" w:rsidRDefault="00FE3207">
            <w:pPr>
              <w:rPr>
                <w:b/>
                <w:bCs/>
              </w:rPr>
            </w:pPr>
            <w:r w:rsidRPr="00FE3207">
              <w:rPr>
                <w:rFonts w:hint="cs"/>
                <w:b/>
                <w:bCs/>
                <w:rtl/>
              </w:rPr>
              <w:t>מדינת ישראל</w:t>
            </w:r>
          </w:p>
        </w:tc>
        <w:tc>
          <w:tcPr>
            <w:tcW w:w="3771" w:type="dxa"/>
            <w:tcBorders>
              <w:top w:val="nil"/>
              <w:left w:val="nil"/>
              <w:bottom w:val="nil"/>
              <w:right w:val="nil"/>
            </w:tcBorders>
            <w:shd w:val="clear" w:color="auto" w:fill="auto"/>
          </w:tcPr>
          <w:p w14:paraId="5EAC51A9" w14:textId="77777777" w:rsidR="006E6804" w:rsidRPr="00FE3207" w:rsidRDefault="006E6804">
            <w:pPr>
              <w:jc w:val="both"/>
              <w:rPr>
                <w:b/>
                <w:bCs/>
              </w:rPr>
            </w:pPr>
          </w:p>
        </w:tc>
      </w:tr>
      <w:tr w:rsidR="006E6804" w:rsidRPr="00FE3207" w14:paraId="1F743E83" w14:textId="77777777">
        <w:trPr>
          <w:trHeight w:val="355"/>
          <w:jc w:val="center"/>
        </w:trPr>
        <w:tc>
          <w:tcPr>
            <w:tcW w:w="923" w:type="dxa"/>
            <w:tcBorders>
              <w:top w:val="nil"/>
              <w:left w:val="nil"/>
              <w:bottom w:val="nil"/>
              <w:right w:val="nil"/>
            </w:tcBorders>
            <w:shd w:val="clear" w:color="auto" w:fill="auto"/>
          </w:tcPr>
          <w:p w14:paraId="228EF55F" w14:textId="77777777" w:rsidR="006E6804" w:rsidRPr="00FE3207" w:rsidRDefault="006E6804">
            <w:pPr>
              <w:jc w:val="both"/>
              <w:rPr>
                <w:b/>
                <w:bCs/>
                <w:rtl/>
              </w:rPr>
            </w:pPr>
            <w:bookmarkStart w:id="2" w:name="FirstLawyer"/>
            <w:bookmarkEnd w:id="1"/>
          </w:p>
        </w:tc>
        <w:tc>
          <w:tcPr>
            <w:tcW w:w="4126" w:type="dxa"/>
            <w:tcBorders>
              <w:top w:val="nil"/>
              <w:left w:val="nil"/>
              <w:bottom w:val="nil"/>
              <w:right w:val="nil"/>
            </w:tcBorders>
            <w:shd w:val="clear" w:color="auto" w:fill="auto"/>
          </w:tcPr>
          <w:p w14:paraId="6167FEB3" w14:textId="77777777" w:rsidR="006E6804" w:rsidRPr="00FE3207" w:rsidRDefault="00FE3207">
            <w:pPr>
              <w:jc w:val="both"/>
              <w:rPr>
                <w:rtl/>
              </w:rPr>
            </w:pPr>
            <w:r w:rsidRPr="00FE3207">
              <w:rPr>
                <w:rFonts w:hint="cs"/>
                <w:rtl/>
              </w:rPr>
              <w:t>ע"י ב"כ עו"ד זרנגר</w:t>
            </w:r>
          </w:p>
        </w:tc>
        <w:tc>
          <w:tcPr>
            <w:tcW w:w="3771" w:type="dxa"/>
            <w:tcBorders>
              <w:top w:val="nil"/>
              <w:left w:val="nil"/>
              <w:bottom w:val="nil"/>
              <w:right w:val="nil"/>
            </w:tcBorders>
            <w:shd w:val="clear" w:color="auto" w:fill="auto"/>
          </w:tcPr>
          <w:p w14:paraId="6DA2F3EA" w14:textId="77777777" w:rsidR="006E6804" w:rsidRPr="00FE3207" w:rsidRDefault="00FE3207">
            <w:pPr>
              <w:jc w:val="right"/>
              <w:rPr>
                <w:b/>
                <w:bCs/>
                <w:rtl/>
              </w:rPr>
            </w:pPr>
            <w:r w:rsidRPr="00FE3207">
              <w:rPr>
                <w:rFonts w:hint="cs"/>
                <w:b/>
                <w:bCs/>
                <w:rtl/>
              </w:rPr>
              <w:t>המאשימה</w:t>
            </w:r>
          </w:p>
        </w:tc>
      </w:tr>
      <w:bookmarkEnd w:id="2"/>
      <w:tr w:rsidR="006E6804" w:rsidRPr="00FE3207" w14:paraId="1689A217" w14:textId="77777777">
        <w:trPr>
          <w:trHeight w:val="355"/>
          <w:jc w:val="center"/>
        </w:trPr>
        <w:tc>
          <w:tcPr>
            <w:tcW w:w="923" w:type="dxa"/>
            <w:tcBorders>
              <w:top w:val="nil"/>
              <w:left w:val="nil"/>
              <w:bottom w:val="nil"/>
              <w:right w:val="nil"/>
            </w:tcBorders>
            <w:shd w:val="clear" w:color="auto" w:fill="auto"/>
          </w:tcPr>
          <w:p w14:paraId="498EEDA6" w14:textId="77777777" w:rsidR="006E6804" w:rsidRPr="00FE3207" w:rsidRDefault="006E6804">
            <w:pPr>
              <w:jc w:val="both"/>
              <w:rPr>
                <w:b/>
                <w:bCs/>
                <w:rtl/>
              </w:rPr>
            </w:pPr>
          </w:p>
        </w:tc>
        <w:tc>
          <w:tcPr>
            <w:tcW w:w="7897" w:type="dxa"/>
            <w:gridSpan w:val="2"/>
            <w:tcBorders>
              <w:top w:val="nil"/>
              <w:left w:val="nil"/>
              <w:bottom w:val="nil"/>
              <w:right w:val="nil"/>
            </w:tcBorders>
            <w:shd w:val="clear" w:color="auto" w:fill="auto"/>
          </w:tcPr>
          <w:p w14:paraId="0B3FCCC7" w14:textId="77777777" w:rsidR="006E6804" w:rsidRPr="00FE3207" w:rsidRDefault="006E6804">
            <w:pPr>
              <w:jc w:val="center"/>
              <w:rPr>
                <w:b/>
                <w:bCs/>
                <w:rtl/>
              </w:rPr>
            </w:pPr>
          </w:p>
          <w:p w14:paraId="299FAF1C" w14:textId="77777777" w:rsidR="006E6804" w:rsidRPr="00FE3207" w:rsidRDefault="00FE3207">
            <w:pPr>
              <w:jc w:val="center"/>
              <w:rPr>
                <w:b/>
                <w:bCs/>
                <w:rtl/>
              </w:rPr>
            </w:pPr>
            <w:r w:rsidRPr="00FE3207">
              <w:rPr>
                <w:b/>
                <w:bCs/>
                <w:rtl/>
              </w:rPr>
              <w:t>נגד</w:t>
            </w:r>
          </w:p>
          <w:p w14:paraId="6E0D7D37" w14:textId="77777777" w:rsidR="006E6804" w:rsidRPr="00FE3207" w:rsidRDefault="006E6804">
            <w:pPr>
              <w:jc w:val="both"/>
              <w:rPr>
                <w:b/>
                <w:bCs/>
              </w:rPr>
            </w:pPr>
          </w:p>
        </w:tc>
      </w:tr>
      <w:tr w:rsidR="006E6804" w:rsidRPr="00FE3207" w14:paraId="0EECD02F" w14:textId="77777777">
        <w:trPr>
          <w:trHeight w:val="355"/>
          <w:jc w:val="center"/>
        </w:trPr>
        <w:tc>
          <w:tcPr>
            <w:tcW w:w="923" w:type="dxa"/>
            <w:tcBorders>
              <w:top w:val="nil"/>
              <w:left w:val="nil"/>
              <w:bottom w:val="nil"/>
              <w:right w:val="nil"/>
            </w:tcBorders>
            <w:shd w:val="clear" w:color="auto" w:fill="auto"/>
          </w:tcPr>
          <w:p w14:paraId="391C109E" w14:textId="77777777" w:rsidR="006E6804" w:rsidRPr="00FE3207" w:rsidRDefault="006E6804">
            <w:pPr>
              <w:rPr>
                <w:b/>
                <w:bCs/>
                <w:rtl/>
              </w:rPr>
            </w:pPr>
          </w:p>
        </w:tc>
        <w:tc>
          <w:tcPr>
            <w:tcW w:w="4126" w:type="dxa"/>
            <w:tcBorders>
              <w:top w:val="nil"/>
              <w:left w:val="nil"/>
              <w:bottom w:val="nil"/>
              <w:right w:val="nil"/>
            </w:tcBorders>
            <w:shd w:val="clear" w:color="auto" w:fill="auto"/>
          </w:tcPr>
          <w:p w14:paraId="04B64316" w14:textId="77777777" w:rsidR="006E6804" w:rsidRPr="00FE3207" w:rsidRDefault="00FE3207">
            <w:pPr>
              <w:rPr>
                <w:b/>
                <w:bCs/>
                <w:rtl/>
              </w:rPr>
            </w:pPr>
            <w:r w:rsidRPr="00FE3207">
              <w:rPr>
                <w:b/>
                <w:bCs/>
                <w:rtl/>
              </w:rPr>
              <w:t>יניב אבידן</w:t>
            </w:r>
          </w:p>
        </w:tc>
        <w:tc>
          <w:tcPr>
            <w:tcW w:w="3771" w:type="dxa"/>
            <w:tcBorders>
              <w:top w:val="nil"/>
              <w:left w:val="nil"/>
              <w:bottom w:val="nil"/>
              <w:right w:val="nil"/>
            </w:tcBorders>
            <w:shd w:val="clear" w:color="auto" w:fill="auto"/>
          </w:tcPr>
          <w:p w14:paraId="5F38539E" w14:textId="77777777" w:rsidR="006E6804" w:rsidRPr="00FE3207" w:rsidRDefault="006E6804">
            <w:pPr>
              <w:jc w:val="right"/>
              <w:rPr>
                <w:b/>
                <w:bCs/>
              </w:rPr>
            </w:pPr>
          </w:p>
        </w:tc>
      </w:tr>
      <w:tr w:rsidR="006E6804" w:rsidRPr="00FE3207" w14:paraId="626633A7" w14:textId="77777777">
        <w:trPr>
          <w:trHeight w:val="355"/>
          <w:jc w:val="center"/>
        </w:trPr>
        <w:tc>
          <w:tcPr>
            <w:tcW w:w="923" w:type="dxa"/>
            <w:tcBorders>
              <w:top w:val="nil"/>
              <w:left w:val="nil"/>
              <w:bottom w:val="nil"/>
              <w:right w:val="nil"/>
            </w:tcBorders>
            <w:shd w:val="clear" w:color="auto" w:fill="auto"/>
          </w:tcPr>
          <w:p w14:paraId="2DFB5140" w14:textId="77777777" w:rsidR="006E6804" w:rsidRPr="00FE3207" w:rsidRDefault="006E6804">
            <w:pPr>
              <w:jc w:val="both"/>
              <w:rPr>
                <w:b/>
                <w:bCs/>
                <w:rtl/>
              </w:rPr>
            </w:pPr>
          </w:p>
        </w:tc>
        <w:tc>
          <w:tcPr>
            <w:tcW w:w="4126" w:type="dxa"/>
            <w:tcBorders>
              <w:top w:val="nil"/>
              <w:left w:val="nil"/>
              <w:bottom w:val="nil"/>
              <w:right w:val="nil"/>
            </w:tcBorders>
            <w:shd w:val="clear" w:color="auto" w:fill="auto"/>
          </w:tcPr>
          <w:p w14:paraId="1D68C43E" w14:textId="77777777" w:rsidR="006E6804" w:rsidRPr="00FE3207" w:rsidRDefault="00FE3207">
            <w:pPr>
              <w:jc w:val="both"/>
              <w:rPr>
                <w:rtl/>
              </w:rPr>
            </w:pPr>
            <w:r w:rsidRPr="00FE3207">
              <w:rPr>
                <w:rFonts w:hint="cs"/>
                <w:rtl/>
              </w:rPr>
              <w:t>ע"י ב"כ עו"ד אלחדד</w:t>
            </w:r>
          </w:p>
        </w:tc>
        <w:tc>
          <w:tcPr>
            <w:tcW w:w="3771" w:type="dxa"/>
            <w:tcBorders>
              <w:top w:val="nil"/>
              <w:left w:val="nil"/>
              <w:bottom w:val="nil"/>
              <w:right w:val="nil"/>
            </w:tcBorders>
            <w:shd w:val="clear" w:color="auto" w:fill="auto"/>
          </w:tcPr>
          <w:p w14:paraId="573D36A5" w14:textId="77777777" w:rsidR="006E6804" w:rsidRPr="00FE3207" w:rsidRDefault="00FE3207">
            <w:pPr>
              <w:jc w:val="right"/>
              <w:rPr>
                <w:b/>
                <w:bCs/>
              </w:rPr>
            </w:pPr>
            <w:r w:rsidRPr="00FE3207">
              <w:rPr>
                <w:rFonts w:hint="cs"/>
                <w:b/>
                <w:bCs/>
                <w:rtl/>
              </w:rPr>
              <w:t>הנאשם</w:t>
            </w:r>
          </w:p>
        </w:tc>
      </w:tr>
    </w:tbl>
    <w:p w14:paraId="05D87419" w14:textId="77777777" w:rsidR="00613095" w:rsidRDefault="00613095">
      <w:pPr>
        <w:rPr>
          <w:rtl/>
        </w:rPr>
      </w:pPr>
      <w:bookmarkStart w:id="3" w:name="LawTable"/>
      <w:bookmarkEnd w:id="3"/>
    </w:p>
    <w:p w14:paraId="5BEAA22C" w14:textId="77777777" w:rsidR="00613095" w:rsidRPr="00613095" w:rsidRDefault="00613095" w:rsidP="00613095">
      <w:pPr>
        <w:spacing w:after="120" w:line="240" w:lineRule="exact"/>
        <w:ind w:left="283" w:hanging="283"/>
        <w:jc w:val="both"/>
        <w:rPr>
          <w:rFonts w:ascii="FrankRuehl" w:hAnsi="FrankRuehl" w:cs="FrankRuehl"/>
          <w:rtl/>
        </w:rPr>
      </w:pPr>
    </w:p>
    <w:p w14:paraId="535C4993" w14:textId="77777777" w:rsidR="00613095" w:rsidRPr="00613095" w:rsidRDefault="00613095" w:rsidP="00613095">
      <w:pPr>
        <w:spacing w:after="120" w:line="240" w:lineRule="exact"/>
        <w:ind w:left="283" w:hanging="283"/>
        <w:jc w:val="both"/>
        <w:rPr>
          <w:rFonts w:ascii="FrankRuehl" w:hAnsi="FrankRuehl" w:cs="FrankRuehl"/>
          <w:rtl/>
        </w:rPr>
      </w:pPr>
      <w:r w:rsidRPr="00613095">
        <w:rPr>
          <w:rFonts w:ascii="FrankRuehl" w:hAnsi="FrankRuehl" w:cs="FrankRuehl"/>
          <w:rtl/>
        </w:rPr>
        <w:t xml:space="preserve">חקיקה שאוזכרה: </w:t>
      </w:r>
    </w:p>
    <w:p w14:paraId="167F7335" w14:textId="77777777" w:rsidR="00613095" w:rsidRPr="00613095" w:rsidRDefault="00613095" w:rsidP="00613095">
      <w:pPr>
        <w:spacing w:after="120" w:line="240" w:lineRule="exact"/>
        <w:ind w:left="283" w:hanging="283"/>
        <w:jc w:val="both"/>
        <w:rPr>
          <w:rFonts w:ascii="FrankRuehl" w:hAnsi="FrankRuehl" w:cs="FrankRuehl"/>
          <w:rtl/>
        </w:rPr>
      </w:pPr>
      <w:hyperlink r:id="rId7" w:history="1">
        <w:r w:rsidRPr="00613095">
          <w:rPr>
            <w:rFonts w:ascii="FrankRuehl" w:hAnsi="FrankRuehl" w:cs="FrankRuehl"/>
            <w:color w:val="0000FF"/>
            <w:u w:val="single"/>
            <w:rtl/>
          </w:rPr>
          <w:t>פקודת הסמים המסוכנים [נוסח חדש], תשל"ג-1973</w:t>
        </w:r>
      </w:hyperlink>
      <w:r w:rsidRPr="00613095">
        <w:rPr>
          <w:rFonts w:ascii="FrankRuehl" w:hAnsi="FrankRuehl" w:cs="FrankRuehl"/>
          <w:rtl/>
        </w:rPr>
        <w:t xml:space="preserve">: סע'  </w:t>
      </w:r>
      <w:hyperlink r:id="rId8" w:history="1">
        <w:r w:rsidRPr="00613095">
          <w:rPr>
            <w:rFonts w:ascii="FrankRuehl" w:hAnsi="FrankRuehl" w:cs="FrankRuehl"/>
            <w:color w:val="0000FF"/>
            <w:u w:val="single"/>
            <w:rtl/>
          </w:rPr>
          <w:t>7(א)</w:t>
        </w:r>
      </w:hyperlink>
      <w:r w:rsidRPr="00613095">
        <w:rPr>
          <w:rFonts w:ascii="FrankRuehl" w:hAnsi="FrankRuehl" w:cs="FrankRuehl"/>
          <w:rtl/>
        </w:rPr>
        <w:t xml:space="preserve">, </w:t>
      </w:r>
      <w:hyperlink r:id="rId9" w:history="1">
        <w:r w:rsidRPr="00613095">
          <w:rPr>
            <w:rFonts w:ascii="FrankRuehl" w:hAnsi="FrankRuehl" w:cs="FrankRuehl"/>
            <w:color w:val="0000FF"/>
            <w:u w:val="single"/>
            <w:rtl/>
          </w:rPr>
          <w:t>7(ג)</w:t>
        </w:r>
      </w:hyperlink>
    </w:p>
    <w:p w14:paraId="327373D3" w14:textId="77777777" w:rsidR="00613095" w:rsidRPr="00613095" w:rsidRDefault="00613095" w:rsidP="0061309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E6804" w14:paraId="71EB4426" w14:textId="77777777">
        <w:trPr>
          <w:trHeight w:val="355"/>
          <w:jc w:val="center"/>
        </w:trPr>
        <w:tc>
          <w:tcPr>
            <w:tcW w:w="8820" w:type="dxa"/>
            <w:tcBorders>
              <w:top w:val="nil"/>
              <w:left w:val="nil"/>
              <w:bottom w:val="nil"/>
              <w:right w:val="nil"/>
            </w:tcBorders>
            <w:shd w:val="clear" w:color="auto" w:fill="auto"/>
          </w:tcPr>
          <w:p w14:paraId="122F28A4" w14:textId="77777777" w:rsidR="00FE3207" w:rsidRPr="00FE3207" w:rsidRDefault="00FE3207" w:rsidP="00FE3207">
            <w:pPr>
              <w:jc w:val="center"/>
              <w:rPr>
                <w:b/>
                <w:bCs/>
                <w:sz w:val="28"/>
                <w:szCs w:val="28"/>
                <w:u w:val="single"/>
                <w:rtl/>
              </w:rPr>
            </w:pPr>
            <w:bookmarkStart w:id="4" w:name="LawTable_End"/>
            <w:bookmarkStart w:id="5" w:name="PsakDin" w:colFirst="0" w:colLast="0"/>
            <w:bookmarkEnd w:id="0"/>
            <w:bookmarkEnd w:id="4"/>
            <w:r w:rsidRPr="00FE3207">
              <w:rPr>
                <w:b/>
                <w:bCs/>
                <w:sz w:val="28"/>
                <w:szCs w:val="28"/>
                <w:u w:val="single"/>
                <w:rtl/>
              </w:rPr>
              <w:t>גזר דין</w:t>
            </w:r>
          </w:p>
          <w:p w14:paraId="3636DDE4" w14:textId="77777777" w:rsidR="006E6804" w:rsidRPr="00FE3207" w:rsidRDefault="006E6804" w:rsidP="00FE3207">
            <w:pPr>
              <w:jc w:val="center"/>
              <w:rPr>
                <w:b/>
                <w:bCs/>
                <w:sz w:val="28"/>
                <w:szCs w:val="28"/>
                <w:u w:val="single"/>
                <w:rtl/>
              </w:rPr>
            </w:pPr>
          </w:p>
        </w:tc>
      </w:tr>
      <w:bookmarkEnd w:id="5"/>
    </w:tbl>
    <w:p w14:paraId="69A25B37" w14:textId="77777777" w:rsidR="006E6804" w:rsidRDefault="006E6804">
      <w:pPr>
        <w:spacing w:line="360" w:lineRule="auto"/>
        <w:jc w:val="both"/>
        <w:rPr>
          <w:rtl/>
        </w:rPr>
      </w:pPr>
    </w:p>
    <w:p w14:paraId="14923F19" w14:textId="77777777" w:rsidR="006E6804" w:rsidRDefault="00FE3207">
      <w:pPr>
        <w:spacing w:line="360" w:lineRule="auto"/>
        <w:jc w:val="both"/>
        <w:rPr>
          <w:rtl/>
        </w:rPr>
      </w:pPr>
      <w:bookmarkStart w:id="6" w:name="ABSTRACT_START"/>
      <w:bookmarkEnd w:id="6"/>
      <w:r>
        <w:rPr>
          <w:rFonts w:hint="cs"/>
          <w:rtl/>
        </w:rPr>
        <w:t xml:space="preserve">ביום 28.11.13 הודה הנאשם והורשע בעבירה של החזקת סם מסוכן שלא לצריכה עצמית, לפי </w:t>
      </w:r>
      <w:hyperlink r:id="rId10" w:history="1">
        <w:r w:rsidR="00613095" w:rsidRPr="00613095">
          <w:rPr>
            <w:color w:val="0000FF"/>
            <w:u w:val="single"/>
            <w:rtl/>
          </w:rPr>
          <w:t>סעיף 7(א)</w:t>
        </w:r>
      </w:hyperlink>
      <w:r>
        <w:rPr>
          <w:rFonts w:hint="cs"/>
          <w:rtl/>
        </w:rPr>
        <w:t xml:space="preserve"> בצירוף </w:t>
      </w:r>
      <w:hyperlink r:id="rId11" w:history="1">
        <w:r w:rsidR="00613095" w:rsidRPr="00613095">
          <w:rPr>
            <w:color w:val="0000FF"/>
            <w:u w:val="single"/>
            <w:rtl/>
          </w:rPr>
          <w:t>סעיף 7(ג)</w:t>
        </w:r>
      </w:hyperlink>
      <w:r>
        <w:rPr>
          <w:rFonts w:hint="cs"/>
          <w:rtl/>
        </w:rPr>
        <w:t xml:space="preserve"> רישא ל</w:t>
      </w:r>
      <w:hyperlink r:id="rId12" w:history="1">
        <w:r w:rsidRPr="00FE3207">
          <w:rPr>
            <w:color w:val="0000FF"/>
            <w:u w:val="single"/>
            <w:rtl/>
          </w:rPr>
          <w:t>פקודת הסמים המסוכנים</w:t>
        </w:r>
      </w:hyperlink>
      <w:r>
        <w:rPr>
          <w:rFonts w:hint="cs"/>
          <w:rtl/>
        </w:rPr>
        <w:t>, במסגרת הסדר טיעון ללא הסכמה עונשית. לפי ההסדר, הופנה הנאשם לעריכת תסקיר שירות המבחן, ומאז ועד היום נמשך ההליך לצורך קבלת תסקירים מבהירים ומשלימים.</w:t>
      </w:r>
    </w:p>
    <w:p w14:paraId="498B6E0F" w14:textId="77777777" w:rsidR="006E6804" w:rsidRDefault="006E6804">
      <w:pPr>
        <w:spacing w:line="360" w:lineRule="auto"/>
        <w:jc w:val="both"/>
        <w:rPr>
          <w:rtl/>
        </w:rPr>
      </w:pPr>
      <w:bookmarkStart w:id="7" w:name="ABSTRACT_END"/>
      <w:bookmarkEnd w:id="7"/>
    </w:p>
    <w:p w14:paraId="050A1656" w14:textId="77777777" w:rsidR="006E6804" w:rsidRDefault="00FE3207">
      <w:pPr>
        <w:spacing w:line="360" w:lineRule="auto"/>
        <w:jc w:val="both"/>
        <w:rPr>
          <w:b/>
          <w:bCs/>
          <w:u w:val="single"/>
          <w:rtl/>
        </w:rPr>
      </w:pPr>
      <w:r>
        <w:rPr>
          <w:rFonts w:hint="cs"/>
          <w:b/>
          <w:bCs/>
          <w:u w:val="single"/>
          <w:rtl/>
        </w:rPr>
        <w:t>מעשי הנאשם:</w:t>
      </w:r>
    </w:p>
    <w:p w14:paraId="6F078F65" w14:textId="77777777" w:rsidR="006E6804" w:rsidRDefault="006E6804">
      <w:pPr>
        <w:spacing w:line="360" w:lineRule="auto"/>
        <w:jc w:val="both"/>
        <w:rPr>
          <w:b/>
          <w:bCs/>
          <w:u w:val="single"/>
          <w:rtl/>
        </w:rPr>
      </w:pPr>
    </w:p>
    <w:p w14:paraId="101511B3" w14:textId="77777777" w:rsidR="006E6804" w:rsidRDefault="00FE3207">
      <w:pPr>
        <w:spacing w:line="360" w:lineRule="auto"/>
        <w:jc w:val="both"/>
        <w:rPr>
          <w:rtl/>
        </w:rPr>
      </w:pPr>
      <w:r>
        <w:rPr>
          <w:rFonts w:hint="cs"/>
          <w:rtl/>
        </w:rPr>
        <w:t>ביום 1.1.13 ברחוב אלנבי בתל-אביב החזיק הנאשם בכיס מכנסיו קופסה ובה עשרים מנות קוקאין במשקל כולל של 13.710 גרם נטו, וכן 1.14 גרם חשיש, והכל שלא לצריכה עצמית.</w:t>
      </w:r>
    </w:p>
    <w:p w14:paraId="1354CB2F" w14:textId="77777777" w:rsidR="006E6804" w:rsidRDefault="006E6804">
      <w:pPr>
        <w:spacing w:line="360" w:lineRule="auto"/>
        <w:jc w:val="both"/>
        <w:rPr>
          <w:b/>
          <w:bCs/>
          <w:u w:val="single"/>
          <w:rtl/>
        </w:rPr>
      </w:pPr>
    </w:p>
    <w:p w14:paraId="370384AB" w14:textId="77777777" w:rsidR="006E6804" w:rsidRDefault="00FE3207">
      <w:pPr>
        <w:spacing w:line="360" w:lineRule="auto"/>
        <w:jc w:val="both"/>
        <w:rPr>
          <w:b/>
          <w:bCs/>
          <w:u w:val="single"/>
          <w:rtl/>
        </w:rPr>
      </w:pPr>
      <w:r>
        <w:rPr>
          <w:rFonts w:hint="cs"/>
          <w:b/>
          <w:bCs/>
          <w:u w:val="single"/>
          <w:rtl/>
        </w:rPr>
        <w:t xml:space="preserve">נסיבות העבירה </w:t>
      </w:r>
      <w:r>
        <w:rPr>
          <w:b/>
          <w:bCs/>
          <w:u w:val="single"/>
          <w:rtl/>
        </w:rPr>
        <w:t>–</w:t>
      </w:r>
      <w:r>
        <w:rPr>
          <w:rFonts w:hint="cs"/>
          <w:b/>
          <w:bCs/>
          <w:u w:val="single"/>
          <w:rtl/>
        </w:rPr>
        <w:t xml:space="preserve"> קביעת מתחם העונש ההולם:</w:t>
      </w:r>
    </w:p>
    <w:p w14:paraId="1D056F9C" w14:textId="77777777" w:rsidR="006E6804" w:rsidRDefault="006E6804">
      <w:pPr>
        <w:spacing w:line="360" w:lineRule="auto"/>
        <w:jc w:val="both"/>
        <w:rPr>
          <w:b/>
          <w:bCs/>
          <w:u w:val="single"/>
          <w:rtl/>
        </w:rPr>
      </w:pPr>
    </w:p>
    <w:p w14:paraId="74978531" w14:textId="77777777" w:rsidR="006E6804" w:rsidRDefault="00FE3207">
      <w:pPr>
        <w:pStyle w:val="ListParagraph"/>
        <w:numPr>
          <w:ilvl w:val="0"/>
          <w:numId w:val="1"/>
        </w:numPr>
        <w:spacing w:line="360" w:lineRule="auto"/>
        <w:jc w:val="both"/>
        <w:rPr>
          <w:rtl/>
        </w:rPr>
      </w:pPr>
      <w:r>
        <w:rPr>
          <w:rtl/>
        </w:rPr>
        <w:t xml:space="preserve">הפסיקה חזרה וקבעה, בכל דרגות בתי המשפט, את כובד משקלם של הערכים החברתיים המוגנים בעבירות הסמים ואת חומרת הפגיעה בהם על ידי עברייני הסמים. מדובר בנגע האוכל בחברה בכל פה, משחית את הגוף ואת הנפש, ושולח גרורות בדמות עבירות אלימות ורכוש חמורות גם לאלו שאינם מעורבים בסחר בסם ובצריכתו. זאת, עוד טרם שנזכיר את האומללות </w:t>
      </w:r>
      <w:r>
        <w:rPr>
          <w:rtl/>
        </w:rPr>
        <w:lastRenderedPageBreak/>
        <w:t xml:space="preserve">הפוקדת את משפחות הצרכנים ואת השימוש ברווחי הסמים למימונם של ארגוני פשיעה ושל כל סוגי העבריינות הקשה. </w:t>
      </w:r>
    </w:p>
    <w:p w14:paraId="73DD9A9D" w14:textId="77777777" w:rsidR="006E6804" w:rsidRDefault="00FE3207">
      <w:pPr>
        <w:pStyle w:val="ListParagraph"/>
        <w:numPr>
          <w:ilvl w:val="0"/>
          <w:numId w:val="1"/>
        </w:numPr>
        <w:spacing w:line="360" w:lineRule="auto"/>
        <w:jc w:val="both"/>
        <w:rPr>
          <w:rtl/>
        </w:rPr>
      </w:pPr>
      <w:r>
        <w:rPr>
          <w:rtl/>
        </w:rPr>
        <w:t xml:space="preserve">הנאשם היה חוליה בשלשלת הפצתו של סם "קשה" </w:t>
      </w:r>
      <w:r>
        <w:rPr>
          <w:rFonts w:hint="cs"/>
          <w:rtl/>
        </w:rPr>
        <w:t>כשהחזקת הסם בנסיבות אלו מעידה על תכנון וכוונה מודעת לקבל את הסם ולהחזיקו.</w:t>
      </w:r>
    </w:p>
    <w:p w14:paraId="178175F2" w14:textId="77777777" w:rsidR="006E6804" w:rsidRDefault="00FE3207">
      <w:pPr>
        <w:pStyle w:val="ListParagraph"/>
        <w:numPr>
          <w:ilvl w:val="0"/>
          <w:numId w:val="1"/>
        </w:numPr>
        <w:spacing w:line="360" w:lineRule="auto"/>
        <w:jc w:val="both"/>
        <w:rPr>
          <w:rtl/>
        </w:rPr>
      </w:pPr>
      <w:r>
        <w:rPr>
          <w:rFonts w:hint="cs"/>
          <w:rtl/>
        </w:rPr>
        <w:t xml:space="preserve">לא הובאה כל ראייה של ממש לכל מטרה אחרת של החזקת הסם, ואני דוחה טענה מעורפלת ולא-מוכחת לפיה רכש הנאשם את הסם לשימושו שלו עקב משבר. כפי שכבר נפסק לא-פעם, אין כל קשר מחויב בין התמכרות לסם לבין העיסוק בהחזקתו בכמויות גדולות שלא לצריכה עצמית. </w:t>
      </w:r>
    </w:p>
    <w:p w14:paraId="5C967099" w14:textId="77777777" w:rsidR="006E6804" w:rsidRDefault="00FE3207">
      <w:pPr>
        <w:pStyle w:val="ListParagraph"/>
        <w:numPr>
          <w:ilvl w:val="0"/>
          <w:numId w:val="1"/>
        </w:numPr>
        <w:spacing w:line="360" w:lineRule="auto"/>
        <w:jc w:val="both"/>
        <w:rPr>
          <w:rtl/>
        </w:rPr>
      </w:pPr>
      <w:r>
        <w:rPr>
          <w:rFonts w:hint="cs"/>
          <w:rtl/>
        </w:rPr>
        <w:t>הכמות הגדולה של הסם מצדיקה קביעתו של מתחם עונשי כהצעת התביעה, בין 12 לבין 24 חודשי מאסר בפועל, כעונש עיקרי, שהנו מתחם מקובל ונוהג.</w:t>
      </w:r>
    </w:p>
    <w:p w14:paraId="126A7374" w14:textId="77777777" w:rsidR="006E6804" w:rsidRDefault="006E6804">
      <w:pPr>
        <w:spacing w:line="360" w:lineRule="auto"/>
        <w:jc w:val="both"/>
        <w:rPr>
          <w:rtl/>
        </w:rPr>
      </w:pPr>
    </w:p>
    <w:p w14:paraId="18DBE2C3" w14:textId="77777777" w:rsidR="006E6804" w:rsidRDefault="00FE3207">
      <w:pPr>
        <w:spacing w:line="360" w:lineRule="auto"/>
        <w:jc w:val="both"/>
        <w:rPr>
          <w:b/>
          <w:bCs/>
          <w:u w:val="single"/>
          <w:rtl/>
        </w:rPr>
      </w:pPr>
      <w:r>
        <w:rPr>
          <w:rFonts w:hint="cs"/>
          <w:b/>
          <w:bCs/>
          <w:u w:val="single"/>
          <w:rtl/>
        </w:rPr>
        <w:t xml:space="preserve">נסיבות אישיות </w:t>
      </w:r>
      <w:r>
        <w:rPr>
          <w:b/>
          <w:bCs/>
          <w:u w:val="single"/>
          <w:rtl/>
        </w:rPr>
        <w:t>–</w:t>
      </w:r>
      <w:r>
        <w:rPr>
          <w:rFonts w:hint="cs"/>
          <w:b/>
          <w:bCs/>
          <w:u w:val="single"/>
          <w:rtl/>
        </w:rPr>
        <w:t xml:space="preserve"> העונש לא יחרוג מהמתחם שנקבע:</w:t>
      </w:r>
    </w:p>
    <w:p w14:paraId="46972077" w14:textId="77777777" w:rsidR="006E6804" w:rsidRDefault="006E6804">
      <w:pPr>
        <w:spacing w:line="360" w:lineRule="auto"/>
        <w:jc w:val="both"/>
        <w:rPr>
          <w:b/>
          <w:bCs/>
          <w:u w:val="single"/>
          <w:rtl/>
        </w:rPr>
      </w:pPr>
    </w:p>
    <w:p w14:paraId="2EC555F7" w14:textId="77777777" w:rsidR="006E6804" w:rsidRDefault="00FE3207">
      <w:pPr>
        <w:pStyle w:val="ListParagraph"/>
        <w:numPr>
          <w:ilvl w:val="0"/>
          <w:numId w:val="2"/>
        </w:numPr>
        <w:spacing w:line="360" w:lineRule="auto"/>
        <w:jc w:val="both"/>
      </w:pPr>
      <w:r>
        <w:rPr>
          <w:rFonts w:hint="cs"/>
          <w:rtl/>
        </w:rPr>
        <w:t>הנאשם יליד 1972, כבן 42 כיום, רווק המתגורר בבית הוריו. מוצא הנאשם ממשפחה נורמטיבית, ובמשך השנים עבד בעסקי המשפחה. הנאשם סיים עשר שנות לימוד ושירת שירות צבאי חלקי עקב קשיי הסתגלות לשירות. הנאשם חייב כספים בהיקף משמעותי, ואף לא שילם קנס פעוט שהוטל עליו בשנת 2013.</w:t>
      </w:r>
    </w:p>
    <w:p w14:paraId="637FAB50" w14:textId="77777777" w:rsidR="006E6804" w:rsidRDefault="00FE3207">
      <w:pPr>
        <w:pStyle w:val="ListParagraph"/>
        <w:numPr>
          <w:ilvl w:val="0"/>
          <w:numId w:val="2"/>
        </w:numPr>
        <w:spacing w:line="360" w:lineRule="auto"/>
        <w:jc w:val="both"/>
      </w:pPr>
      <w:r>
        <w:rPr>
          <w:rFonts w:hint="cs"/>
          <w:rtl/>
        </w:rPr>
        <w:t>לחובת הנאשם עבר פלילי מכביד ורלוונטי, שראשיתו בגיל צעיר ובעבירות רכוש קטנות והמשכו בעבירות רכוש חמורות - פריצה בגינה ריצה עונש מאסר ראשון בשנת 1996 וגניבה ממעביד בגינה ריצה שנת מאסר בשנת 2001. בעבירת סמים ראשונה הורשע הנאשם בשנת 1999 וריצה עונש מאסר בעבודות שירות, ולאחריה הורשע שוב במספר מקרים כשבשנת 2006 אף נגזרו עליו שלוש שנות מאסר. עבירה אחרונה עבר הנאשם בשנת 2011 (החזקת סם לצריכה עצמית) ובגינה נדון בשנת 2013 לעונש של מאסר על-תנאי, קנס ופסילה מותנית של רישיון נהיגה.</w:t>
      </w:r>
    </w:p>
    <w:p w14:paraId="33DBF9F3" w14:textId="77777777" w:rsidR="006E6804" w:rsidRDefault="00FE3207">
      <w:pPr>
        <w:pStyle w:val="ListParagraph"/>
        <w:numPr>
          <w:ilvl w:val="0"/>
          <w:numId w:val="2"/>
        </w:numPr>
        <w:spacing w:line="360" w:lineRule="auto"/>
        <w:jc w:val="both"/>
      </w:pPr>
      <w:r>
        <w:rPr>
          <w:rFonts w:hint="cs"/>
          <w:rtl/>
        </w:rPr>
        <w:t xml:space="preserve">הנאשם החל לצרוך סמים בגיל 17, ולדבריו הצליח לשמור על ניקיון מסמים במשך כשש שנים. לדבריו, ביצע את העבירה עקב משבר נפשי, משנודע לו שבת-זוגו הפילה את עוברם בהפלה טבעית. הנאשם שולב בטיפול עם שחרורו ממעצר בשנת 2013, ועל-אף קשיים התחלתיים בהתגייסותו לטיפול, נראה היה שהנאשם מחויב לטיפול ועבר את שלביו בהצלחה (מסמכים שהוגשו יחד - נע/2). </w:t>
      </w:r>
    </w:p>
    <w:p w14:paraId="1910A99C" w14:textId="77777777" w:rsidR="006E6804" w:rsidRDefault="00FE3207">
      <w:pPr>
        <w:pStyle w:val="ListParagraph"/>
        <w:numPr>
          <w:ilvl w:val="0"/>
          <w:numId w:val="2"/>
        </w:numPr>
        <w:spacing w:line="360" w:lineRule="auto"/>
        <w:jc w:val="both"/>
      </w:pPr>
      <w:r>
        <w:rPr>
          <w:rFonts w:hint="cs"/>
          <w:rtl/>
        </w:rPr>
        <w:t xml:space="preserve">שירות המבחן התרשם שלנאשם תפיסות קורבניות ופסיביות, והוא נוטה לתבוע מהסביבה לפתור בעיותיו. תפיסות אלו מקשות על נטילת אחריות וביקורת עצמית. שירות המבחן הביע חשש, כי נטיות אלו, לברוח ממחויבות ומאחריות, עלולות להכשיל שיקום ממשי בעתיד. </w:t>
      </w:r>
    </w:p>
    <w:p w14:paraId="2F478058" w14:textId="77777777" w:rsidR="006E6804" w:rsidRDefault="00FE3207">
      <w:pPr>
        <w:pStyle w:val="ListParagraph"/>
        <w:numPr>
          <w:ilvl w:val="0"/>
          <w:numId w:val="2"/>
        </w:numPr>
        <w:spacing w:line="360" w:lineRule="auto"/>
        <w:jc w:val="both"/>
      </w:pPr>
      <w:r>
        <w:rPr>
          <w:rFonts w:hint="cs"/>
          <w:rtl/>
        </w:rPr>
        <w:t xml:space="preserve">ואכן, בתסקיר שני שהוגש בעניינו במאי 2014 הדגיש השירות נטיות אלו המודגמות בחוסר רצונו או יכולתו של הנאשם לעמוד בהתחייבויות שונות. השירות מצא כי האפיק הטיפולי נחסם למעשה והציע לסיים את ההליך בעונש מתון. גם לאחר בירור נוסף הבהיר שירות המבחן כי </w:t>
      </w:r>
      <w:r>
        <w:rPr>
          <w:rFonts w:hint="cs"/>
          <w:rtl/>
        </w:rPr>
        <w:lastRenderedPageBreak/>
        <w:t>הנאשם נוקשה בעמדותיו ואינו מוכן ליטול אחריות ממשית על חייו (כמו למשל, לפתור תסבוכות כספיות ולשלם את הקנס), ולכן שב השירות על המלצתו.</w:t>
      </w:r>
    </w:p>
    <w:p w14:paraId="65136C0F" w14:textId="77777777" w:rsidR="006E6804" w:rsidRDefault="00FE3207">
      <w:pPr>
        <w:pStyle w:val="ListParagraph"/>
        <w:numPr>
          <w:ilvl w:val="0"/>
          <w:numId w:val="2"/>
        </w:numPr>
        <w:spacing w:line="360" w:lineRule="auto"/>
        <w:jc w:val="both"/>
      </w:pPr>
      <w:r>
        <w:rPr>
          <w:rFonts w:hint="cs"/>
          <w:rtl/>
        </w:rPr>
        <w:t>ביום 17.6.14 העיד בפני מר יגאל חודדי, עו"ס מהיחידה לטיפול בהתמכרויות בירוחם, שליווה את הנאשם בטיפול מעל לשנה (בנוסף לדו"ח שכתב, נע/4). לדבריו, הנאשם נבדק שבועית ונמצא נקי מסמים. התרשמות היחידה מהנאשם שונה לחלוטין מזו של שירות המבחן, ולפיה הנאשם מגלה מודעות ואחריות, במהלכו של טיפול ממושך שהנאשם נרתם אליו.</w:t>
      </w:r>
    </w:p>
    <w:p w14:paraId="35256F37" w14:textId="77777777" w:rsidR="006E6804" w:rsidRDefault="00FE3207">
      <w:pPr>
        <w:pStyle w:val="ListParagraph"/>
        <w:numPr>
          <w:ilvl w:val="0"/>
          <w:numId w:val="2"/>
        </w:numPr>
        <w:spacing w:line="360" w:lineRule="auto"/>
        <w:jc w:val="both"/>
      </w:pPr>
      <w:r>
        <w:rPr>
          <w:rFonts w:hint="cs"/>
          <w:rtl/>
        </w:rPr>
        <w:t>בתחילת שנת 2015 החל הנאשם לעבוד בעבודה מסודרת בחברת הסעדה (הוצגו תלושי משכורת), סיים שני קורסים אוניברסיטאיים מטעם "אוניברסיטה בעם" (הוצגו תעודות) והמתין לפתיחתו של קורס השתלמות מקצועית שטרם נפתח עד היום (נע/3, נע/5). עם-זאת, הנאשם התמיד בסירובו למצוא פתרון להסתבכויותיו הכספיות, ואף הסתבר כי הטיפול בו במסגרת היחידה בירוחם הופסק.</w:t>
      </w:r>
    </w:p>
    <w:p w14:paraId="78285CCE" w14:textId="77777777" w:rsidR="006E6804" w:rsidRDefault="00FE3207">
      <w:pPr>
        <w:pStyle w:val="ListParagraph"/>
        <w:numPr>
          <w:ilvl w:val="0"/>
          <w:numId w:val="2"/>
        </w:numPr>
        <w:spacing w:line="360" w:lineRule="auto"/>
        <w:jc w:val="both"/>
      </w:pPr>
      <w:r>
        <w:rPr>
          <w:rFonts w:hint="cs"/>
          <w:rtl/>
        </w:rPr>
        <w:t>הבירור הממושך ביחס לאפיק הטיפולי הסתיים אפוא, משהסתבר כי הנאשם לא שינה את דפוסי חשיבתו המסירים מעצמו אחריות, חדל-למעשה משיתוף פעולה ממשי עם שירות המבחן והיחידה לנפגעי סמים, ואף חדל כבר באפריל 2015 למסור בדיקות שתן. כיום הנאשם אינו מטופל עוד באף מסגרת (תסקיר אחרון, מיום 15.7.15).</w:t>
      </w:r>
    </w:p>
    <w:p w14:paraId="3F7D4425" w14:textId="77777777" w:rsidR="006E6804" w:rsidRDefault="00FE3207">
      <w:pPr>
        <w:pStyle w:val="ListParagraph"/>
        <w:numPr>
          <w:ilvl w:val="0"/>
          <w:numId w:val="2"/>
        </w:numPr>
        <w:spacing w:line="360" w:lineRule="auto"/>
        <w:jc w:val="both"/>
      </w:pPr>
      <w:r>
        <w:rPr>
          <w:rFonts w:hint="cs"/>
          <w:rtl/>
        </w:rPr>
        <w:t>לפיכך, אין כל יסוד להחרגת עונשו של הנאשם מטעמי שיקום ממתחם העונש ההולם.</w:t>
      </w:r>
    </w:p>
    <w:p w14:paraId="43AC1C47" w14:textId="77777777" w:rsidR="006E6804" w:rsidRDefault="006E6804">
      <w:pPr>
        <w:spacing w:line="360" w:lineRule="auto"/>
        <w:jc w:val="both"/>
        <w:rPr>
          <w:rtl/>
        </w:rPr>
      </w:pPr>
    </w:p>
    <w:p w14:paraId="3CC5ABA8" w14:textId="77777777" w:rsidR="006E6804" w:rsidRDefault="00FE3207">
      <w:pPr>
        <w:spacing w:line="360" w:lineRule="auto"/>
        <w:jc w:val="both"/>
        <w:rPr>
          <w:b/>
          <w:bCs/>
          <w:u w:val="single"/>
          <w:rtl/>
        </w:rPr>
      </w:pPr>
      <w:r>
        <w:rPr>
          <w:rFonts w:hint="cs"/>
          <w:b/>
          <w:bCs/>
          <w:u w:val="single"/>
          <w:rtl/>
        </w:rPr>
        <w:t>קביעת העונש במתחם:</w:t>
      </w:r>
    </w:p>
    <w:p w14:paraId="06571A09" w14:textId="77777777" w:rsidR="006E6804" w:rsidRDefault="006E6804">
      <w:pPr>
        <w:spacing w:line="360" w:lineRule="auto"/>
        <w:jc w:val="both"/>
        <w:rPr>
          <w:b/>
          <w:bCs/>
          <w:u w:val="single"/>
          <w:rtl/>
        </w:rPr>
      </w:pPr>
    </w:p>
    <w:p w14:paraId="568E821E" w14:textId="77777777" w:rsidR="006E6804" w:rsidRDefault="00FE3207">
      <w:pPr>
        <w:pStyle w:val="ListParagraph"/>
        <w:numPr>
          <w:ilvl w:val="0"/>
          <w:numId w:val="3"/>
        </w:numPr>
        <w:spacing w:line="360" w:lineRule="auto"/>
        <w:jc w:val="both"/>
      </w:pPr>
      <w:r>
        <w:rPr>
          <w:rFonts w:hint="cs"/>
          <w:rtl/>
        </w:rPr>
        <w:t>אין לנאשם תלויים ואף אין זה מאסרו הראשון, כך שלעצם הטלת המאסר לא יתלווה נזק מיוחד מעבר לזה הכרוך תמיד בעונש מאסר.</w:t>
      </w:r>
    </w:p>
    <w:p w14:paraId="3422913D" w14:textId="77777777" w:rsidR="006E6804" w:rsidRDefault="00FE3207">
      <w:pPr>
        <w:pStyle w:val="ListParagraph"/>
        <w:numPr>
          <w:ilvl w:val="0"/>
          <w:numId w:val="3"/>
        </w:numPr>
        <w:spacing w:line="360" w:lineRule="auto"/>
        <w:jc w:val="both"/>
      </w:pPr>
      <w:r>
        <w:rPr>
          <w:rFonts w:hint="cs"/>
          <w:rtl/>
        </w:rPr>
        <w:t>לזכות הנאשם יעמדו נתונים כבדי משקל:</w:t>
      </w:r>
    </w:p>
    <w:p w14:paraId="2D2AB0EC" w14:textId="77777777" w:rsidR="006E6804" w:rsidRDefault="00FE3207">
      <w:pPr>
        <w:pStyle w:val="ListParagraph"/>
        <w:numPr>
          <w:ilvl w:val="1"/>
          <w:numId w:val="3"/>
        </w:numPr>
        <w:spacing w:line="360" w:lineRule="auto"/>
        <w:jc w:val="both"/>
      </w:pPr>
      <w:r>
        <w:rPr>
          <w:rFonts w:hint="cs"/>
          <w:rtl/>
        </w:rPr>
        <w:t>הודייתו שחסכה משאבי ציבור;</w:t>
      </w:r>
    </w:p>
    <w:p w14:paraId="59D20674" w14:textId="77777777" w:rsidR="006E6804" w:rsidRDefault="00FE3207">
      <w:pPr>
        <w:pStyle w:val="ListParagraph"/>
        <w:numPr>
          <w:ilvl w:val="1"/>
          <w:numId w:val="3"/>
        </w:numPr>
        <w:spacing w:line="360" w:lineRule="auto"/>
        <w:jc w:val="both"/>
      </w:pPr>
      <w:r>
        <w:rPr>
          <w:rFonts w:hint="cs"/>
          <w:rtl/>
        </w:rPr>
        <w:t>מאמצים רבים שהשקיע בטיפול ממושך, אף שזה נשא פירות מוגבלים בלבד;</w:t>
      </w:r>
    </w:p>
    <w:p w14:paraId="694E7D3C" w14:textId="77777777" w:rsidR="006E6804" w:rsidRDefault="00FE3207">
      <w:pPr>
        <w:pStyle w:val="ListParagraph"/>
        <w:numPr>
          <w:ilvl w:val="0"/>
          <w:numId w:val="3"/>
        </w:numPr>
        <w:spacing w:line="360" w:lineRule="auto"/>
        <w:jc w:val="both"/>
      </w:pPr>
      <w:r>
        <w:rPr>
          <w:rFonts w:hint="cs"/>
          <w:rtl/>
        </w:rPr>
        <w:t>עוד יינתן משקל לתקופה הממושכת בה נתון היה הנאשם בתנאים המגבילים את חירותו, ללא כל הפרה.</w:t>
      </w:r>
    </w:p>
    <w:p w14:paraId="0327529F" w14:textId="77777777" w:rsidR="006E6804" w:rsidRDefault="00FE3207">
      <w:pPr>
        <w:pStyle w:val="ListParagraph"/>
        <w:numPr>
          <w:ilvl w:val="0"/>
          <w:numId w:val="3"/>
        </w:numPr>
        <w:spacing w:line="360" w:lineRule="auto"/>
        <w:jc w:val="both"/>
      </w:pPr>
      <w:r>
        <w:rPr>
          <w:rFonts w:hint="cs"/>
          <w:rtl/>
        </w:rPr>
        <w:t>אלו יובילו למיתון ניכר בענישה, על-אף עברו הפלילי המכביד והרלוונטי של הנאשם, ויעמידו העונש העיקרי בחלקו האמצעי של המתחם.</w:t>
      </w:r>
    </w:p>
    <w:p w14:paraId="16995FDA" w14:textId="77777777" w:rsidR="006E6804" w:rsidRDefault="00FE3207">
      <w:pPr>
        <w:pStyle w:val="ListParagraph"/>
        <w:numPr>
          <w:ilvl w:val="0"/>
          <w:numId w:val="3"/>
        </w:numPr>
        <w:spacing w:line="360" w:lineRule="auto"/>
        <w:jc w:val="both"/>
      </w:pPr>
      <w:r>
        <w:rPr>
          <w:rFonts w:hint="cs"/>
          <w:rtl/>
        </w:rPr>
        <w:t>בהתחשב במצבו הכלכלי הדחוק של הנאשם, יהא הקנס מתון מאוד.</w:t>
      </w:r>
    </w:p>
    <w:p w14:paraId="14FEE99E" w14:textId="77777777" w:rsidR="006E6804" w:rsidRDefault="00FE3207">
      <w:pPr>
        <w:bidi w:val="0"/>
      </w:pPr>
      <w:r>
        <w:rPr>
          <w:rtl/>
        </w:rPr>
        <w:br w:type="page"/>
      </w:r>
    </w:p>
    <w:p w14:paraId="12551E74" w14:textId="77777777" w:rsidR="006E6804" w:rsidRDefault="00FE3207">
      <w:pPr>
        <w:spacing w:line="360" w:lineRule="auto"/>
        <w:jc w:val="both"/>
        <w:rPr>
          <w:b/>
          <w:bCs/>
          <w:u w:val="single"/>
          <w:rtl/>
        </w:rPr>
      </w:pPr>
      <w:r>
        <w:rPr>
          <w:rFonts w:hint="cs"/>
          <w:b/>
          <w:bCs/>
          <w:u w:val="single"/>
          <w:rtl/>
        </w:rPr>
        <w:t>סוף-דבר, אני גוזר על הנאשם את העונשים הבאים:</w:t>
      </w:r>
    </w:p>
    <w:p w14:paraId="667E09A0" w14:textId="77777777" w:rsidR="006E6804" w:rsidRDefault="006E6804">
      <w:pPr>
        <w:spacing w:line="360" w:lineRule="auto"/>
        <w:jc w:val="both"/>
        <w:rPr>
          <w:b/>
          <w:bCs/>
          <w:u w:val="single"/>
          <w:rtl/>
        </w:rPr>
      </w:pPr>
    </w:p>
    <w:p w14:paraId="0C4435E4" w14:textId="77777777" w:rsidR="006E6804" w:rsidRDefault="00FE3207">
      <w:pPr>
        <w:spacing w:line="360" w:lineRule="auto"/>
        <w:jc w:val="both"/>
        <w:rPr>
          <w:rtl/>
        </w:rPr>
      </w:pPr>
      <w:r>
        <w:rPr>
          <w:rFonts w:hint="cs"/>
          <w:rtl/>
        </w:rPr>
        <w:t>א.</w:t>
      </w:r>
      <w:r>
        <w:rPr>
          <w:rFonts w:hint="cs"/>
          <w:rtl/>
        </w:rPr>
        <w:tab/>
        <w:t>18 חודשי מאסר בפועל, בניכוי ימי מעצרו בתיק זה;</w:t>
      </w:r>
    </w:p>
    <w:p w14:paraId="2FD41B7C" w14:textId="77777777" w:rsidR="006E6804" w:rsidRDefault="006E6804">
      <w:pPr>
        <w:spacing w:line="360" w:lineRule="auto"/>
        <w:jc w:val="both"/>
        <w:rPr>
          <w:rtl/>
        </w:rPr>
      </w:pPr>
    </w:p>
    <w:p w14:paraId="772F2B9A" w14:textId="77777777" w:rsidR="006E6804" w:rsidRDefault="00FE3207">
      <w:pPr>
        <w:spacing w:line="360" w:lineRule="auto"/>
        <w:ind w:left="720" w:hanging="720"/>
        <w:jc w:val="both"/>
        <w:rPr>
          <w:rtl/>
        </w:rPr>
      </w:pPr>
      <w:r>
        <w:rPr>
          <w:rFonts w:hint="cs"/>
          <w:rtl/>
        </w:rPr>
        <w:t>ב.</w:t>
      </w:r>
      <w:r>
        <w:rPr>
          <w:rFonts w:hint="cs"/>
          <w:rtl/>
        </w:rPr>
        <w:tab/>
        <w:t>תשעה חודשי מאסר על-תנאי למשך שנתיים מיום שחרורו, שלא יעבור עבירת סמים שהנה פשע;</w:t>
      </w:r>
    </w:p>
    <w:p w14:paraId="67A89EB1" w14:textId="77777777" w:rsidR="006E6804" w:rsidRDefault="006E6804">
      <w:pPr>
        <w:spacing w:line="360" w:lineRule="auto"/>
        <w:jc w:val="both"/>
        <w:rPr>
          <w:rtl/>
        </w:rPr>
      </w:pPr>
    </w:p>
    <w:p w14:paraId="4ADCCDEF" w14:textId="77777777" w:rsidR="006E6804" w:rsidRDefault="00FE3207">
      <w:pPr>
        <w:spacing w:line="360" w:lineRule="auto"/>
        <w:ind w:left="720" w:hanging="720"/>
        <w:jc w:val="both"/>
        <w:rPr>
          <w:rtl/>
        </w:rPr>
      </w:pPr>
      <w:r>
        <w:rPr>
          <w:rFonts w:hint="cs"/>
          <w:rtl/>
        </w:rPr>
        <w:t>ג.</w:t>
      </w:r>
      <w:r>
        <w:rPr>
          <w:rFonts w:hint="cs"/>
          <w:rtl/>
        </w:rPr>
        <w:tab/>
        <w:t>שלושה חודשי מאסר על-תנאי למשך שנתיים מיום שחרורו, שלא יעבור עבירת סמים שהנה עוון;</w:t>
      </w:r>
    </w:p>
    <w:p w14:paraId="13D5174E" w14:textId="77777777" w:rsidR="006E6804" w:rsidRDefault="006E6804">
      <w:pPr>
        <w:spacing w:line="360" w:lineRule="auto"/>
        <w:ind w:left="720" w:hanging="720"/>
        <w:jc w:val="both"/>
        <w:rPr>
          <w:rtl/>
        </w:rPr>
      </w:pPr>
    </w:p>
    <w:p w14:paraId="70EBB7C4" w14:textId="77777777" w:rsidR="006E6804" w:rsidRDefault="00FE3207">
      <w:pPr>
        <w:spacing w:line="360" w:lineRule="auto"/>
        <w:ind w:left="720" w:hanging="720"/>
        <w:jc w:val="both"/>
        <w:rPr>
          <w:rtl/>
        </w:rPr>
      </w:pPr>
      <w:r>
        <w:rPr>
          <w:rFonts w:hint="cs"/>
          <w:rtl/>
        </w:rPr>
        <w:t>ד.</w:t>
      </w:r>
      <w:r>
        <w:rPr>
          <w:rFonts w:hint="cs"/>
          <w:rtl/>
        </w:rPr>
        <w:tab/>
        <w:t>קנס בסך 2,000 ₪ או חודשיים מאסר נוספים תמורתו. הקנס ישולם עד ליום 1.9.15;</w:t>
      </w:r>
    </w:p>
    <w:p w14:paraId="1DF5CF65" w14:textId="77777777" w:rsidR="006E6804" w:rsidRDefault="006E6804">
      <w:pPr>
        <w:spacing w:line="360" w:lineRule="auto"/>
        <w:ind w:left="720" w:hanging="720"/>
        <w:jc w:val="both"/>
        <w:rPr>
          <w:rtl/>
        </w:rPr>
      </w:pPr>
    </w:p>
    <w:p w14:paraId="7A220C76" w14:textId="77777777" w:rsidR="006E6804" w:rsidRDefault="00FE3207">
      <w:pPr>
        <w:spacing w:line="360" w:lineRule="auto"/>
        <w:ind w:left="720" w:hanging="720"/>
        <w:jc w:val="both"/>
        <w:rPr>
          <w:rtl/>
        </w:rPr>
      </w:pPr>
      <w:r>
        <w:rPr>
          <w:rFonts w:hint="cs"/>
          <w:rtl/>
        </w:rPr>
        <w:t>ה.</w:t>
      </w:r>
      <w:r>
        <w:rPr>
          <w:rFonts w:hint="cs"/>
          <w:rtl/>
        </w:rPr>
        <w:tab/>
        <w:t>אני פוסל את הנאשם מלנהוג ו/או לקבל רישיון נהיגה למשך שנה מיום שחרורו;</w:t>
      </w:r>
    </w:p>
    <w:p w14:paraId="0745029B" w14:textId="77777777" w:rsidR="006E6804" w:rsidRDefault="006E6804">
      <w:pPr>
        <w:spacing w:line="360" w:lineRule="auto"/>
        <w:jc w:val="both"/>
        <w:rPr>
          <w:rtl/>
        </w:rPr>
      </w:pPr>
    </w:p>
    <w:p w14:paraId="7D81B1F9" w14:textId="77777777" w:rsidR="006E6804" w:rsidRDefault="006E6804">
      <w:pPr>
        <w:spacing w:line="360" w:lineRule="auto"/>
        <w:jc w:val="both"/>
        <w:rPr>
          <w:rtl/>
        </w:rPr>
      </w:pPr>
    </w:p>
    <w:p w14:paraId="73958A1A" w14:textId="77777777" w:rsidR="006E6804" w:rsidRDefault="00FE3207">
      <w:pPr>
        <w:spacing w:line="360" w:lineRule="auto"/>
        <w:jc w:val="both"/>
        <w:rPr>
          <w:rtl/>
        </w:rPr>
      </w:pPr>
      <w:r>
        <w:rPr>
          <w:rFonts w:hint="cs"/>
          <w:rtl/>
        </w:rPr>
        <w:t>הסמים יושמדו. כל מוצג אחר, פרט לכסף, יועבר להכרעה פרטנית של קצין משטרה.</w:t>
      </w:r>
    </w:p>
    <w:p w14:paraId="4ADFEFF8" w14:textId="77777777" w:rsidR="006E6804" w:rsidRDefault="006E6804">
      <w:pPr>
        <w:spacing w:line="360" w:lineRule="auto"/>
        <w:jc w:val="both"/>
        <w:rPr>
          <w:rtl/>
        </w:rPr>
      </w:pPr>
    </w:p>
    <w:p w14:paraId="0C05E5EC" w14:textId="77777777" w:rsidR="006E6804" w:rsidRDefault="00FE3207">
      <w:pPr>
        <w:spacing w:line="360" w:lineRule="auto"/>
        <w:jc w:val="both"/>
        <w:rPr>
          <w:rtl/>
        </w:rPr>
      </w:pPr>
      <w:r>
        <w:rPr>
          <w:rFonts w:hint="cs"/>
          <w:rtl/>
        </w:rPr>
        <w:t>עותק גזר הדין יועבר לידיעת שירות המבחן.</w:t>
      </w:r>
    </w:p>
    <w:p w14:paraId="595246A1" w14:textId="77777777" w:rsidR="006E6804" w:rsidRDefault="006E6804">
      <w:pPr>
        <w:spacing w:line="360" w:lineRule="auto"/>
        <w:jc w:val="both"/>
        <w:rPr>
          <w:rtl/>
        </w:rPr>
      </w:pPr>
    </w:p>
    <w:p w14:paraId="446C7BA9" w14:textId="77777777" w:rsidR="006E6804" w:rsidRDefault="00FE3207">
      <w:pPr>
        <w:spacing w:line="360" w:lineRule="auto"/>
        <w:jc w:val="both"/>
        <w:rPr>
          <w:b/>
          <w:bCs/>
          <w:rtl/>
        </w:rPr>
      </w:pPr>
      <w:r>
        <w:rPr>
          <w:rFonts w:hint="cs"/>
          <w:b/>
          <w:bCs/>
          <w:rtl/>
        </w:rPr>
        <w:t>זכות ערעור תוך 45 יום לבית המשפט המחוזי.</w:t>
      </w:r>
    </w:p>
    <w:p w14:paraId="10D0CED3" w14:textId="77777777" w:rsidR="006E6804" w:rsidRDefault="006E6804">
      <w:pPr>
        <w:spacing w:line="360" w:lineRule="auto"/>
        <w:jc w:val="both"/>
        <w:rPr>
          <w:rtl/>
        </w:rPr>
      </w:pPr>
    </w:p>
    <w:p w14:paraId="359B329E" w14:textId="77777777" w:rsidR="006E6804" w:rsidRPr="00FE3207" w:rsidRDefault="00FE3207">
      <w:pPr>
        <w:spacing w:line="360" w:lineRule="auto"/>
        <w:jc w:val="both"/>
        <w:rPr>
          <w:color w:val="FFFFFF"/>
          <w:sz w:val="2"/>
          <w:szCs w:val="2"/>
          <w:rtl/>
        </w:rPr>
      </w:pPr>
      <w:r w:rsidRPr="00FE3207">
        <w:rPr>
          <w:color w:val="FFFFFF"/>
          <w:sz w:val="2"/>
          <w:szCs w:val="2"/>
          <w:rtl/>
        </w:rPr>
        <w:t>5129371</w:t>
      </w:r>
    </w:p>
    <w:p w14:paraId="1DF1B98F" w14:textId="77777777" w:rsidR="006E6804" w:rsidRDefault="00FE3207">
      <w:pPr>
        <w:rPr>
          <w:sz w:val="22"/>
          <w:szCs w:val="22"/>
          <w:rtl/>
        </w:rPr>
      </w:pPr>
      <w:r w:rsidRPr="00FE3207">
        <w:rPr>
          <w:color w:val="FFFFFF"/>
          <w:sz w:val="2"/>
          <w:szCs w:val="2"/>
          <w:rtl/>
        </w:rPr>
        <w:t>54678313</w:t>
      </w:r>
      <w:r>
        <w:rPr>
          <w:rtl/>
        </w:rPr>
        <w:t xml:space="preserve">ניתן היום, כ"ט תמוז תשע"ה, 16 יולי 2015, במעמד הצדדים. </w:t>
      </w:r>
    </w:p>
    <w:p w14:paraId="5D68547A" w14:textId="77777777" w:rsidR="006E6804" w:rsidRDefault="00FE3207">
      <w:pPr>
        <w:jc w:val="center"/>
      </w:pPr>
      <w:r>
        <w:rPr>
          <w:rFonts w:hint="cs"/>
          <w:sz w:val="22"/>
          <w:szCs w:val="22"/>
          <w:rtl/>
        </w:rPr>
        <w:t xml:space="preserve">   </w:t>
      </w:r>
      <w:r>
        <w:rPr>
          <w:rFonts w:hint="cs"/>
          <w:sz w:val="22"/>
          <w:szCs w:val="22"/>
          <w:rtl/>
        </w:rPr>
        <w:tab/>
      </w:r>
      <w:r>
        <w:rPr>
          <w:rFonts w:hint="cs"/>
          <w:sz w:val="22"/>
          <w:szCs w:val="22"/>
          <w:rtl/>
        </w:rPr>
        <w:tab/>
      </w:r>
      <w:r>
        <w:rPr>
          <w:rFonts w:hint="cs"/>
          <w:sz w:val="22"/>
          <w:szCs w:val="22"/>
          <w:rtl/>
        </w:rPr>
        <w:tab/>
      </w:r>
      <w:r>
        <w:rPr>
          <w:rFonts w:hint="cs"/>
          <w:sz w:val="22"/>
          <w:szCs w:val="22"/>
          <w:rtl/>
        </w:rPr>
        <w:tab/>
      </w:r>
      <w:r>
        <w:rPr>
          <w:rFonts w:hint="cs"/>
          <w:sz w:val="22"/>
          <w:szCs w:val="22"/>
          <w:rtl/>
        </w:rPr>
        <w:tab/>
      </w:r>
    </w:p>
    <w:p w14:paraId="067DA8A3" w14:textId="77777777" w:rsidR="006E6804" w:rsidRDefault="006E6804">
      <w:pPr>
        <w:jc w:val="center"/>
        <w:rPr>
          <w:sz w:val="22"/>
          <w:szCs w:val="22"/>
          <w:rtl/>
        </w:rPr>
      </w:pPr>
    </w:p>
    <w:p w14:paraId="1DBB204D" w14:textId="77777777" w:rsidR="006E6804" w:rsidRDefault="006E6804">
      <w:pPr>
        <w:rPr>
          <w:sz w:val="22"/>
          <w:szCs w:val="22"/>
          <w:rtl/>
        </w:rPr>
      </w:pPr>
    </w:p>
    <w:p w14:paraId="2ED2EE75" w14:textId="77777777" w:rsidR="006E6804" w:rsidRDefault="006E6804">
      <w:pPr>
        <w:pStyle w:val="a3"/>
        <w:jc w:val="center"/>
        <w:rPr>
          <w:sz w:val="22"/>
          <w:szCs w:val="22"/>
          <w:rtl/>
        </w:rPr>
      </w:pPr>
    </w:p>
    <w:p w14:paraId="6D12D917" w14:textId="77777777" w:rsidR="00FE3207" w:rsidRPr="00FE3207" w:rsidRDefault="00FE3207" w:rsidP="00FE3207">
      <w:pPr>
        <w:keepNext/>
        <w:rPr>
          <w:rFonts w:ascii="David" w:hAnsi="David"/>
          <w:color w:val="000000"/>
          <w:sz w:val="22"/>
          <w:szCs w:val="22"/>
          <w:rtl/>
        </w:rPr>
      </w:pPr>
    </w:p>
    <w:p w14:paraId="071F385A" w14:textId="77777777" w:rsidR="00FE3207" w:rsidRPr="00FE3207" w:rsidRDefault="00FE3207" w:rsidP="00FE3207">
      <w:pPr>
        <w:keepNext/>
        <w:rPr>
          <w:rFonts w:ascii="David" w:hAnsi="David"/>
          <w:color w:val="000000"/>
          <w:sz w:val="22"/>
          <w:szCs w:val="22"/>
          <w:rtl/>
        </w:rPr>
      </w:pPr>
      <w:r w:rsidRPr="00FE3207">
        <w:rPr>
          <w:rFonts w:ascii="David" w:hAnsi="David"/>
          <w:color w:val="000000"/>
          <w:sz w:val="22"/>
          <w:szCs w:val="22"/>
          <w:rtl/>
        </w:rPr>
        <w:t>עידו דרויאן 54678313</w:t>
      </w:r>
    </w:p>
    <w:p w14:paraId="53C184E0" w14:textId="77777777" w:rsidR="00FE3207" w:rsidRDefault="00FE3207" w:rsidP="00FE3207">
      <w:r w:rsidRPr="00FE3207">
        <w:rPr>
          <w:color w:val="000000"/>
          <w:rtl/>
        </w:rPr>
        <w:t>נוסח מסמך זה כפוף לשינויי ניסוח ועריכה</w:t>
      </w:r>
    </w:p>
    <w:p w14:paraId="42135759" w14:textId="77777777" w:rsidR="00FE3207" w:rsidRDefault="00FE3207" w:rsidP="00FE3207">
      <w:pPr>
        <w:rPr>
          <w:rtl/>
        </w:rPr>
      </w:pPr>
    </w:p>
    <w:p w14:paraId="7B0AC03A" w14:textId="77777777" w:rsidR="00FE3207" w:rsidRDefault="00FE3207" w:rsidP="00FE3207">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667D7B89" w14:textId="77777777" w:rsidR="006E6804" w:rsidRPr="00FE3207" w:rsidRDefault="00C95000" w:rsidP="00FE3207">
      <w:pPr>
        <w:jc w:val="center"/>
        <w:rPr>
          <w:color w:val="0000FF"/>
          <w:u w:val="single"/>
        </w:rPr>
      </w:pPr>
      <w:r>
        <w:rPr>
          <w:rFonts w:hint="cs"/>
          <w:color w:val="0000FF"/>
          <w:u w:val="single"/>
          <w:rtl/>
        </w:rPr>
        <w:t xml:space="preserve">  </w:t>
      </w:r>
    </w:p>
    <w:sectPr w:rsidR="006E6804" w:rsidRPr="00FE3207" w:rsidSect="00FE3207">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D6DA6" w14:textId="77777777" w:rsidR="00D80E6C" w:rsidRDefault="00D80E6C">
      <w:r>
        <w:separator/>
      </w:r>
    </w:p>
  </w:endnote>
  <w:endnote w:type="continuationSeparator" w:id="0">
    <w:p w14:paraId="305B9190" w14:textId="77777777" w:rsidR="00D80E6C" w:rsidRDefault="00D80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52A71" w14:textId="77777777" w:rsidR="00AF2701" w:rsidRDefault="00AF2701" w:rsidP="00FE320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D9EBB8" w14:textId="77777777" w:rsidR="00AF2701" w:rsidRPr="00FE3207" w:rsidRDefault="00AF2701" w:rsidP="00FE3207">
    <w:pPr>
      <w:pStyle w:val="a4"/>
      <w:pBdr>
        <w:top w:val="single" w:sz="4" w:space="1" w:color="auto"/>
        <w:between w:val="single" w:sz="4" w:space="0" w:color="auto"/>
      </w:pBdr>
      <w:spacing w:after="60"/>
      <w:jc w:val="center"/>
      <w:rPr>
        <w:rFonts w:ascii="FrankRuehl" w:hAnsi="FrankRuehl" w:cs="FrankRuehl"/>
        <w:color w:val="000000"/>
      </w:rPr>
    </w:pPr>
    <w:r w:rsidRPr="00FE320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15B5F" w14:textId="77777777" w:rsidR="00AF2701" w:rsidRDefault="00AF2701" w:rsidP="00FE320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122F">
      <w:rPr>
        <w:rFonts w:ascii="FrankRuehl" w:hAnsi="FrankRuehl" w:cs="FrankRuehl"/>
        <w:noProof/>
        <w:rtl/>
      </w:rPr>
      <w:t>1</w:t>
    </w:r>
    <w:r>
      <w:rPr>
        <w:rFonts w:ascii="FrankRuehl" w:hAnsi="FrankRuehl" w:cs="FrankRuehl"/>
        <w:rtl/>
      </w:rPr>
      <w:fldChar w:fldCharType="end"/>
    </w:r>
  </w:p>
  <w:p w14:paraId="3BDB3DB4" w14:textId="77777777" w:rsidR="00AF2701" w:rsidRPr="00FE3207" w:rsidRDefault="00AF2701" w:rsidP="00FE3207">
    <w:pPr>
      <w:pStyle w:val="a4"/>
      <w:pBdr>
        <w:top w:val="single" w:sz="4" w:space="1" w:color="auto"/>
        <w:between w:val="single" w:sz="4" w:space="0" w:color="auto"/>
      </w:pBdr>
      <w:spacing w:after="60"/>
      <w:jc w:val="center"/>
      <w:rPr>
        <w:rFonts w:ascii="FrankRuehl" w:hAnsi="FrankRuehl" w:cs="FrankRuehl"/>
        <w:color w:val="000000"/>
      </w:rPr>
    </w:pPr>
    <w:r w:rsidRPr="00FE3207">
      <w:rPr>
        <w:rFonts w:ascii="FrankRuehl" w:hAnsi="FrankRuehl" w:cs="FrankRuehl"/>
        <w:color w:val="000000"/>
      </w:rPr>
      <w:pict w14:anchorId="67B31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BD5DB" w14:textId="77777777" w:rsidR="00D80E6C" w:rsidRDefault="00D80E6C">
      <w:r>
        <w:separator/>
      </w:r>
    </w:p>
  </w:footnote>
  <w:footnote w:type="continuationSeparator" w:id="0">
    <w:p w14:paraId="2D29F424" w14:textId="77777777" w:rsidR="00D80E6C" w:rsidRDefault="00D80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62E3C" w14:textId="77777777" w:rsidR="00AF2701" w:rsidRPr="00FE3207" w:rsidRDefault="00AF2701" w:rsidP="00FE320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13780-01-13</w:t>
    </w:r>
    <w:r>
      <w:rPr>
        <w:rFonts w:ascii="David" w:hAnsi="David"/>
        <w:color w:val="000000"/>
        <w:sz w:val="22"/>
        <w:szCs w:val="22"/>
        <w:rtl/>
      </w:rPr>
      <w:tab/>
      <w:t xml:space="preserve"> מדינת ישראל נ' יניב אבידן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6EBFD" w14:textId="77777777" w:rsidR="00AF2701" w:rsidRPr="00FE3207" w:rsidRDefault="00AF2701" w:rsidP="00FE320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13780-01-13</w:t>
    </w:r>
    <w:r>
      <w:rPr>
        <w:rFonts w:ascii="David" w:hAnsi="David"/>
        <w:color w:val="000000"/>
        <w:sz w:val="22"/>
        <w:szCs w:val="22"/>
        <w:rtl/>
      </w:rPr>
      <w:tab/>
      <w:t xml:space="preserve"> מדינת ישראל נ' יניב אבידן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33859"/>
    <w:multiLevelType w:val="hybridMultilevel"/>
    <w:tmpl w:val="CB622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844C81"/>
    <w:multiLevelType w:val="hybridMultilevel"/>
    <w:tmpl w:val="5B6A6F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8F0660"/>
    <w:multiLevelType w:val="hybridMultilevel"/>
    <w:tmpl w:val="8A7066F2"/>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903617">
    <w:abstractNumId w:val="1"/>
  </w:num>
  <w:num w:numId="2" w16cid:durableId="1533808314">
    <w:abstractNumId w:val="0"/>
  </w:num>
  <w:num w:numId="3" w16cid:durableId="759063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6804"/>
    <w:rsid w:val="00193AE6"/>
    <w:rsid w:val="00613095"/>
    <w:rsid w:val="006E6804"/>
    <w:rsid w:val="008D43C7"/>
    <w:rsid w:val="00956162"/>
    <w:rsid w:val="00AF2701"/>
    <w:rsid w:val="00BE122F"/>
    <w:rsid w:val="00C95000"/>
    <w:rsid w:val="00CF7008"/>
    <w:rsid w:val="00D51AB8"/>
    <w:rsid w:val="00D80E6C"/>
    <w:rsid w:val="00FE32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AA91EB"/>
  <w15:chartTrackingRefBased/>
  <w15:docId w15:val="{51A11397-5D95-4550-AE2F-4423E63E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680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E6804"/>
    <w:pPr>
      <w:tabs>
        <w:tab w:val="center" w:pos="4153"/>
        <w:tab w:val="right" w:pos="8306"/>
      </w:tabs>
    </w:pPr>
  </w:style>
  <w:style w:type="paragraph" w:styleId="a4">
    <w:name w:val="footer"/>
    <w:basedOn w:val="a"/>
    <w:rsid w:val="006E6804"/>
    <w:pPr>
      <w:tabs>
        <w:tab w:val="center" w:pos="4153"/>
        <w:tab w:val="right" w:pos="8306"/>
      </w:tabs>
    </w:pPr>
  </w:style>
  <w:style w:type="character" w:styleId="a5">
    <w:name w:val="page number"/>
    <w:basedOn w:val="a0"/>
    <w:rsid w:val="006E6804"/>
  </w:style>
  <w:style w:type="paragraph" w:customStyle="1" w:styleId="ListParagraph">
    <w:name w:val="List Paragraph"/>
    <w:basedOn w:val="a"/>
    <w:rsid w:val="006E6804"/>
    <w:pPr>
      <w:ind w:left="720"/>
      <w:contextualSpacing/>
    </w:pPr>
  </w:style>
  <w:style w:type="character" w:styleId="Hyperlink">
    <w:name w:val="Hyperlink"/>
    <w:rsid w:val="00FE3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1015</Words>
  <Characters>5075</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6078</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2025-04-22T21:54:00Z</dcterms:created>
  <dcterms:modified xsi:type="dcterms:W3CDTF">2025-04-22T21:54:00Z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13780</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יניב אבידן</vt:lpwstr>
  </property>
  <property fmtid="{D5CDD505-2E9C-101B-9397-08002B2CF9AE}" pid="10" name="LAWYER">
    <vt:lpwstr>זרנגר;אלחדד</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20150716</vt:lpwstr>
  </property>
  <property fmtid="{D5CDD505-2E9C-101B-9397-08002B2CF9AE}" pid="14" name="TYPE_N_DATE">
    <vt:lpwstr>38020150716</vt:lpwstr>
  </property>
  <property fmtid="{D5CDD505-2E9C-101B-9397-08002B2CF9AE}" pid="15" name="WORDNUMPAGES">
    <vt:lpwstr>4</vt:lpwstr>
  </property>
  <property fmtid="{D5CDD505-2E9C-101B-9397-08002B2CF9AE}" pid="16" name="TYPE_ABS_DATE">
    <vt:lpwstr>380020150716</vt:lpwstr>
  </property>
  <property fmtid="{D5CDD505-2E9C-101B-9397-08002B2CF9AE}" pid="17" name="ISABSTRACT">
    <vt:lpwstr>Y</vt:lpwstr>
  </property>
  <property fmtid="{D5CDD505-2E9C-101B-9397-08002B2CF9AE}" pid="18" name="LAWLISTTMP1">
    <vt:lpwstr>4216/007.a;007.c</vt:lpwstr>
  </property>
</Properties>
</file>