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C36FB" w:rsidRPr="00090FFD" w14:paraId="1F2D6A84" w14:textId="77777777">
        <w:trPr>
          <w:trHeight w:hRule="exact" w:val="418"/>
          <w:jc w:val="center"/>
        </w:trPr>
        <w:tc>
          <w:tcPr>
            <w:tcW w:w="8721" w:type="dxa"/>
            <w:gridSpan w:val="2"/>
          </w:tcPr>
          <w:p w14:paraId="54CEDE27" w14:textId="77777777" w:rsidR="003C36FB" w:rsidRPr="00090FFD" w:rsidRDefault="00090FFD">
            <w:pPr>
              <w:pStyle w:val="a3"/>
              <w:jc w:val="center"/>
              <w:rPr>
                <w:rFonts w:ascii="Tahoma" w:hAnsi="Tahoma" w:cs="Tahoma"/>
                <w:color w:val="000080"/>
                <w:rtl/>
              </w:rPr>
            </w:pPr>
            <w:bookmarkStart w:id="0" w:name="LastJudge"/>
            <w:r w:rsidRPr="00090FFD">
              <w:rPr>
                <w:rFonts w:ascii="Tahoma" w:hAnsi="Tahoma" w:cs="Tahoma"/>
                <w:b/>
                <w:bCs/>
                <w:color w:val="000080"/>
                <w:rtl/>
              </w:rPr>
              <w:t>בית משפט השלום בתל אביב - יפו</w:t>
            </w:r>
          </w:p>
        </w:tc>
      </w:tr>
      <w:tr w:rsidR="003C36FB" w:rsidRPr="00090FFD" w14:paraId="6931C278" w14:textId="77777777">
        <w:trPr>
          <w:trHeight w:val="337"/>
          <w:jc w:val="center"/>
        </w:trPr>
        <w:tc>
          <w:tcPr>
            <w:tcW w:w="5054" w:type="dxa"/>
          </w:tcPr>
          <w:p w14:paraId="2C5C1675" w14:textId="77777777" w:rsidR="003C36FB" w:rsidRPr="00090FFD" w:rsidRDefault="00090FFD">
            <w:pPr>
              <w:rPr>
                <w:rFonts w:cs="FrankRuehl"/>
                <w:sz w:val="28"/>
                <w:szCs w:val="28"/>
                <w:rtl/>
              </w:rPr>
            </w:pPr>
            <w:r w:rsidRPr="00090FFD">
              <w:rPr>
                <w:rFonts w:cs="FrankRuehl"/>
                <w:sz w:val="28"/>
                <w:szCs w:val="28"/>
                <w:rtl/>
              </w:rPr>
              <w:t>ת"פ</w:t>
            </w:r>
            <w:r w:rsidRPr="00090FFD">
              <w:rPr>
                <w:rFonts w:cs="FrankRuehl" w:hint="cs"/>
                <w:sz w:val="28"/>
                <w:szCs w:val="28"/>
                <w:rtl/>
              </w:rPr>
              <w:t xml:space="preserve"> </w:t>
            </w:r>
            <w:r w:rsidRPr="00090FFD">
              <w:rPr>
                <w:rFonts w:cs="FrankRuehl"/>
                <w:sz w:val="28"/>
                <w:szCs w:val="28"/>
                <w:rtl/>
              </w:rPr>
              <w:t>52587-01-13</w:t>
            </w:r>
            <w:r w:rsidRPr="00090FFD">
              <w:rPr>
                <w:rFonts w:cs="FrankRuehl" w:hint="cs"/>
                <w:sz w:val="28"/>
                <w:szCs w:val="28"/>
                <w:rtl/>
              </w:rPr>
              <w:t xml:space="preserve"> </w:t>
            </w:r>
            <w:r w:rsidRPr="00090FFD">
              <w:rPr>
                <w:rFonts w:cs="FrankRuehl"/>
                <w:sz w:val="28"/>
                <w:szCs w:val="28"/>
                <w:rtl/>
              </w:rPr>
              <w:t>מדינת ישראל נ' מוסה</w:t>
            </w:r>
          </w:p>
          <w:p w14:paraId="63D64B70" w14:textId="77777777" w:rsidR="003C36FB" w:rsidRPr="00090FFD" w:rsidRDefault="003C36FB">
            <w:pPr>
              <w:pStyle w:val="a3"/>
              <w:rPr>
                <w:rFonts w:cs="FrankRuehl"/>
                <w:sz w:val="28"/>
                <w:szCs w:val="28"/>
                <w:rtl/>
              </w:rPr>
            </w:pPr>
          </w:p>
        </w:tc>
        <w:tc>
          <w:tcPr>
            <w:tcW w:w="3667" w:type="dxa"/>
          </w:tcPr>
          <w:p w14:paraId="2F18E5B9" w14:textId="77777777" w:rsidR="003C36FB" w:rsidRPr="00090FFD" w:rsidRDefault="003C36FB">
            <w:pPr>
              <w:pStyle w:val="a3"/>
              <w:jc w:val="right"/>
              <w:rPr>
                <w:rFonts w:cs="FrankRuehl"/>
                <w:sz w:val="28"/>
                <w:szCs w:val="28"/>
                <w:rtl/>
              </w:rPr>
            </w:pPr>
          </w:p>
        </w:tc>
      </w:tr>
    </w:tbl>
    <w:p w14:paraId="34FE74C0" w14:textId="77777777" w:rsidR="003C36FB" w:rsidRPr="00090FFD" w:rsidRDefault="00090FFD">
      <w:pPr>
        <w:pStyle w:val="a3"/>
        <w:rPr>
          <w:rtl/>
        </w:rPr>
      </w:pPr>
      <w:r w:rsidRPr="00090FFD">
        <w:rPr>
          <w:rFonts w:hint="cs"/>
          <w:rtl/>
        </w:rPr>
        <w:t xml:space="preserve"> </w:t>
      </w:r>
    </w:p>
    <w:p w14:paraId="20D1A698" w14:textId="77777777" w:rsidR="003C36FB" w:rsidRPr="00090FFD" w:rsidRDefault="003C36F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C36FB" w:rsidRPr="00090FFD" w14:paraId="203BC702" w14:textId="77777777">
        <w:trPr>
          <w:trHeight w:val="295"/>
          <w:jc w:val="center"/>
        </w:trPr>
        <w:tc>
          <w:tcPr>
            <w:tcW w:w="923" w:type="dxa"/>
            <w:tcBorders>
              <w:top w:val="nil"/>
              <w:left w:val="nil"/>
              <w:bottom w:val="nil"/>
              <w:right w:val="nil"/>
            </w:tcBorders>
          </w:tcPr>
          <w:p w14:paraId="25F0DB94" w14:textId="77777777" w:rsidR="003C36FB" w:rsidRPr="00090FFD" w:rsidRDefault="00090FFD">
            <w:pPr>
              <w:jc w:val="both"/>
              <w:rPr>
                <w:rFonts w:ascii="Arial" w:hAnsi="Arial"/>
                <w:b/>
                <w:bCs/>
              </w:rPr>
            </w:pPr>
            <w:r w:rsidRPr="00090FFD">
              <w:rPr>
                <w:rFonts w:ascii="Arial" w:hAnsi="Arial" w:hint="cs"/>
                <w:b/>
                <w:bCs/>
                <w:rtl/>
              </w:rPr>
              <w:t>ב</w:t>
            </w:r>
            <w:r w:rsidRPr="00090FFD">
              <w:rPr>
                <w:rFonts w:ascii="Arial" w:hAnsi="Arial"/>
                <w:b/>
                <w:bCs/>
                <w:rtl/>
              </w:rPr>
              <w:t xml:space="preserve">פני </w:t>
            </w:r>
          </w:p>
        </w:tc>
        <w:tc>
          <w:tcPr>
            <w:tcW w:w="7897" w:type="dxa"/>
            <w:gridSpan w:val="2"/>
            <w:tcBorders>
              <w:top w:val="nil"/>
              <w:left w:val="nil"/>
              <w:bottom w:val="nil"/>
              <w:right w:val="nil"/>
            </w:tcBorders>
          </w:tcPr>
          <w:p w14:paraId="242485BF" w14:textId="77777777" w:rsidR="003C36FB" w:rsidRPr="00090FFD" w:rsidRDefault="00090FFD">
            <w:pPr>
              <w:rPr>
                <w:rFonts w:ascii="Arial" w:hAnsi="Arial"/>
                <w:b/>
                <w:bCs/>
                <w:rtl/>
              </w:rPr>
            </w:pPr>
            <w:r w:rsidRPr="00090FFD">
              <w:rPr>
                <w:rFonts w:ascii="Arial" w:hAnsi="Arial" w:hint="cs"/>
                <w:b/>
                <w:bCs/>
                <w:rtl/>
              </w:rPr>
              <w:t>כב' ה</w:t>
            </w:r>
            <w:r w:rsidRPr="00090FFD">
              <w:rPr>
                <w:rFonts w:hint="cs"/>
                <w:b/>
                <w:bCs/>
                <w:rtl/>
              </w:rPr>
              <w:t>שופט</w:t>
            </w:r>
            <w:r w:rsidRPr="00090FFD">
              <w:rPr>
                <w:rFonts w:ascii="Arial" w:hAnsi="Arial" w:hint="cs"/>
                <w:b/>
                <w:bCs/>
                <w:rtl/>
              </w:rPr>
              <w:t xml:space="preserve">  </w:t>
            </w:r>
            <w:r w:rsidRPr="00090FFD">
              <w:rPr>
                <w:rFonts w:hint="cs"/>
                <w:b/>
                <w:bCs/>
                <w:rtl/>
              </w:rPr>
              <w:t>עידו דרויאן</w:t>
            </w:r>
          </w:p>
          <w:p w14:paraId="282BC715" w14:textId="77777777" w:rsidR="003C36FB" w:rsidRPr="00090FFD" w:rsidRDefault="003C36FB">
            <w:pPr>
              <w:rPr>
                <w:b/>
                <w:bCs/>
                <w:rtl/>
              </w:rPr>
            </w:pPr>
          </w:p>
          <w:p w14:paraId="32812A2D" w14:textId="77777777" w:rsidR="003C36FB" w:rsidRPr="00090FFD" w:rsidRDefault="003C36FB">
            <w:pPr>
              <w:jc w:val="both"/>
              <w:rPr>
                <w:rFonts w:ascii="Arial" w:hAnsi="Arial"/>
                <w:b/>
                <w:bCs/>
              </w:rPr>
            </w:pPr>
          </w:p>
        </w:tc>
      </w:tr>
      <w:tr w:rsidR="003C36FB" w:rsidRPr="00090FFD" w14:paraId="4323616C" w14:textId="77777777">
        <w:trPr>
          <w:trHeight w:val="355"/>
          <w:jc w:val="center"/>
        </w:trPr>
        <w:tc>
          <w:tcPr>
            <w:tcW w:w="923" w:type="dxa"/>
            <w:tcBorders>
              <w:top w:val="nil"/>
              <w:left w:val="nil"/>
              <w:bottom w:val="nil"/>
              <w:right w:val="nil"/>
            </w:tcBorders>
          </w:tcPr>
          <w:p w14:paraId="304E5638" w14:textId="77777777" w:rsidR="003C36FB" w:rsidRPr="00090FFD" w:rsidRDefault="00090FFD">
            <w:pPr>
              <w:jc w:val="both"/>
              <w:rPr>
                <w:rFonts w:ascii="Arial" w:hAnsi="Arial"/>
                <w:b/>
                <w:bCs/>
              </w:rPr>
            </w:pPr>
            <w:bookmarkStart w:id="1" w:name="FirstAppellant"/>
            <w:r w:rsidRPr="00090FFD">
              <w:rPr>
                <w:rFonts w:ascii="Arial" w:hAnsi="Arial" w:hint="cs"/>
                <w:b/>
                <w:bCs/>
                <w:rtl/>
              </w:rPr>
              <w:t>בעניין:</w:t>
            </w:r>
          </w:p>
        </w:tc>
        <w:tc>
          <w:tcPr>
            <w:tcW w:w="4126" w:type="dxa"/>
            <w:tcBorders>
              <w:top w:val="nil"/>
              <w:left w:val="nil"/>
              <w:bottom w:val="nil"/>
              <w:right w:val="nil"/>
            </w:tcBorders>
          </w:tcPr>
          <w:p w14:paraId="484E688D" w14:textId="77777777" w:rsidR="003C36FB" w:rsidRPr="00090FFD" w:rsidRDefault="00090FFD">
            <w:pPr>
              <w:rPr>
                <w:b/>
                <w:bCs/>
              </w:rPr>
            </w:pPr>
            <w:r w:rsidRPr="00090FFD">
              <w:rPr>
                <w:rFonts w:hint="cs"/>
                <w:b/>
                <w:bCs/>
                <w:rtl/>
              </w:rPr>
              <w:t>מדינת ישראל</w:t>
            </w:r>
          </w:p>
        </w:tc>
        <w:tc>
          <w:tcPr>
            <w:tcW w:w="3771" w:type="dxa"/>
            <w:tcBorders>
              <w:top w:val="nil"/>
              <w:left w:val="nil"/>
              <w:bottom w:val="nil"/>
              <w:right w:val="nil"/>
            </w:tcBorders>
          </w:tcPr>
          <w:p w14:paraId="030DCAA2" w14:textId="77777777" w:rsidR="003C36FB" w:rsidRPr="00090FFD" w:rsidRDefault="003C36FB">
            <w:pPr>
              <w:jc w:val="both"/>
              <w:rPr>
                <w:rFonts w:ascii="Arial" w:hAnsi="Arial"/>
                <w:b/>
                <w:bCs/>
              </w:rPr>
            </w:pPr>
          </w:p>
        </w:tc>
      </w:tr>
      <w:tr w:rsidR="003C36FB" w:rsidRPr="00090FFD" w14:paraId="4002ACE0" w14:textId="77777777">
        <w:trPr>
          <w:trHeight w:val="355"/>
          <w:jc w:val="center"/>
        </w:trPr>
        <w:tc>
          <w:tcPr>
            <w:tcW w:w="923" w:type="dxa"/>
            <w:tcBorders>
              <w:top w:val="nil"/>
              <w:left w:val="nil"/>
              <w:bottom w:val="nil"/>
              <w:right w:val="nil"/>
            </w:tcBorders>
          </w:tcPr>
          <w:p w14:paraId="3F5D4B65" w14:textId="77777777" w:rsidR="003C36FB" w:rsidRPr="00090FFD" w:rsidRDefault="003C36FB">
            <w:pPr>
              <w:jc w:val="both"/>
              <w:rPr>
                <w:rFonts w:ascii="Arial" w:hAnsi="Arial"/>
                <w:b/>
                <w:bCs/>
                <w:rtl/>
              </w:rPr>
            </w:pPr>
            <w:bookmarkStart w:id="2" w:name="FirstLawyer"/>
            <w:bookmarkEnd w:id="1"/>
          </w:p>
        </w:tc>
        <w:tc>
          <w:tcPr>
            <w:tcW w:w="4126" w:type="dxa"/>
            <w:tcBorders>
              <w:top w:val="nil"/>
              <w:left w:val="nil"/>
              <w:bottom w:val="nil"/>
              <w:right w:val="nil"/>
            </w:tcBorders>
          </w:tcPr>
          <w:p w14:paraId="79224664" w14:textId="77777777" w:rsidR="003C36FB" w:rsidRPr="00090FFD" w:rsidRDefault="00090FFD">
            <w:pPr>
              <w:jc w:val="both"/>
              <w:rPr>
                <w:rtl/>
              </w:rPr>
            </w:pPr>
            <w:r w:rsidRPr="00090FFD">
              <w:rPr>
                <w:rFonts w:hint="cs"/>
                <w:rtl/>
              </w:rPr>
              <w:t>ע"י ב"כ עו"ד קוטנר</w:t>
            </w:r>
          </w:p>
        </w:tc>
        <w:tc>
          <w:tcPr>
            <w:tcW w:w="3771" w:type="dxa"/>
            <w:tcBorders>
              <w:top w:val="nil"/>
              <w:left w:val="nil"/>
              <w:bottom w:val="nil"/>
              <w:right w:val="nil"/>
            </w:tcBorders>
          </w:tcPr>
          <w:p w14:paraId="32F36F54" w14:textId="77777777" w:rsidR="003C36FB" w:rsidRPr="00090FFD" w:rsidRDefault="00090FFD">
            <w:pPr>
              <w:jc w:val="right"/>
              <w:rPr>
                <w:rFonts w:ascii="Arial" w:hAnsi="Arial"/>
                <w:b/>
                <w:bCs/>
                <w:rtl/>
              </w:rPr>
            </w:pPr>
            <w:r w:rsidRPr="00090FFD">
              <w:rPr>
                <w:rFonts w:ascii="Arial" w:hAnsi="Arial" w:hint="cs"/>
                <w:b/>
                <w:bCs/>
                <w:rtl/>
              </w:rPr>
              <w:t>ה</w:t>
            </w:r>
            <w:r w:rsidRPr="00090FFD">
              <w:rPr>
                <w:rFonts w:hint="cs"/>
                <w:b/>
                <w:bCs/>
                <w:rtl/>
              </w:rPr>
              <w:t>מאשימה</w:t>
            </w:r>
          </w:p>
        </w:tc>
      </w:tr>
      <w:bookmarkEnd w:id="2"/>
      <w:tr w:rsidR="003C36FB" w:rsidRPr="00090FFD" w14:paraId="32653C52" w14:textId="77777777">
        <w:trPr>
          <w:trHeight w:val="355"/>
          <w:jc w:val="center"/>
        </w:trPr>
        <w:tc>
          <w:tcPr>
            <w:tcW w:w="923" w:type="dxa"/>
            <w:tcBorders>
              <w:top w:val="nil"/>
              <w:left w:val="nil"/>
              <w:bottom w:val="nil"/>
              <w:right w:val="nil"/>
            </w:tcBorders>
          </w:tcPr>
          <w:p w14:paraId="41AEF287" w14:textId="77777777" w:rsidR="003C36FB" w:rsidRPr="00090FFD" w:rsidRDefault="003C36FB">
            <w:pPr>
              <w:jc w:val="both"/>
              <w:rPr>
                <w:rFonts w:ascii="Arial" w:hAnsi="Arial"/>
                <w:b/>
                <w:bCs/>
                <w:rtl/>
              </w:rPr>
            </w:pPr>
          </w:p>
        </w:tc>
        <w:tc>
          <w:tcPr>
            <w:tcW w:w="7897" w:type="dxa"/>
            <w:gridSpan w:val="2"/>
            <w:tcBorders>
              <w:top w:val="nil"/>
              <w:left w:val="nil"/>
              <w:bottom w:val="nil"/>
              <w:right w:val="nil"/>
            </w:tcBorders>
          </w:tcPr>
          <w:p w14:paraId="6F9B071F" w14:textId="77777777" w:rsidR="003C36FB" w:rsidRPr="00090FFD" w:rsidRDefault="003C36FB">
            <w:pPr>
              <w:jc w:val="center"/>
              <w:rPr>
                <w:rFonts w:ascii="Arial" w:hAnsi="Arial"/>
                <w:b/>
                <w:bCs/>
                <w:rtl/>
              </w:rPr>
            </w:pPr>
          </w:p>
          <w:p w14:paraId="296D278D" w14:textId="77777777" w:rsidR="003C36FB" w:rsidRPr="00090FFD" w:rsidRDefault="00090FFD">
            <w:pPr>
              <w:jc w:val="center"/>
              <w:rPr>
                <w:rFonts w:ascii="Arial" w:hAnsi="Arial"/>
                <w:b/>
                <w:bCs/>
                <w:rtl/>
              </w:rPr>
            </w:pPr>
            <w:r w:rsidRPr="00090FFD">
              <w:rPr>
                <w:rFonts w:ascii="Arial" w:hAnsi="Arial"/>
                <w:b/>
                <w:bCs/>
                <w:rtl/>
              </w:rPr>
              <w:t>נגד</w:t>
            </w:r>
          </w:p>
          <w:p w14:paraId="5B93064A" w14:textId="77777777" w:rsidR="003C36FB" w:rsidRPr="00090FFD" w:rsidRDefault="003C36FB">
            <w:pPr>
              <w:jc w:val="both"/>
              <w:rPr>
                <w:rFonts w:ascii="Arial" w:hAnsi="Arial"/>
                <w:b/>
                <w:bCs/>
              </w:rPr>
            </w:pPr>
          </w:p>
        </w:tc>
      </w:tr>
      <w:tr w:rsidR="003C36FB" w:rsidRPr="00090FFD" w14:paraId="3A0B217D" w14:textId="77777777">
        <w:trPr>
          <w:trHeight w:val="355"/>
          <w:jc w:val="center"/>
        </w:trPr>
        <w:tc>
          <w:tcPr>
            <w:tcW w:w="923" w:type="dxa"/>
            <w:tcBorders>
              <w:top w:val="nil"/>
              <w:left w:val="nil"/>
              <w:bottom w:val="nil"/>
              <w:right w:val="nil"/>
            </w:tcBorders>
          </w:tcPr>
          <w:p w14:paraId="70C7DDCB" w14:textId="77777777" w:rsidR="003C36FB" w:rsidRPr="00090FFD" w:rsidRDefault="003C36FB">
            <w:pPr>
              <w:rPr>
                <w:rFonts w:ascii="Arial" w:hAnsi="Arial"/>
                <w:b/>
                <w:bCs/>
                <w:rtl/>
              </w:rPr>
            </w:pPr>
          </w:p>
        </w:tc>
        <w:tc>
          <w:tcPr>
            <w:tcW w:w="4126" w:type="dxa"/>
            <w:tcBorders>
              <w:top w:val="nil"/>
              <w:left w:val="nil"/>
              <w:bottom w:val="nil"/>
              <w:right w:val="nil"/>
            </w:tcBorders>
          </w:tcPr>
          <w:p w14:paraId="3E94A3F1" w14:textId="77777777" w:rsidR="003C36FB" w:rsidRPr="00090FFD" w:rsidRDefault="00090FFD">
            <w:pPr>
              <w:rPr>
                <w:b/>
                <w:bCs/>
                <w:rtl/>
              </w:rPr>
            </w:pPr>
            <w:r w:rsidRPr="00090FFD">
              <w:rPr>
                <w:rFonts w:hint="cs"/>
                <w:b/>
                <w:bCs/>
                <w:rtl/>
              </w:rPr>
              <w:t>מחמוד מוסה</w:t>
            </w:r>
          </w:p>
        </w:tc>
        <w:tc>
          <w:tcPr>
            <w:tcW w:w="3771" w:type="dxa"/>
            <w:tcBorders>
              <w:top w:val="nil"/>
              <w:left w:val="nil"/>
              <w:bottom w:val="nil"/>
              <w:right w:val="nil"/>
            </w:tcBorders>
          </w:tcPr>
          <w:p w14:paraId="67621D4E" w14:textId="77777777" w:rsidR="003C36FB" w:rsidRPr="00090FFD" w:rsidRDefault="003C36FB">
            <w:pPr>
              <w:jc w:val="right"/>
              <w:rPr>
                <w:rFonts w:ascii="Arial" w:hAnsi="Arial"/>
                <w:b/>
                <w:bCs/>
              </w:rPr>
            </w:pPr>
          </w:p>
        </w:tc>
      </w:tr>
      <w:tr w:rsidR="003C36FB" w:rsidRPr="00090FFD" w14:paraId="1E36C0EB" w14:textId="77777777">
        <w:trPr>
          <w:trHeight w:val="355"/>
          <w:jc w:val="center"/>
        </w:trPr>
        <w:tc>
          <w:tcPr>
            <w:tcW w:w="923" w:type="dxa"/>
            <w:tcBorders>
              <w:top w:val="nil"/>
              <w:left w:val="nil"/>
              <w:bottom w:val="nil"/>
              <w:right w:val="nil"/>
            </w:tcBorders>
          </w:tcPr>
          <w:p w14:paraId="58107E51" w14:textId="77777777" w:rsidR="003C36FB" w:rsidRPr="00090FFD" w:rsidRDefault="003C36FB">
            <w:pPr>
              <w:jc w:val="both"/>
              <w:rPr>
                <w:rFonts w:ascii="Arial" w:hAnsi="Arial"/>
                <w:b/>
                <w:bCs/>
                <w:rtl/>
              </w:rPr>
            </w:pPr>
          </w:p>
        </w:tc>
        <w:tc>
          <w:tcPr>
            <w:tcW w:w="4126" w:type="dxa"/>
            <w:tcBorders>
              <w:top w:val="nil"/>
              <w:left w:val="nil"/>
              <w:bottom w:val="nil"/>
              <w:right w:val="nil"/>
            </w:tcBorders>
          </w:tcPr>
          <w:p w14:paraId="0BCAD553" w14:textId="77777777" w:rsidR="003C36FB" w:rsidRPr="00090FFD" w:rsidRDefault="00090FFD">
            <w:pPr>
              <w:jc w:val="both"/>
              <w:rPr>
                <w:rtl/>
              </w:rPr>
            </w:pPr>
            <w:r w:rsidRPr="00090FFD">
              <w:rPr>
                <w:rFonts w:hint="cs"/>
                <w:rtl/>
              </w:rPr>
              <w:t>ע"י ב"כ עוה"ד מסארווה וסוקר</w:t>
            </w:r>
          </w:p>
        </w:tc>
        <w:tc>
          <w:tcPr>
            <w:tcW w:w="3771" w:type="dxa"/>
            <w:tcBorders>
              <w:top w:val="nil"/>
              <w:left w:val="nil"/>
              <w:bottom w:val="nil"/>
              <w:right w:val="nil"/>
            </w:tcBorders>
          </w:tcPr>
          <w:p w14:paraId="7F669A34" w14:textId="77777777" w:rsidR="003C36FB" w:rsidRPr="00090FFD" w:rsidRDefault="00090FFD">
            <w:pPr>
              <w:jc w:val="right"/>
              <w:rPr>
                <w:rFonts w:ascii="Arial" w:hAnsi="Arial"/>
                <w:b/>
                <w:bCs/>
              </w:rPr>
            </w:pPr>
            <w:r w:rsidRPr="00090FFD">
              <w:rPr>
                <w:rFonts w:ascii="Arial" w:hAnsi="Arial" w:hint="cs"/>
                <w:b/>
                <w:bCs/>
                <w:rtl/>
              </w:rPr>
              <w:t>ה</w:t>
            </w:r>
            <w:r w:rsidRPr="00090FFD">
              <w:rPr>
                <w:rFonts w:hint="cs"/>
                <w:b/>
                <w:bCs/>
                <w:rtl/>
              </w:rPr>
              <w:t>נאשם</w:t>
            </w:r>
          </w:p>
        </w:tc>
      </w:tr>
    </w:tbl>
    <w:p w14:paraId="3593ACF2" w14:textId="77777777" w:rsidR="00BA1618" w:rsidRDefault="00BA1618">
      <w:pPr>
        <w:rPr>
          <w:rtl/>
        </w:rPr>
      </w:pPr>
      <w:bookmarkStart w:id="3" w:name="LawTable"/>
      <w:bookmarkEnd w:id="3"/>
    </w:p>
    <w:p w14:paraId="7D5E94E1" w14:textId="77777777" w:rsidR="00BA1618" w:rsidRPr="00BA1618" w:rsidRDefault="00BA1618" w:rsidP="00BA1618">
      <w:pPr>
        <w:spacing w:after="120" w:line="240" w:lineRule="exact"/>
        <w:ind w:left="283" w:hanging="283"/>
        <w:jc w:val="both"/>
        <w:rPr>
          <w:rFonts w:ascii="FrankRuehl" w:hAnsi="FrankRuehl" w:cs="FrankRuehl"/>
          <w:rtl/>
        </w:rPr>
      </w:pPr>
    </w:p>
    <w:p w14:paraId="30827B31" w14:textId="77777777" w:rsidR="00BA1618" w:rsidRPr="00BA1618" w:rsidRDefault="00BA1618" w:rsidP="00BA1618">
      <w:pPr>
        <w:spacing w:after="120" w:line="240" w:lineRule="exact"/>
        <w:ind w:left="283" w:hanging="283"/>
        <w:jc w:val="both"/>
        <w:rPr>
          <w:rFonts w:ascii="FrankRuehl" w:hAnsi="FrankRuehl" w:cs="FrankRuehl"/>
          <w:rtl/>
        </w:rPr>
      </w:pPr>
      <w:r w:rsidRPr="00BA1618">
        <w:rPr>
          <w:rFonts w:ascii="FrankRuehl" w:hAnsi="FrankRuehl" w:cs="FrankRuehl"/>
          <w:rtl/>
        </w:rPr>
        <w:t xml:space="preserve">חקיקה שאוזכרה: </w:t>
      </w:r>
    </w:p>
    <w:p w14:paraId="18BCDF98" w14:textId="77777777" w:rsidR="00BA1618" w:rsidRPr="00BA1618" w:rsidRDefault="00BA1618" w:rsidP="00BA1618">
      <w:pPr>
        <w:spacing w:after="120" w:line="240" w:lineRule="exact"/>
        <w:ind w:left="283" w:hanging="283"/>
        <w:jc w:val="both"/>
        <w:rPr>
          <w:rFonts w:ascii="FrankRuehl" w:hAnsi="FrankRuehl" w:cs="FrankRuehl"/>
          <w:rtl/>
        </w:rPr>
      </w:pPr>
      <w:hyperlink r:id="rId6" w:history="1">
        <w:r w:rsidRPr="00BA1618">
          <w:rPr>
            <w:rFonts w:ascii="FrankRuehl" w:hAnsi="FrankRuehl" w:cs="FrankRuehl"/>
            <w:color w:val="0000FF"/>
            <w:u w:val="single"/>
            <w:rtl/>
          </w:rPr>
          <w:t>פקודת הסמים המסוכנים [נוסח חדש], תשל"ג-1973</w:t>
        </w:r>
      </w:hyperlink>
      <w:r w:rsidRPr="00BA1618">
        <w:rPr>
          <w:rFonts w:ascii="FrankRuehl" w:hAnsi="FrankRuehl" w:cs="FrankRuehl"/>
          <w:rtl/>
        </w:rPr>
        <w:t xml:space="preserve">: סע'  </w:t>
      </w:r>
      <w:hyperlink r:id="rId7" w:history="1">
        <w:r w:rsidRPr="00BA1618">
          <w:rPr>
            <w:rFonts w:ascii="FrankRuehl" w:hAnsi="FrankRuehl" w:cs="FrankRuehl"/>
            <w:color w:val="0000FF"/>
            <w:u w:val="single"/>
            <w:rtl/>
          </w:rPr>
          <w:t>7(א)</w:t>
        </w:r>
      </w:hyperlink>
      <w:r w:rsidRPr="00BA1618">
        <w:rPr>
          <w:rFonts w:ascii="FrankRuehl" w:hAnsi="FrankRuehl" w:cs="FrankRuehl"/>
          <w:rtl/>
        </w:rPr>
        <w:t xml:space="preserve">, </w:t>
      </w:r>
      <w:hyperlink r:id="rId8" w:history="1">
        <w:r w:rsidRPr="00BA1618">
          <w:rPr>
            <w:rFonts w:ascii="FrankRuehl" w:hAnsi="FrankRuehl" w:cs="FrankRuehl"/>
            <w:color w:val="0000FF"/>
            <w:u w:val="single"/>
            <w:rtl/>
          </w:rPr>
          <w:t>7(ג)</w:t>
        </w:r>
      </w:hyperlink>
      <w:r w:rsidRPr="00BA1618">
        <w:rPr>
          <w:rFonts w:ascii="FrankRuehl" w:hAnsi="FrankRuehl" w:cs="FrankRuehl"/>
          <w:rtl/>
        </w:rPr>
        <w:t xml:space="preserve">, </w:t>
      </w:r>
      <w:hyperlink r:id="rId9" w:history="1">
        <w:r w:rsidRPr="00BA1618">
          <w:rPr>
            <w:rFonts w:ascii="FrankRuehl" w:hAnsi="FrankRuehl" w:cs="FrankRuehl"/>
            <w:color w:val="0000FF"/>
            <w:u w:val="single"/>
            <w:rtl/>
          </w:rPr>
          <w:t>13</w:t>
        </w:r>
      </w:hyperlink>
      <w:r w:rsidRPr="00BA1618">
        <w:rPr>
          <w:rFonts w:ascii="FrankRuehl" w:hAnsi="FrankRuehl" w:cs="FrankRuehl"/>
          <w:rtl/>
        </w:rPr>
        <w:t xml:space="preserve">, </w:t>
      </w:r>
      <w:hyperlink r:id="rId10" w:history="1">
        <w:r w:rsidRPr="00BA1618">
          <w:rPr>
            <w:rFonts w:ascii="FrankRuehl" w:hAnsi="FrankRuehl" w:cs="FrankRuehl"/>
            <w:color w:val="0000FF"/>
            <w:u w:val="single"/>
            <w:rtl/>
          </w:rPr>
          <w:t>19א</w:t>
        </w:r>
      </w:hyperlink>
      <w:r w:rsidRPr="00BA1618">
        <w:rPr>
          <w:rFonts w:ascii="FrankRuehl" w:hAnsi="FrankRuehl" w:cs="FrankRuehl"/>
          <w:rtl/>
        </w:rPr>
        <w:t xml:space="preserve">, </w:t>
      </w:r>
      <w:hyperlink r:id="rId11" w:history="1">
        <w:r w:rsidRPr="00BA1618">
          <w:rPr>
            <w:rFonts w:ascii="FrankRuehl" w:hAnsi="FrankRuehl" w:cs="FrankRuehl"/>
            <w:color w:val="0000FF"/>
            <w:u w:val="single"/>
            <w:rtl/>
          </w:rPr>
          <w:t>31(6)</w:t>
        </w:r>
      </w:hyperlink>
      <w:r w:rsidRPr="00BA1618">
        <w:rPr>
          <w:rFonts w:ascii="FrankRuehl" w:hAnsi="FrankRuehl" w:cs="FrankRuehl"/>
          <w:rtl/>
        </w:rPr>
        <w:t xml:space="preserve">, </w:t>
      </w:r>
      <w:hyperlink r:id="rId12" w:history="1">
        <w:r w:rsidRPr="00BA1618">
          <w:rPr>
            <w:rFonts w:ascii="FrankRuehl" w:hAnsi="FrankRuehl" w:cs="FrankRuehl"/>
            <w:color w:val="0000FF"/>
            <w:u w:val="single"/>
            <w:rtl/>
          </w:rPr>
          <w:t>36א(ב)</w:t>
        </w:r>
      </w:hyperlink>
      <w:r w:rsidRPr="00BA1618">
        <w:rPr>
          <w:rFonts w:ascii="FrankRuehl" w:hAnsi="FrankRuehl" w:cs="FrankRuehl"/>
          <w:rtl/>
        </w:rPr>
        <w:t xml:space="preserve">, </w:t>
      </w:r>
      <w:hyperlink r:id="rId13" w:history="1">
        <w:r w:rsidRPr="00BA1618">
          <w:rPr>
            <w:rFonts w:ascii="FrankRuehl" w:hAnsi="FrankRuehl" w:cs="FrankRuehl"/>
            <w:color w:val="0000FF"/>
            <w:u w:val="single"/>
            <w:rtl/>
          </w:rPr>
          <w:t>36ח</w:t>
        </w:r>
      </w:hyperlink>
      <w:r w:rsidRPr="00BA1618">
        <w:rPr>
          <w:rFonts w:ascii="FrankRuehl" w:hAnsi="FrankRuehl" w:cs="FrankRuehl"/>
          <w:rtl/>
        </w:rPr>
        <w:t xml:space="preserve">, </w:t>
      </w:r>
      <w:hyperlink r:id="rId14" w:history="1">
        <w:r w:rsidRPr="00BA1618">
          <w:rPr>
            <w:rFonts w:ascii="FrankRuehl" w:hAnsi="FrankRuehl" w:cs="FrankRuehl"/>
            <w:color w:val="0000FF"/>
            <w:u w:val="single"/>
            <w:rtl/>
          </w:rPr>
          <w:t>36י</w:t>
        </w:r>
      </w:hyperlink>
    </w:p>
    <w:p w14:paraId="20DA8710" w14:textId="77777777" w:rsidR="00BA1618" w:rsidRPr="00BA1618" w:rsidRDefault="00BA1618" w:rsidP="00BA1618">
      <w:pPr>
        <w:spacing w:after="120" w:line="240" w:lineRule="exact"/>
        <w:ind w:left="283" w:hanging="283"/>
        <w:jc w:val="both"/>
        <w:rPr>
          <w:rFonts w:ascii="FrankRuehl" w:hAnsi="FrankRuehl" w:cs="FrankRuehl"/>
          <w:rtl/>
        </w:rPr>
      </w:pPr>
      <w:hyperlink r:id="rId15" w:history="1">
        <w:r w:rsidRPr="00BA1618">
          <w:rPr>
            <w:rFonts w:ascii="FrankRuehl" w:hAnsi="FrankRuehl" w:cs="FrankRuehl"/>
            <w:color w:val="0000FF"/>
            <w:u w:val="single"/>
            <w:rtl/>
          </w:rPr>
          <w:t>חוק העונשין, תשל"ז-1977</w:t>
        </w:r>
      </w:hyperlink>
      <w:r w:rsidRPr="00BA1618">
        <w:rPr>
          <w:rFonts w:ascii="FrankRuehl" w:hAnsi="FrankRuehl" w:cs="FrankRuehl"/>
          <w:rtl/>
        </w:rPr>
        <w:t xml:space="preserve">: סע'  </w:t>
      </w:r>
      <w:hyperlink r:id="rId16" w:history="1">
        <w:r w:rsidRPr="00BA1618">
          <w:rPr>
            <w:rFonts w:ascii="FrankRuehl" w:hAnsi="FrankRuehl" w:cs="FrankRuehl"/>
            <w:color w:val="0000FF"/>
            <w:u w:val="single"/>
            <w:rtl/>
          </w:rPr>
          <w:t>275</w:t>
        </w:r>
      </w:hyperlink>
      <w:r w:rsidRPr="00BA1618">
        <w:rPr>
          <w:rFonts w:ascii="FrankRuehl" w:hAnsi="FrankRuehl" w:cs="FrankRuehl"/>
          <w:rtl/>
        </w:rPr>
        <w:t xml:space="preserve">, </w:t>
      </w:r>
      <w:hyperlink r:id="rId17" w:history="1">
        <w:r w:rsidRPr="00BA1618">
          <w:rPr>
            <w:rFonts w:ascii="FrankRuehl" w:hAnsi="FrankRuehl" w:cs="FrankRuehl"/>
            <w:color w:val="0000FF"/>
            <w:u w:val="single"/>
            <w:rtl/>
          </w:rPr>
          <w:t>40יג(ב)</w:t>
        </w:r>
      </w:hyperlink>
    </w:p>
    <w:p w14:paraId="7A7C372B" w14:textId="77777777" w:rsidR="00BA1618" w:rsidRPr="00BA1618" w:rsidRDefault="00BA1618" w:rsidP="00BA1618">
      <w:pPr>
        <w:spacing w:after="120" w:line="240" w:lineRule="exact"/>
        <w:ind w:left="283" w:hanging="283"/>
        <w:jc w:val="both"/>
        <w:rPr>
          <w:rFonts w:ascii="FrankRuehl" w:hAnsi="FrankRuehl" w:cs="FrankRuehl"/>
          <w:rtl/>
        </w:rPr>
      </w:pPr>
      <w:hyperlink r:id="rId18" w:history="1">
        <w:r w:rsidRPr="00BA1618">
          <w:rPr>
            <w:rFonts w:ascii="FrankRuehl" w:hAnsi="FrankRuehl" w:cs="FrankRuehl"/>
            <w:color w:val="0000FF"/>
            <w:u w:val="single"/>
            <w:rtl/>
          </w:rPr>
          <w:t>פקודת התעבורה [נוסח חדש]</w:t>
        </w:r>
      </w:hyperlink>
      <w:r w:rsidRPr="00BA1618">
        <w:rPr>
          <w:rFonts w:ascii="FrankRuehl" w:hAnsi="FrankRuehl" w:cs="FrankRuehl"/>
          <w:rtl/>
        </w:rPr>
        <w:t xml:space="preserve">: סע'  </w:t>
      </w:r>
      <w:hyperlink r:id="rId19" w:history="1">
        <w:r w:rsidRPr="00BA1618">
          <w:rPr>
            <w:rFonts w:ascii="FrankRuehl" w:hAnsi="FrankRuehl" w:cs="FrankRuehl"/>
            <w:color w:val="0000FF"/>
            <w:u w:val="single"/>
            <w:rtl/>
          </w:rPr>
          <w:t>39א</w:t>
        </w:r>
      </w:hyperlink>
      <w:r w:rsidRPr="00BA1618">
        <w:rPr>
          <w:rFonts w:ascii="FrankRuehl" w:hAnsi="FrankRuehl" w:cs="FrankRuehl"/>
          <w:rtl/>
        </w:rPr>
        <w:t xml:space="preserve">, </w:t>
      </w:r>
      <w:hyperlink r:id="rId20" w:history="1">
        <w:r w:rsidRPr="00BA1618">
          <w:rPr>
            <w:rFonts w:ascii="FrankRuehl" w:hAnsi="FrankRuehl" w:cs="FrankRuehl"/>
            <w:color w:val="0000FF"/>
            <w:u w:val="single"/>
            <w:rtl/>
          </w:rPr>
          <w:t>62(3)</w:t>
        </w:r>
      </w:hyperlink>
    </w:p>
    <w:p w14:paraId="0A5D5BF8" w14:textId="77777777" w:rsidR="00BA1618" w:rsidRPr="00BA1618" w:rsidRDefault="00BA1618" w:rsidP="00BA1618">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C36FB" w:rsidRPr="00090FFD" w14:paraId="2C7E6258" w14:textId="77777777">
        <w:trPr>
          <w:trHeight w:val="355"/>
          <w:jc w:val="center"/>
        </w:trPr>
        <w:tc>
          <w:tcPr>
            <w:tcW w:w="8820" w:type="dxa"/>
            <w:tcBorders>
              <w:top w:val="nil"/>
              <w:left w:val="nil"/>
              <w:bottom w:val="nil"/>
              <w:right w:val="nil"/>
            </w:tcBorders>
          </w:tcPr>
          <w:p w14:paraId="3A9DE993" w14:textId="77777777" w:rsidR="00090FFD" w:rsidRPr="00090FFD" w:rsidRDefault="00090FFD" w:rsidP="00090FFD">
            <w:pPr>
              <w:jc w:val="center"/>
              <w:rPr>
                <w:rFonts w:ascii="Arial" w:hAnsi="Arial"/>
                <w:b/>
                <w:bCs/>
                <w:sz w:val="28"/>
                <w:szCs w:val="28"/>
                <w:rtl/>
              </w:rPr>
            </w:pPr>
            <w:bookmarkStart w:id="4" w:name="LawTable_End"/>
            <w:bookmarkStart w:id="5" w:name="PsakDin" w:colFirst="0" w:colLast="0"/>
            <w:bookmarkEnd w:id="0"/>
            <w:bookmarkEnd w:id="4"/>
          </w:p>
          <w:p w14:paraId="571673E2" w14:textId="77777777" w:rsidR="00090FFD" w:rsidRPr="00090FFD" w:rsidRDefault="00090FFD" w:rsidP="00090FFD">
            <w:pPr>
              <w:jc w:val="center"/>
              <w:rPr>
                <w:rFonts w:ascii="Arial" w:hAnsi="Arial"/>
                <w:b/>
                <w:bCs/>
                <w:sz w:val="28"/>
                <w:szCs w:val="28"/>
                <w:rtl/>
              </w:rPr>
            </w:pPr>
            <w:r w:rsidRPr="00090FFD">
              <w:rPr>
                <w:rFonts w:ascii="Arial" w:hAnsi="Arial"/>
                <w:b/>
                <w:bCs/>
                <w:sz w:val="28"/>
                <w:szCs w:val="28"/>
                <w:rtl/>
              </w:rPr>
              <w:t>גזר דין</w:t>
            </w:r>
          </w:p>
          <w:p w14:paraId="136889E2" w14:textId="77777777" w:rsidR="003C36FB" w:rsidRPr="00090FFD" w:rsidRDefault="003C36FB" w:rsidP="00090FFD">
            <w:pPr>
              <w:jc w:val="center"/>
              <w:rPr>
                <w:rFonts w:ascii="Arial" w:hAnsi="Arial"/>
                <w:bCs/>
                <w:rtl/>
              </w:rPr>
            </w:pPr>
          </w:p>
        </w:tc>
      </w:tr>
      <w:bookmarkEnd w:id="5"/>
    </w:tbl>
    <w:p w14:paraId="078F8923" w14:textId="77777777" w:rsidR="003C36FB" w:rsidRDefault="003C36FB">
      <w:pPr>
        <w:spacing w:line="360" w:lineRule="auto"/>
        <w:jc w:val="both"/>
        <w:rPr>
          <w:rFonts w:ascii="Arial" w:hAnsi="Arial"/>
          <w:rtl/>
        </w:rPr>
      </w:pPr>
    </w:p>
    <w:p w14:paraId="288CBBEA" w14:textId="77777777" w:rsidR="003C36FB" w:rsidRDefault="00090FFD">
      <w:pPr>
        <w:spacing w:line="360" w:lineRule="auto"/>
        <w:jc w:val="both"/>
        <w:rPr>
          <w:rFonts w:ascii="Arial" w:hAnsi="Arial"/>
          <w:rtl/>
        </w:rPr>
      </w:pPr>
      <w:bookmarkStart w:id="6" w:name="ABSTRACT_START"/>
      <w:bookmarkEnd w:id="6"/>
      <w:r>
        <w:rPr>
          <w:rFonts w:ascii="Arial" w:hAnsi="Arial" w:hint="cs"/>
          <w:rtl/>
        </w:rPr>
        <w:t>במסגרת הסדר דיוני שנערך לאחר גישור מוצלח, הודה הנאשם בכתב אישום מתוקן, הורשע והופנה לעריכת תסקיר שירות המבחן. עוד הסכימו הצדדים על חילוט רכוש מסוים, אך לא על חילוטו של רכוש אחר שנתפס.</w:t>
      </w:r>
    </w:p>
    <w:p w14:paraId="3A11BC53" w14:textId="77777777" w:rsidR="003C36FB" w:rsidRDefault="003C36FB">
      <w:pPr>
        <w:spacing w:line="360" w:lineRule="auto"/>
        <w:jc w:val="both"/>
        <w:rPr>
          <w:rFonts w:ascii="Arial" w:hAnsi="Arial"/>
          <w:rtl/>
        </w:rPr>
      </w:pPr>
      <w:bookmarkStart w:id="7" w:name="ABSTRACT_END"/>
      <w:bookmarkEnd w:id="7"/>
    </w:p>
    <w:p w14:paraId="55729E75" w14:textId="77777777" w:rsidR="003C36FB" w:rsidRDefault="00090FFD">
      <w:pPr>
        <w:spacing w:line="360" w:lineRule="auto"/>
        <w:jc w:val="both"/>
        <w:rPr>
          <w:rFonts w:ascii="Arial" w:hAnsi="Arial"/>
          <w:rtl/>
        </w:rPr>
      </w:pPr>
      <w:r>
        <w:rPr>
          <w:rFonts w:ascii="Arial" w:hAnsi="Arial" w:hint="cs"/>
          <w:rtl/>
        </w:rPr>
        <w:t>הנאשם הורשע אפוא ביום 23.10.13 בעבירות הבאות:</w:t>
      </w:r>
    </w:p>
    <w:p w14:paraId="2935D455" w14:textId="77777777" w:rsidR="003C36FB" w:rsidRDefault="00090FFD">
      <w:pPr>
        <w:spacing w:line="360" w:lineRule="auto"/>
        <w:jc w:val="both"/>
        <w:rPr>
          <w:rFonts w:ascii="Arial" w:hAnsi="Arial"/>
        </w:rPr>
      </w:pPr>
      <w:r>
        <w:rPr>
          <w:rFonts w:ascii="Arial" w:hAnsi="Arial" w:hint="cs"/>
          <w:rtl/>
        </w:rPr>
        <w:t>א.</w:t>
      </w:r>
      <w:r>
        <w:rPr>
          <w:rFonts w:ascii="Arial" w:hAnsi="Arial" w:hint="cs"/>
          <w:rtl/>
        </w:rPr>
        <w:tab/>
        <w:t xml:space="preserve">סחר בסם מסוכן, לפי </w:t>
      </w:r>
      <w:hyperlink r:id="rId21" w:history="1">
        <w:r w:rsidR="00BA1618" w:rsidRPr="00BA1618">
          <w:rPr>
            <w:rFonts w:ascii="Arial" w:hAnsi="Arial"/>
            <w:color w:val="0000FF"/>
            <w:u w:val="single"/>
            <w:rtl/>
          </w:rPr>
          <w:t>סעיף 13</w:t>
        </w:r>
      </w:hyperlink>
      <w:r>
        <w:rPr>
          <w:rFonts w:ascii="Arial" w:hAnsi="Arial" w:hint="cs"/>
          <w:rtl/>
        </w:rPr>
        <w:t xml:space="preserve"> בצירוף </w:t>
      </w:r>
      <w:hyperlink r:id="rId22" w:history="1">
        <w:r w:rsidR="00BA1618" w:rsidRPr="00BA1618">
          <w:rPr>
            <w:rFonts w:ascii="Arial" w:hAnsi="Arial"/>
            <w:color w:val="0000FF"/>
            <w:u w:val="single"/>
            <w:rtl/>
          </w:rPr>
          <w:t>סעיף 19א</w:t>
        </w:r>
      </w:hyperlink>
      <w:r>
        <w:rPr>
          <w:rFonts w:ascii="Arial" w:hAnsi="Arial" w:hint="cs"/>
          <w:rtl/>
        </w:rPr>
        <w:t xml:space="preserve"> ל</w:t>
      </w:r>
      <w:hyperlink r:id="rId23" w:history="1">
        <w:r w:rsidRPr="00090FFD">
          <w:rPr>
            <w:rFonts w:ascii="Arial" w:hAnsi="Arial"/>
            <w:color w:val="0000FF"/>
            <w:u w:val="single"/>
            <w:rtl/>
          </w:rPr>
          <w:t>פקודת הסמים המסוכנים</w:t>
        </w:r>
      </w:hyperlink>
      <w:r>
        <w:rPr>
          <w:rFonts w:ascii="Arial" w:hAnsi="Arial" w:hint="cs"/>
          <w:rtl/>
        </w:rPr>
        <w:t>.</w:t>
      </w:r>
    </w:p>
    <w:p w14:paraId="111F94F4" w14:textId="77777777" w:rsidR="003C36FB" w:rsidRDefault="00090FFD">
      <w:pPr>
        <w:spacing w:line="360" w:lineRule="auto"/>
        <w:ind w:left="720" w:hanging="720"/>
        <w:jc w:val="both"/>
        <w:rPr>
          <w:rFonts w:ascii="Arial" w:hAnsi="Arial"/>
          <w:rtl/>
        </w:rPr>
      </w:pPr>
      <w:r>
        <w:rPr>
          <w:rFonts w:ascii="Arial" w:hAnsi="Arial" w:hint="cs"/>
          <w:rtl/>
        </w:rPr>
        <w:t>ב.</w:t>
      </w:r>
      <w:r>
        <w:rPr>
          <w:rFonts w:ascii="Arial" w:hAnsi="Arial" w:hint="cs"/>
          <w:rtl/>
        </w:rPr>
        <w:tab/>
        <w:t xml:space="preserve">החזקת סם מסוכן שלא לצריכה עצמית, לפי </w:t>
      </w:r>
      <w:hyperlink r:id="rId24" w:history="1">
        <w:r w:rsidR="00BA1618" w:rsidRPr="00BA1618">
          <w:rPr>
            <w:rFonts w:ascii="Arial" w:hAnsi="Arial"/>
            <w:color w:val="0000FF"/>
            <w:u w:val="single"/>
            <w:rtl/>
          </w:rPr>
          <w:t>סעיף 7(א)</w:t>
        </w:r>
      </w:hyperlink>
      <w:r>
        <w:rPr>
          <w:rFonts w:ascii="Arial" w:hAnsi="Arial" w:hint="cs"/>
          <w:rtl/>
        </w:rPr>
        <w:t xml:space="preserve"> בצירוף </w:t>
      </w:r>
      <w:hyperlink r:id="rId25" w:history="1">
        <w:r w:rsidR="00BA1618" w:rsidRPr="00BA1618">
          <w:rPr>
            <w:rFonts w:ascii="Arial" w:hAnsi="Arial"/>
            <w:color w:val="0000FF"/>
            <w:u w:val="single"/>
            <w:rtl/>
          </w:rPr>
          <w:t>סעיף 7(ג)</w:t>
        </w:r>
      </w:hyperlink>
      <w:r>
        <w:rPr>
          <w:rFonts w:ascii="Arial" w:hAnsi="Arial" w:hint="cs"/>
          <w:rtl/>
        </w:rPr>
        <w:t xml:space="preserve"> רישא לפקודה הנ"ל. </w:t>
      </w:r>
    </w:p>
    <w:p w14:paraId="03A2007A" w14:textId="77777777" w:rsidR="003C36FB" w:rsidRDefault="00090FFD">
      <w:pPr>
        <w:spacing w:line="360" w:lineRule="auto"/>
        <w:jc w:val="both"/>
        <w:rPr>
          <w:rFonts w:ascii="Arial" w:hAnsi="Arial"/>
          <w:rtl/>
        </w:rPr>
      </w:pPr>
      <w:r>
        <w:rPr>
          <w:rFonts w:ascii="Arial" w:hAnsi="Arial" w:hint="cs"/>
          <w:rtl/>
        </w:rPr>
        <w:t>ג.</w:t>
      </w:r>
      <w:r>
        <w:rPr>
          <w:rFonts w:ascii="Arial" w:hAnsi="Arial" w:hint="cs"/>
          <w:rtl/>
        </w:rPr>
        <w:tab/>
        <w:t xml:space="preserve">הפרעה לשוטר במילוי תפקידו לפי </w:t>
      </w:r>
      <w:hyperlink r:id="rId26" w:history="1">
        <w:r w:rsidR="00BA1618" w:rsidRPr="00BA1618">
          <w:rPr>
            <w:rFonts w:ascii="Arial" w:hAnsi="Arial"/>
            <w:color w:val="0000FF"/>
            <w:u w:val="single"/>
            <w:rtl/>
          </w:rPr>
          <w:t>סעיף 275</w:t>
        </w:r>
      </w:hyperlink>
      <w:r>
        <w:rPr>
          <w:rFonts w:ascii="Arial" w:hAnsi="Arial" w:hint="cs"/>
          <w:rtl/>
        </w:rPr>
        <w:t xml:space="preserve"> ל</w:t>
      </w:r>
      <w:hyperlink r:id="rId27" w:history="1">
        <w:r w:rsidRPr="00090FFD">
          <w:rPr>
            <w:rFonts w:ascii="Arial" w:hAnsi="Arial"/>
            <w:color w:val="0000FF"/>
            <w:u w:val="single"/>
            <w:rtl/>
          </w:rPr>
          <w:t>חוק העונשין</w:t>
        </w:r>
      </w:hyperlink>
      <w:r>
        <w:rPr>
          <w:rFonts w:ascii="Arial" w:hAnsi="Arial" w:hint="cs"/>
          <w:rtl/>
        </w:rPr>
        <w:t xml:space="preserve"> התשל"ז-1977.  </w:t>
      </w:r>
    </w:p>
    <w:p w14:paraId="78F905C2" w14:textId="77777777" w:rsidR="003C36FB" w:rsidRDefault="00090FFD">
      <w:pPr>
        <w:spacing w:line="360" w:lineRule="auto"/>
        <w:jc w:val="both"/>
        <w:rPr>
          <w:rFonts w:ascii="Arial" w:hAnsi="Arial"/>
          <w:rtl/>
        </w:rPr>
      </w:pPr>
      <w:r>
        <w:rPr>
          <w:rFonts w:ascii="Arial" w:hAnsi="Arial" w:hint="cs"/>
          <w:rtl/>
        </w:rPr>
        <w:t>ד.</w:t>
      </w:r>
      <w:r>
        <w:rPr>
          <w:rFonts w:ascii="Arial" w:hAnsi="Arial" w:hint="cs"/>
          <w:rtl/>
        </w:rPr>
        <w:tab/>
        <w:t xml:space="preserve">נהיגה בשכרות, לפי </w:t>
      </w:r>
      <w:hyperlink r:id="rId28" w:history="1">
        <w:r w:rsidR="00BA1618" w:rsidRPr="00BA1618">
          <w:rPr>
            <w:rFonts w:ascii="Arial" w:hAnsi="Arial"/>
            <w:color w:val="0000FF"/>
            <w:u w:val="single"/>
            <w:rtl/>
          </w:rPr>
          <w:t>סעיף 62(3)</w:t>
        </w:r>
      </w:hyperlink>
      <w:r>
        <w:rPr>
          <w:rFonts w:ascii="Arial" w:hAnsi="Arial" w:hint="cs"/>
          <w:rtl/>
        </w:rPr>
        <w:t xml:space="preserve"> ל</w:t>
      </w:r>
      <w:hyperlink r:id="rId29" w:history="1">
        <w:r w:rsidRPr="00090FFD">
          <w:rPr>
            <w:rFonts w:ascii="Arial" w:hAnsi="Arial"/>
            <w:color w:val="0000FF"/>
            <w:u w:val="single"/>
            <w:rtl/>
          </w:rPr>
          <w:t>פקודת התעבורה</w:t>
        </w:r>
      </w:hyperlink>
      <w:r>
        <w:rPr>
          <w:rFonts w:ascii="Arial" w:hAnsi="Arial" w:hint="cs"/>
          <w:rtl/>
        </w:rPr>
        <w:t xml:space="preserve">. </w:t>
      </w:r>
    </w:p>
    <w:p w14:paraId="045EE196" w14:textId="77777777" w:rsidR="003C36FB" w:rsidRDefault="003C36FB">
      <w:pPr>
        <w:spacing w:line="360" w:lineRule="auto"/>
        <w:jc w:val="both"/>
        <w:rPr>
          <w:rFonts w:ascii="Arial" w:hAnsi="Arial"/>
          <w:rtl/>
        </w:rPr>
      </w:pPr>
    </w:p>
    <w:p w14:paraId="4700DF94" w14:textId="77777777" w:rsidR="003C36FB" w:rsidRDefault="00090FFD">
      <w:pPr>
        <w:spacing w:line="360" w:lineRule="auto"/>
        <w:jc w:val="both"/>
        <w:rPr>
          <w:rFonts w:ascii="Arial" w:hAnsi="Arial"/>
          <w:rtl/>
        </w:rPr>
      </w:pPr>
      <w:r>
        <w:rPr>
          <w:rFonts w:ascii="Arial" w:hAnsi="Arial" w:hint="cs"/>
          <w:rtl/>
        </w:rPr>
        <w:t xml:space="preserve">בנוסף הוכרז הנאשם כ"סוחר סמים" לפי </w:t>
      </w:r>
      <w:hyperlink r:id="rId30" w:history="1">
        <w:r w:rsidR="00BA1618" w:rsidRPr="00BA1618">
          <w:rPr>
            <w:rFonts w:ascii="Arial" w:hAnsi="Arial"/>
            <w:color w:val="0000FF"/>
            <w:u w:val="single"/>
            <w:rtl/>
          </w:rPr>
          <w:t>סעיף 36א(ב)</w:t>
        </w:r>
      </w:hyperlink>
      <w:r>
        <w:rPr>
          <w:rFonts w:ascii="Arial" w:hAnsi="Arial" w:hint="cs"/>
          <w:rtl/>
        </w:rPr>
        <w:t xml:space="preserve"> ל</w:t>
      </w:r>
      <w:hyperlink r:id="rId31" w:history="1">
        <w:r w:rsidRPr="00090FFD">
          <w:rPr>
            <w:rFonts w:ascii="Arial" w:hAnsi="Arial"/>
            <w:color w:val="0000FF"/>
            <w:u w:val="single"/>
            <w:rtl/>
          </w:rPr>
          <w:t>פקודת הסמים המסוכנים</w:t>
        </w:r>
      </w:hyperlink>
      <w:r>
        <w:rPr>
          <w:rFonts w:ascii="Arial" w:hAnsi="Arial" w:hint="cs"/>
          <w:rtl/>
        </w:rPr>
        <w:t>.</w:t>
      </w:r>
    </w:p>
    <w:p w14:paraId="078E116D" w14:textId="77777777" w:rsidR="003C36FB" w:rsidRDefault="003C36FB">
      <w:pPr>
        <w:spacing w:line="360" w:lineRule="auto"/>
        <w:jc w:val="both"/>
        <w:rPr>
          <w:rFonts w:ascii="Arial" w:hAnsi="Arial"/>
          <w:rtl/>
        </w:rPr>
      </w:pPr>
    </w:p>
    <w:p w14:paraId="703F4236" w14:textId="77777777" w:rsidR="003C36FB" w:rsidRDefault="00090FFD">
      <w:pPr>
        <w:spacing w:line="360" w:lineRule="auto"/>
        <w:jc w:val="both"/>
        <w:rPr>
          <w:rFonts w:ascii="Arial" w:hAnsi="Arial"/>
          <w:b/>
          <w:bCs/>
          <w:u w:val="single"/>
          <w:rtl/>
        </w:rPr>
      </w:pPr>
      <w:r>
        <w:rPr>
          <w:rFonts w:ascii="Arial" w:hAnsi="Arial" w:hint="cs"/>
          <w:b/>
          <w:bCs/>
          <w:u w:val="single"/>
          <w:rtl/>
        </w:rPr>
        <w:lastRenderedPageBreak/>
        <w:t>מעשי הנאשם:</w:t>
      </w:r>
    </w:p>
    <w:p w14:paraId="45DBF3A0" w14:textId="77777777" w:rsidR="003C36FB" w:rsidRDefault="003C36FB">
      <w:pPr>
        <w:spacing w:line="360" w:lineRule="auto"/>
        <w:jc w:val="both"/>
        <w:rPr>
          <w:rFonts w:ascii="Arial" w:hAnsi="Arial"/>
          <w:rtl/>
        </w:rPr>
      </w:pPr>
    </w:p>
    <w:p w14:paraId="221E0B15" w14:textId="77777777" w:rsidR="003C36FB" w:rsidRDefault="00090FFD">
      <w:pPr>
        <w:spacing w:line="360" w:lineRule="auto"/>
        <w:jc w:val="both"/>
        <w:rPr>
          <w:rtl/>
        </w:rPr>
      </w:pPr>
      <w:r>
        <w:rPr>
          <w:rFonts w:hint="cs"/>
          <w:rtl/>
        </w:rPr>
        <w:t>ביום 20.1.13 שוחחה סוכנת משטרתית עם הנאשם בטלפון, ללא היכרות קודמת, והזמינה ממנו שלוש מנות קוקאין תמורת 600 ₪. הנאשם הגיע בו-ביום למקום המוסכם בתל-אביב כשהוא נוהג ברכב מסוג פורד מ.ר. 52-923-59 ומכר לסוכנת שלוש מנות קוקאין במשקל כולל של 0.5408 גרם נטו תמורת הסך המוסכם.</w:t>
      </w:r>
    </w:p>
    <w:p w14:paraId="759BE2D1" w14:textId="77777777" w:rsidR="003C36FB" w:rsidRDefault="00090FFD">
      <w:pPr>
        <w:spacing w:line="360" w:lineRule="auto"/>
        <w:jc w:val="both"/>
        <w:rPr>
          <w:rtl/>
        </w:rPr>
      </w:pPr>
      <w:r>
        <w:rPr>
          <w:rFonts w:hint="cs"/>
          <w:rtl/>
        </w:rPr>
        <w:t>מיד לאחר מכן עטו על הנאשם שוטרים, הזדהו ודרשו שיעצור. הנאשם הניע את הרכב בו ישב בעודו מתנגד בכוח לאחיזת שוטר בידו והחל לנסוע, אך השוטר הצליח להשתלט על הנאשם, לעצור את הרכב ולאזוק את הנאשם.</w:t>
      </w:r>
    </w:p>
    <w:p w14:paraId="785962FC" w14:textId="77777777" w:rsidR="003C36FB" w:rsidRDefault="00090FFD">
      <w:pPr>
        <w:spacing w:line="360" w:lineRule="auto"/>
        <w:jc w:val="both"/>
        <w:rPr>
          <w:rtl/>
        </w:rPr>
      </w:pPr>
      <w:r>
        <w:rPr>
          <w:rFonts w:hint="cs"/>
          <w:rtl/>
        </w:rPr>
        <w:t>הנאשם הכניס לפיו סם שאחז בידו ואז ירק אותו על מושב הרכב וכך התגלה שהחזיק בקוקאין במשקל 1.2736 גרם נטו שלא לצריכתו העצמית, בנוסף לסם שמכר לסוכנת.</w:t>
      </w:r>
    </w:p>
    <w:p w14:paraId="18374F84" w14:textId="77777777" w:rsidR="003C36FB" w:rsidRDefault="00090FFD">
      <w:pPr>
        <w:spacing w:line="360" w:lineRule="auto"/>
        <w:jc w:val="both"/>
        <w:rPr>
          <w:rtl/>
        </w:rPr>
      </w:pPr>
      <w:r>
        <w:rPr>
          <w:rFonts w:hint="cs"/>
          <w:rtl/>
        </w:rPr>
        <w:t>עוד התגלה, שהנאשם נהג ברכב כשבגופו תוצר חילוף חומרים של קוקאין ובכך עבר את העבירה של נהיגה בשכרות.</w:t>
      </w:r>
    </w:p>
    <w:p w14:paraId="1CF23912" w14:textId="77777777" w:rsidR="003C36FB" w:rsidRDefault="003C36FB">
      <w:pPr>
        <w:spacing w:line="360" w:lineRule="auto"/>
        <w:jc w:val="both"/>
        <w:rPr>
          <w:rtl/>
        </w:rPr>
      </w:pPr>
    </w:p>
    <w:p w14:paraId="13843146" w14:textId="77777777" w:rsidR="003C36FB" w:rsidRDefault="00090FFD">
      <w:pPr>
        <w:spacing w:line="360" w:lineRule="auto"/>
        <w:jc w:val="both"/>
        <w:rPr>
          <w:rFonts w:ascii="Arial" w:hAnsi="Arial"/>
        </w:rPr>
      </w:pPr>
      <w:r>
        <w:rPr>
          <w:rFonts w:ascii="Arial" w:hAnsi="Arial" w:hint="cs"/>
          <w:b/>
          <w:bCs/>
          <w:u w:val="single"/>
          <w:rtl/>
        </w:rPr>
        <w:t>עבירות הסמים – קביעת מתחמי העונש ההולמים:</w:t>
      </w:r>
    </w:p>
    <w:p w14:paraId="5162F3B7" w14:textId="77777777" w:rsidR="003C36FB" w:rsidRDefault="003C36FB">
      <w:pPr>
        <w:spacing w:line="360" w:lineRule="auto"/>
        <w:jc w:val="both"/>
        <w:rPr>
          <w:rtl/>
        </w:rPr>
      </w:pPr>
    </w:p>
    <w:p w14:paraId="5C2C908A" w14:textId="77777777" w:rsidR="003C36FB" w:rsidRDefault="00090FFD">
      <w:pPr>
        <w:spacing w:line="360" w:lineRule="auto"/>
        <w:jc w:val="both"/>
        <w:rPr>
          <w:rtl/>
        </w:rPr>
      </w:pPr>
      <w:r>
        <w:rPr>
          <w:rFonts w:hint="cs"/>
          <w:rtl/>
        </w:rPr>
        <w:t xml:space="preserve">אבהיר, שאינני רואה בעבירת הסחר ובעבירת החזקת הסם "אירוע אחד" כמשמעו </w:t>
      </w:r>
      <w:hyperlink r:id="rId32" w:history="1">
        <w:r w:rsidR="00BA1618" w:rsidRPr="00BA1618">
          <w:rPr>
            <w:color w:val="0000FF"/>
            <w:u w:val="single"/>
            <w:rtl/>
          </w:rPr>
          <w:t>בסעיף 40יג(ב)</w:t>
        </w:r>
      </w:hyperlink>
      <w:r>
        <w:rPr>
          <w:rFonts w:hint="cs"/>
          <w:rtl/>
        </w:rPr>
        <w:t xml:space="preserve"> ל</w:t>
      </w:r>
      <w:hyperlink r:id="rId33" w:history="1">
        <w:r w:rsidRPr="00090FFD">
          <w:rPr>
            <w:color w:val="0000FF"/>
            <w:u w:val="single"/>
            <w:rtl/>
          </w:rPr>
          <w:t>חוק העונשין</w:t>
        </w:r>
      </w:hyperlink>
      <w:r>
        <w:rPr>
          <w:rFonts w:hint="cs"/>
          <w:rtl/>
        </w:rPr>
        <w:t xml:space="preserve"> הנ"ל, שכן מדובר במעשים נפרדים. לפיכך ייקבעו מתחמים נפרדים לכל אירוע עבירה.</w:t>
      </w:r>
    </w:p>
    <w:p w14:paraId="34B1EEE7" w14:textId="77777777" w:rsidR="003C36FB" w:rsidRDefault="003C36FB">
      <w:pPr>
        <w:spacing w:line="360" w:lineRule="auto"/>
        <w:jc w:val="both"/>
        <w:rPr>
          <w:rtl/>
        </w:rPr>
      </w:pPr>
    </w:p>
    <w:p w14:paraId="2926D58F" w14:textId="77777777" w:rsidR="003C36FB" w:rsidRDefault="00090FFD">
      <w:pPr>
        <w:spacing w:line="360" w:lineRule="auto"/>
        <w:jc w:val="both"/>
      </w:pPr>
      <w:r>
        <w:rPr>
          <w:rFonts w:hint="cs"/>
          <w:rtl/>
        </w:rPr>
        <w:t xml:space="preserve">הפסיקה חזרה וקבעה, בכל דרגות בתי המשפט, את כובד משקלם של הערכים החברתיים המוגנים בעבירות הסמים ואת חומרת הפגיעה בהם על ידי עברייני הסמים. מדובר בנגע האוכל בחברה בכל פה, משחית את הגוף ואת הנפש, ושולח גרורות בדמות עבירות אלימות ורכוש חמורות גם לאלו שאינם מעורבים בסחר בסם ובצריכתו. זאת, עוד טרם שנזכיר את האומללות הפוקדת את משפחות הצרכנים ואת השימוש ברווחי הסמים למימונם של ארגוני פשיעה ושל כל סוגי העבריינות הקשה. </w:t>
      </w:r>
    </w:p>
    <w:p w14:paraId="51DB86EB" w14:textId="77777777" w:rsidR="003C36FB" w:rsidRDefault="003C36FB">
      <w:pPr>
        <w:spacing w:line="360" w:lineRule="auto"/>
        <w:jc w:val="both"/>
        <w:rPr>
          <w:rtl/>
        </w:rPr>
      </w:pPr>
    </w:p>
    <w:p w14:paraId="6DD3D982" w14:textId="77777777" w:rsidR="003C36FB" w:rsidRDefault="00090FFD">
      <w:pPr>
        <w:spacing w:line="360" w:lineRule="auto"/>
        <w:jc w:val="both"/>
        <w:rPr>
          <w:rtl/>
        </w:rPr>
      </w:pPr>
      <w:r>
        <w:rPr>
          <w:rFonts w:hint="cs"/>
          <w:rtl/>
        </w:rPr>
        <w:t>הנאשם היה חוליה בשלשלת הפצתו של סם "קשה", בביצוע מתוכנן, כשהיווה למעשה תחנת סמים ניידת, מוכנה לקריאתו של כל דורש. אין מנוס מהקביעה שמטרתו של הנאשם היתה תאוות בצע בלבד.</w:t>
      </w:r>
    </w:p>
    <w:p w14:paraId="734C3EE5" w14:textId="77777777" w:rsidR="003C36FB" w:rsidRDefault="003C36FB">
      <w:pPr>
        <w:spacing w:line="360" w:lineRule="auto"/>
        <w:jc w:val="both"/>
        <w:rPr>
          <w:rtl/>
        </w:rPr>
      </w:pPr>
    </w:p>
    <w:p w14:paraId="4F15BBF8" w14:textId="77777777" w:rsidR="003C36FB" w:rsidRDefault="00090FFD">
      <w:pPr>
        <w:spacing w:line="360" w:lineRule="auto"/>
        <w:jc w:val="both"/>
        <w:rPr>
          <w:rtl/>
        </w:rPr>
      </w:pPr>
      <w:r>
        <w:rPr>
          <w:rFonts w:hint="cs"/>
          <w:rtl/>
        </w:rPr>
        <w:t>עבירת הסחר הינה מהחמורות שבעבירות הסמים, ובנסיבות העניין יש לקבוע לצידה מתחם עונש הולם של שנים-עשר עד עשרים וארבעה חודשי מאסר כעונש עיקרי.</w:t>
      </w:r>
    </w:p>
    <w:p w14:paraId="0FD8FEC6" w14:textId="77777777" w:rsidR="003C36FB" w:rsidRDefault="003C36FB">
      <w:pPr>
        <w:spacing w:line="360" w:lineRule="auto"/>
        <w:jc w:val="both"/>
        <w:rPr>
          <w:rtl/>
        </w:rPr>
      </w:pPr>
    </w:p>
    <w:p w14:paraId="12B2B811" w14:textId="77777777" w:rsidR="003C36FB" w:rsidRDefault="00090FFD">
      <w:pPr>
        <w:spacing w:line="360" w:lineRule="auto"/>
        <w:jc w:val="both"/>
        <w:rPr>
          <w:rtl/>
        </w:rPr>
      </w:pPr>
      <w:r>
        <w:rPr>
          <w:rFonts w:hint="cs"/>
          <w:rtl/>
        </w:rPr>
        <w:t xml:space="preserve">העבירה של החזקת הסם בוצעה על-ידי הנאשם בנסיבות מחמירות מאוד: סוג הסם, הכמות, התכנון והנכונות המוכחת לסחר. עם זאת, בהשוואה למתחמים שנקבעו בנסיבות חמורות פחות אך </w:t>
      </w:r>
      <w:r>
        <w:rPr>
          <w:rFonts w:hint="cs"/>
          <w:rtl/>
        </w:rPr>
        <w:lastRenderedPageBreak/>
        <w:t>ביחס לכמויות סם גדולות יותר, נראה כי יש לקבוע את המתחם ההולם בין שמונה לבין שמונה-עשר חודשי מאסר בפועל כעונש עיקרי.</w:t>
      </w:r>
    </w:p>
    <w:p w14:paraId="6D4C1840" w14:textId="77777777" w:rsidR="003C36FB" w:rsidRDefault="003C36FB">
      <w:pPr>
        <w:spacing w:line="360" w:lineRule="auto"/>
        <w:jc w:val="both"/>
        <w:rPr>
          <w:rtl/>
        </w:rPr>
      </w:pPr>
    </w:p>
    <w:p w14:paraId="1B4B324F" w14:textId="77777777" w:rsidR="003C36FB" w:rsidRDefault="00090FFD">
      <w:pPr>
        <w:spacing w:line="360" w:lineRule="auto"/>
        <w:jc w:val="both"/>
        <w:rPr>
          <w:rtl/>
        </w:rPr>
      </w:pPr>
      <w:r>
        <w:rPr>
          <w:rFonts w:hint="cs"/>
          <w:b/>
          <w:bCs/>
          <w:u w:val="single"/>
          <w:rtl/>
        </w:rPr>
        <w:t xml:space="preserve">נהיגה בשכרות </w:t>
      </w:r>
      <w:r>
        <w:rPr>
          <w:b/>
          <w:bCs/>
          <w:u w:val="single"/>
          <w:rtl/>
        </w:rPr>
        <w:t>–</w:t>
      </w:r>
      <w:r>
        <w:rPr>
          <w:rFonts w:hint="cs"/>
          <w:b/>
          <w:bCs/>
          <w:u w:val="single"/>
          <w:rtl/>
        </w:rPr>
        <w:t xml:space="preserve"> קביעת מתחם עונש הולם:</w:t>
      </w:r>
    </w:p>
    <w:p w14:paraId="2ED5B945" w14:textId="77777777" w:rsidR="003C36FB" w:rsidRDefault="003C36FB">
      <w:pPr>
        <w:spacing w:line="360" w:lineRule="auto"/>
        <w:jc w:val="both"/>
        <w:rPr>
          <w:rtl/>
        </w:rPr>
      </w:pPr>
    </w:p>
    <w:p w14:paraId="58316B39" w14:textId="77777777" w:rsidR="003C36FB" w:rsidRDefault="00090FFD">
      <w:pPr>
        <w:spacing w:line="360" w:lineRule="auto"/>
        <w:jc w:val="both"/>
        <w:rPr>
          <w:rtl/>
        </w:rPr>
      </w:pPr>
      <w:r>
        <w:rPr>
          <w:rFonts w:hint="cs"/>
          <w:rtl/>
        </w:rPr>
        <w:t xml:space="preserve">עבירה זו מגנה על הערכים המקודשים ביותר </w:t>
      </w:r>
      <w:r>
        <w:rPr>
          <w:rtl/>
        </w:rPr>
        <w:t>–</w:t>
      </w:r>
      <w:r>
        <w:rPr>
          <w:rFonts w:hint="cs"/>
          <w:rtl/>
        </w:rPr>
        <w:t xml:space="preserve"> חיי אדם ושלמות גופו. ברור וידוע הצורך החריף בענישה מכבידה והולמת על עבריינים הנוהגים בשכרות, שגובים קורבנות אדם על הכבישים, קוטלים ומטילים מום יותר מכל צר ואויב (והשוו דברי הש' ג'ובראן ב</w:t>
      </w:r>
      <w:hyperlink r:id="rId34" w:history="1">
        <w:r w:rsidRPr="00090FFD">
          <w:rPr>
            <w:color w:val="0000FF"/>
            <w:u w:val="single"/>
            <w:rtl/>
          </w:rPr>
          <w:t>רע"פ 6439/06</w:t>
        </w:r>
      </w:hyperlink>
      <w:r>
        <w:rPr>
          <w:rFonts w:hint="cs"/>
          <w:rtl/>
        </w:rPr>
        <w:t xml:space="preserve"> </w:t>
      </w:r>
      <w:r>
        <w:rPr>
          <w:rFonts w:hint="cs"/>
          <w:b/>
          <w:bCs/>
          <w:rtl/>
        </w:rPr>
        <w:t>קריטי נ' מ.י.</w:t>
      </w:r>
      <w:r>
        <w:rPr>
          <w:rFonts w:hint="cs"/>
          <w:rtl/>
        </w:rPr>
        <w:t xml:space="preserve"> (2006) ). חמור במיוחד הדבר, כשמדובר בשכרות שמקורה בסמים. </w:t>
      </w:r>
    </w:p>
    <w:p w14:paraId="7AEB5DC5" w14:textId="77777777" w:rsidR="003C36FB" w:rsidRDefault="003C36FB">
      <w:pPr>
        <w:spacing w:line="360" w:lineRule="auto"/>
        <w:jc w:val="both"/>
        <w:rPr>
          <w:rtl/>
        </w:rPr>
      </w:pPr>
    </w:p>
    <w:p w14:paraId="32793645" w14:textId="77777777" w:rsidR="003C36FB" w:rsidRDefault="00090FFD">
      <w:pPr>
        <w:spacing w:line="360" w:lineRule="auto"/>
        <w:jc w:val="both"/>
        <w:rPr>
          <w:rtl/>
        </w:rPr>
      </w:pPr>
      <w:r>
        <w:rPr>
          <w:rFonts w:hint="cs"/>
          <w:rtl/>
        </w:rPr>
        <w:t xml:space="preserve">הנאשם, מונע על-ידי תאוות הבצע ואדיש לחלוטין לסיכון המשתמשים האחרים בדרך, עלה לרכבו ונהג כשהוא מודע לנהיגתו שלאחר שימוש בסם. לא נגרם נזק קונקרטי, אולם הנזק הפוטנציאלי חמור לאין שיעור. </w:t>
      </w:r>
    </w:p>
    <w:p w14:paraId="6F23B786" w14:textId="77777777" w:rsidR="003C36FB" w:rsidRDefault="003C36FB">
      <w:pPr>
        <w:spacing w:line="360" w:lineRule="auto"/>
        <w:jc w:val="both"/>
        <w:rPr>
          <w:rtl/>
        </w:rPr>
      </w:pPr>
    </w:p>
    <w:p w14:paraId="4844944D" w14:textId="77777777" w:rsidR="003C36FB" w:rsidRDefault="00090FFD">
      <w:pPr>
        <w:spacing w:line="360" w:lineRule="auto"/>
        <w:jc w:val="both"/>
        <w:rPr>
          <w:rtl/>
        </w:rPr>
      </w:pPr>
      <w:r>
        <w:rPr>
          <w:rFonts w:hint="cs"/>
          <w:rtl/>
        </w:rPr>
        <w:t xml:space="preserve">מתחם העונש ההולם המקובל בבתי המשפט לתעבורה נע בין פסילת המינימום בת השנתיים הקבועה </w:t>
      </w:r>
      <w:hyperlink r:id="rId35" w:history="1">
        <w:r w:rsidR="00BA1618" w:rsidRPr="00BA1618">
          <w:rPr>
            <w:color w:val="0000FF"/>
            <w:u w:val="single"/>
            <w:rtl/>
          </w:rPr>
          <w:t>בסעיף 39א</w:t>
        </w:r>
      </w:hyperlink>
      <w:r>
        <w:rPr>
          <w:rFonts w:hint="cs"/>
          <w:rtl/>
        </w:rPr>
        <w:t xml:space="preserve"> ל</w:t>
      </w:r>
      <w:hyperlink r:id="rId36" w:history="1">
        <w:r w:rsidRPr="00090FFD">
          <w:rPr>
            <w:color w:val="0000FF"/>
            <w:u w:val="single"/>
            <w:rtl/>
          </w:rPr>
          <w:t>פקודת התעבורה</w:t>
        </w:r>
      </w:hyperlink>
      <w:r>
        <w:rPr>
          <w:rFonts w:hint="cs"/>
          <w:rtl/>
        </w:rPr>
        <w:t>, לצד מאסר מותנה, פסילה מותנית וקנס, לבין מאסר בפועל של חודשים ספורים (שבדרך כלל ניתן לרצותו בעבודות שירות), פסילה לשנים רבות, מאסר מותנה, פסילה מותנית וקנס.</w:t>
      </w:r>
    </w:p>
    <w:p w14:paraId="09FA3B4C" w14:textId="77777777" w:rsidR="003C36FB" w:rsidRDefault="003C36FB">
      <w:pPr>
        <w:spacing w:line="360" w:lineRule="auto"/>
        <w:jc w:val="both"/>
        <w:rPr>
          <w:rtl/>
        </w:rPr>
      </w:pPr>
    </w:p>
    <w:p w14:paraId="5FC1869C" w14:textId="77777777" w:rsidR="003C36FB" w:rsidRDefault="00090FFD">
      <w:pPr>
        <w:spacing w:line="360" w:lineRule="auto"/>
        <w:jc w:val="both"/>
        <w:rPr>
          <w:rtl/>
        </w:rPr>
      </w:pPr>
      <w:r>
        <w:rPr>
          <w:rFonts w:hint="cs"/>
          <w:b/>
          <w:bCs/>
          <w:u w:val="single"/>
          <w:rtl/>
        </w:rPr>
        <w:t xml:space="preserve">הפרעה לשוטר במילוי תפקידו </w:t>
      </w:r>
      <w:r>
        <w:rPr>
          <w:b/>
          <w:bCs/>
          <w:u w:val="single"/>
          <w:rtl/>
        </w:rPr>
        <w:t>–</w:t>
      </w:r>
      <w:r>
        <w:rPr>
          <w:rFonts w:hint="cs"/>
          <w:b/>
          <w:bCs/>
          <w:u w:val="single"/>
          <w:rtl/>
        </w:rPr>
        <w:t xml:space="preserve"> קביעת מתחם עונש הולם:</w:t>
      </w:r>
    </w:p>
    <w:p w14:paraId="1E55EAC3" w14:textId="77777777" w:rsidR="003C36FB" w:rsidRDefault="003C36FB">
      <w:pPr>
        <w:spacing w:line="360" w:lineRule="auto"/>
        <w:jc w:val="both"/>
        <w:rPr>
          <w:rtl/>
        </w:rPr>
      </w:pPr>
    </w:p>
    <w:p w14:paraId="611BF761" w14:textId="77777777" w:rsidR="003C36FB" w:rsidRDefault="00090FFD">
      <w:pPr>
        <w:spacing w:line="360" w:lineRule="auto"/>
        <w:jc w:val="both"/>
        <w:rPr>
          <w:rtl/>
        </w:rPr>
      </w:pPr>
      <w:r>
        <w:rPr>
          <w:rFonts w:hint="cs"/>
          <w:rtl/>
        </w:rPr>
        <w:t>עבירה זו נקבעה ב</w:t>
      </w:r>
      <w:hyperlink r:id="rId37" w:history="1">
        <w:r w:rsidRPr="00090FFD">
          <w:rPr>
            <w:color w:val="0000FF"/>
            <w:u w:val="single"/>
            <w:rtl/>
          </w:rPr>
          <w:t>חוק העונשין</w:t>
        </w:r>
      </w:hyperlink>
      <w:r>
        <w:rPr>
          <w:rFonts w:hint="cs"/>
          <w:rtl/>
        </w:rPr>
        <w:t xml:space="preserve"> כדי להגן על יכולתם של השוטרים למלא תפקידם נאמנה, בבצעם אותו בחזית המלחמה לשמירה על החוק והסדר.</w:t>
      </w:r>
    </w:p>
    <w:p w14:paraId="08EE3B74" w14:textId="77777777" w:rsidR="003C36FB" w:rsidRDefault="003C36FB">
      <w:pPr>
        <w:spacing w:line="360" w:lineRule="auto"/>
        <w:jc w:val="both"/>
        <w:rPr>
          <w:rtl/>
        </w:rPr>
      </w:pPr>
    </w:p>
    <w:p w14:paraId="366B843E" w14:textId="77777777" w:rsidR="003C36FB" w:rsidRDefault="00090FFD">
      <w:pPr>
        <w:spacing w:line="360" w:lineRule="auto"/>
        <w:jc w:val="both"/>
        <w:rPr>
          <w:rtl/>
        </w:rPr>
      </w:pPr>
      <w:r>
        <w:rPr>
          <w:rFonts w:hint="cs"/>
          <w:rtl/>
        </w:rPr>
        <w:t xml:space="preserve">עבירה זו בוצעה בנסיבות מחמירות שהיה בהן כדי לסכן את חייו ושלמות גופו של השוטר, משהחל הנאשם בנסיעה בעוד השוטר אוחז בו. נסיבה מחמירה נוספת היא מטרת ההפרעה לשוטר </w:t>
      </w:r>
      <w:r>
        <w:rPr>
          <w:rtl/>
        </w:rPr>
        <w:t>–</w:t>
      </w:r>
      <w:r>
        <w:rPr>
          <w:rFonts w:hint="cs"/>
          <w:rtl/>
        </w:rPr>
        <w:t xml:space="preserve"> המלטות מלתת את הדין על עבירות חמורות שביצע הנאשם.</w:t>
      </w:r>
    </w:p>
    <w:p w14:paraId="55BD13B7" w14:textId="77777777" w:rsidR="003C36FB" w:rsidRDefault="003C36FB">
      <w:pPr>
        <w:spacing w:line="360" w:lineRule="auto"/>
        <w:jc w:val="both"/>
        <w:rPr>
          <w:rtl/>
        </w:rPr>
      </w:pPr>
    </w:p>
    <w:p w14:paraId="51AA4179" w14:textId="77777777" w:rsidR="003C36FB" w:rsidRDefault="00090FFD">
      <w:pPr>
        <w:spacing w:line="360" w:lineRule="auto"/>
        <w:jc w:val="both"/>
        <w:rPr>
          <w:rtl/>
        </w:rPr>
      </w:pPr>
      <w:r>
        <w:rPr>
          <w:rFonts w:hint="cs"/>
          <w:rtl/>
        </w:rPr>
        <w:t>יש לקבוע אפוא מתחם עונשי חמור יותר מהמקובל, ולהעמידו בין שלושה חודשי מאסר (שיכול וירוצו בעבודות שירות) לבין שמונה חודשי מאסר בפועל.</w:t>
      </w:r>
    </w:p>
    <w:p w14:paraId="0B9EB1AD" w14:textId="77777777" w:rsidR="003C36FB" w:rsidRDefault="003C36FB">
      <w:pPr>
        <w:spacing w:line="360" w:lineRule="auto"/>
        <w:jc w:val="both"/>
        <w:rPr>
          <w:rtl/>
        </w:rPr>
      </w:pPr>
    </w:p>
    <w:p w14:paraId="6212F0D8" w14:textId="77777777" w:rsidR="003C36FB" w:rsidRDefault="00090FFD">
      <w:pPr>
        <w:spacing w:line="360" w:lineRule="auto"/>
        <w:jc w:val="both"/>
        <w:rPr>
          <w:rtl/>
        </w:rPr>
      </w:pPr>
      <w:r>
        <w:rPr>
          <w:rFonts w:hint="cs"/>
          <w:b/>
          <w:bCs/>
          <w:u w:val="single"/>
          <w:rtl/>
        </w:rPr>
        <w:t xml:space="preserve">נסיבות אישיות </w:t>
      </w:r>
      <w:r>
        <w:rPr>
          <w:b/>
          <w:bCs/>
          <w:u w:val="single"/>
          <w:rtl/>
        </w:rPr>
        <w:t>–</w:t>
      </w:r>
      <w:r>
        <w:rPr>
          <w:rFonts w:hint="cs"/>
          <w:b/>
          <w:bCs/>
          <w:u w:val="single"/>
          <w:rtl/>
        </w:rPr>
        <w:t xml:space="preserve"> שיקולי שיקום:</w:t>
      </w:r>
    </w:p>
    <w:p w14:paraId="0BAE74C0" w14:textId="77777777" w:rsidR="003C36FB" w:rsidRDefault="003C36FB">
      <w:pPr>
        <w:spacing w:line="360" w:lineRule="auto"/>
        <w:jc w:val="both"/>
        <w:rPr>
          <w:rtl/>
        </w:rPr>
      </w:pPr>
    </w:p>
    <w:p w14:paraId="3EC19AE7" w14:textId="77777777" w:rsidR="003C36FB" w:rsidRDefault="00090FFD">
      <w:pPr>
        <w:spacing w:line="360" w:lineRule="auto"/>
        <w:jc w:val="both"/>
        <w:rPr>
          <w:rtl/>
        </w:rPr>
      </w:pPr>
      <w:r>
        <w:rPr>
          <w:rFonts w:hint="cs"/>
          <w:rtl/>
        </w:rPr>
        <w:t>בעניינו של הנאשם הוגש תסקיר שירות המבחן.</w:t>
      </w:r>
    </w:p>
    <w:p w14:paraId="24606FC1" w14:textId="77777777" w:rsidR="003C36FB" w:rsidRDefault="003C36FB">
      <w:pPr>
        <w:spacing w:line="360" w:lineRule="auto"/>
        <w:jc w:val="both"/>
        <w:rPr>
          <w:rtl/>
        </w:rPr>
      </w:pPr>
    </w:p>
    <w:p w14:paraId="22ABFECE" w14:textId="77777777" w:rsidR="003C36FB" w:rsidRDefault="00090FFD">
      <w:pPr>
        <w:spacing w:line="360" w:lineRule="auto"/>
        <w:jc w:val="both"/>
        <w:rPr>
          <w:rtl/>
        </w:rPr>
      </w:pPr>
      <w:r>
        <w:rPr>
          <w:rFonts w:hint="cs"/>
          <w:rtl/>
        </w:rPr>
        <w:t xml:space="preserve">לנאשם, יליד 1990 וכבן 24 כיום, הרשעה קודמת מיום 17.4.12 בגין שוד מזויין אותו ביצע בחודש אוקטובר 2011 ובגינו ריצה שמונה חודשי מאסר שהוטלו עליו לצד מאסר מותנה וקנס. </w:t>
      </w:r>
    </w:p>
    <w:p w14:paraId="3B5AE773" w14:textId="77777777" w:rsidR="003C36FB" w:rsidRDefault="003C36FB">
      <w:pPr>
        <w:spacing w:line="360" w:lineRule="auto"/>
        <w:jc w:val="both"/>
        <w:rPr>
          <w:rtl/>
        </w:rPr>
      </w:pPr>
    </w:p>
    <w:p w14:paraId="296DEC9D" w14:textId="77777777" w:rsidR="003C36FB" w:rsidRDefault="00090FFD">
      <w:pPr>
        <w:spacing w:line="360" w:lineRule="auto"/>
        <w:jc w:val="both"/>
        <w:rPr>
          <w:rtl/>
        </w:rPr>
      </w:pPr>
      <w:r>
        <w:rPr>
          <w:rFonts w:hint="cs"/>
          <w:rtl/>
        </w:rPr>
        <w:t xml:space="preserve">הנאשם עובד כמסגר והתארס לבת-זוגו. משפחת המוצא של הנאשם יציבה ותומכת, אך הנאשם חבר לחברה שולית מנעוריו והתמכר לאלכוהול. התנהגותו הובילה לניכור ממשפחתו, שהעמיק את מעורבותו בחברה השולית ובהתנהגויות עברייניות. </w:t>
      </w:r>
    </w:p>
    <w:p w14:paraId="791B0199" w14:textId="77777777" w:rsidR="003C36FB" w:rsidRDefault="003C36FB">
      <w:pPr>
        <w:spacing w:line="360" w:lineRule="auto"/>
        <w:jc w:val="both"/>
        <w:rPr>
          <w:rtl/>
        </w:rPr>
      </w:pPr>
    </w:p>
    <w:p w14:paraId="1C193E20" w14:textId="77777777" w:rsidR="003C36FB" w:rsidRDefault="00090FFD">
      <w:pPr>
        <w:spacing w:line="360" w:lineRule="auto"/>
        <w:jc w:val="both"/>
        <w:rPr>
          <w:rtl/>
        </w:rPr>
      </w:pPr>
      <w:r>
        <w:rPr>
          <w:rFonts w:hint="cs"/>
          <w:rtl/>
        </w:rPr>
        <w:t>יחסו של הנאשם לעבירות בגינן הורשע בתיק זה נע בין הכחשה התחלתית לבין הודאה והסבר, לפיו ביצע את עבירות הסמים לצורך מימון התמכרותו לאלכוהול.</w:t>
      </w:r>
    </w:p>
    <w:p w14:paraId="0F7108B3" w14:textId="77777777" w:rsidR="003C36FB" w:rsidRDefault="003C36FB">
      <w:pPr>
        <w:spacing w:line="360" w:lineRule="auto"/>
        <w:jc w:val="both"/>
        <w:rPr>
          <w:rtl/>
        </w:rPr>
      </w:pPr>
    </w:p>
    <w:p w14:paraId="7E6781E8" w14:textId="77777777" w:rsidR="003C36FB" w:rsidRDefault="00090FFD">
      <w:pPr>
        <w:spacing w:line="360" w:lineRule="auto"/>
        <w:jc w:val="both"/>
        <w:rPr>
          <w:rtl/>
        </w:rPr>
      </w:pPr>
      <w:r>
        <w:rPr>
          <w:rFonts w:hint="cs"/>
          <w:rtl/>
        </w:rPr>
        <w:t xml:space="preserve">לאחר שחרורו מהמעצר שולב הנאשם בהליך טיפולי, חזר וזכה בתמיכת משפחתו, החל להשקיע מרצו בעבודתו וניתק קשריו עם חבריו מהעבר. שירות המבחן מתרשם כי הנאשם מבין את המחיר שגובה ממנו מעורבותו בעבירות והוא נרתם להליך גמילה מאלכוהול במסגרת עמותת "אפשר" שהחל בדצמבר 2013. השירות מוצא כי הנאשם מצוי בסכנת הדרדרות נוספת לנוכח נטייתו לפעול באופן אימפולסיבי ללא מחשבה על תוצאות מעשיו, אך סובר כי הליך טיפולי מתאים ותמיכת המשפחה יכולים להביא לשיקומו. השירות אינו מסתיר את התרשמותו, שהנאשם מתקשה לשתף באופן מעמיק בקשייו וממוקד כעת בהשלכות מעשיו עליו. לסיכום, ממליץ השירות על הטלת עונש שלא יקטע את ההליך השיקומי </w:t>
      </w:r>
      <w:r>
        <w:rPr>
          <w:rtl/>
        </w:rPr>
        <w:t>–</w:t>
      </w:r>
      <w:r>
        <w:rPr>
          <w:rFonts w:hint="cs"/>
          <w:rtl/>
        </w:rPr>
        <w:t xml:space="preserve"> מאסר בעבודות שירות, לצד צו מבחן.</w:t>
      </w:r>
    </w:p>
    <w:p w14:paraId="63EF9B0A" w14:textId="77777777" w:rsidR="003C36FB" w:rsidRDefault="003C36FB">
      <w:pPr>
        <w:spacing w:line="360" w:lineRule="auto"/>
        <w:jc w:val="both"/>
        <w:rPr>
          <w:rtl/>
        </w:rPr>
      </w:pPr>
    </w:p>
    <w:p w14:paraId="7A1BAEEA" w14:textId="77777777" w:rsidR="003C36FB" w:rsidRDefault="00090FFD">
      <w:pPr>
        <w:spacing w:line="360" w:lineRule="auto"/>
        <w:jc w:val="both"/>
        <w:rPr>
          <w:rtl/>
        </w:rPr>
      </w:pPr>
      <w:r>
        <w:rPr>
          <w:rFonts w:hint="cs"/>
          <w:rtl/>
        </w:rPr>
        <w:t>כנגד מעשיו החמורים של הנאשם עומד אפוא הליך טיפולי המצוי בראשיתו, וכשקשה להתרשם כי מדובר בהליך שסיכוייו מזהירים דווקא, לנוכח מאפייני אישיותו של הנאשם וקשייו לבחון באופן מעמיק את שורשי בעיותיו והתנהגותו. ודאי שבכך אין כדי להצדיק העדפה של ערך השיקום על-פני הערך המרכזי בענישה, ערך ההלימה. לפיכך, לא יחרוג העונש ממתחמי הענישה ההולמים שנקבעו.</w:t>
      </w:r>
    </w:p>
    <w:p w14:paraId="13123083" w14:textId="77777777" w:rsidR="003C36FB" w:rsidRDefault="003C36FB">
      <w:pPr>
        <w:spacing w:line="360" w:lineRule="auto"/>
        <w:jc w:val="both"/>
        <w:rPr>
          <w:rtl/>
        </w:rPr>
      </w:pPr>
    </w:p>
    <w:p w14:paraId="3BDBBB7A" w14:textId="77777777" w:rsidR="003C36FB" w:rsidRDefault="00090FFD">
      <w:pPr>
        <w:spacing w:line="360" w:lineRule="auto"/>
        <w:jc w:val="both"/>
        <w:rPr>
          <w:rtl/>
        </w:rPr>
      </w:pPr>
      <w:r>
        <w:rPr>
          <w:rFonts w:hint="cs"/>
          <w:b/>
          <w:bCs/>
          <w:u w:val="single"/>
          <w:rtl/>
        </w:rPr>
        <w:t xml:space="preserve">קביעת העונש במתחמים </w:t>
      </w:r>
      <w:r>
        <w:rPr>
          <w:b/>
          <w:bCs/>
          <w:u w:val="single"/>
          <w:rtl/>
        </w:rPr>
        <w:t>–</w:t>
      </w:r>
      <w:r>
        <w:rPr>
          <w:rFonts w:hint="cs"/>
          <w:b/>
          <w:bCs/>
          <w:u w:val="single"/>
          <w:rtl/>
        </w:rPr>
        <w:t xml:space="preserve"> נסיבות שאינן קשורות לעבירה:</w:t>
      </w:r>
    </w:p>
    <w:p w14:paraId="77B3FF66" w14:textId="77777777" w:rsidR="003C36FB" w:rsidRDefault="003C36FB">
      <w:pPr>
        <w:spacing w:line="360" w:lineRule="auto"/>
        <w:jc w:val="both"/>
        <w:rPr>
          <w:rtl/>
        </w:rPr>
      </w:pPr>
    </w:p>
    <w:p w14:paraId="4F59E237" w14:textId="77777777" w:rsidR="003C36FB" w:rsidRDefault="00090FFD">
      <w:pPr>
        <w:spacing w:line="360" w:lineRule="auto"/>
        <w:jc w:val="both"/>
        <w:rPr>
          <w:rtl/>
        </w:rPr>
      </w:pPr>
      <w:r>
        <w:rPr>
          <w:rFonts w:hint="cs"/>
          <w:rtl/>
        </w:rPr>
        <w:t xml:space="preserve">הנאשם צעיר לימים, ואין ספק שייפגע משליחתו למאסר. עם-זאת, אין זה מאסר ראשון של הנאשם ואף לכך יש לתת משקל. </w:t>
      </w:r>
    </w:p>
    <w:p w14:paraId="4648430E" w14:textId="77777777" w:rsidR="003C36FB" w:rsidRDefault="003C36FB">
      <w:pPr>
        <w:spacing w:line="360" w:lineRule="auto"/>
        <w:jc w:val="both"/>
        <w:rPr>
          <w:rtl/>
        </w:rPr>
      </w:pPr>
    </w:p>
    <w:p w14:paraId="5D413937" w14:textId="77777777" w:rsidR="003C36FB" w:rsidRDefault="00090FFD">
      <w:pPr>
        <w:spacing w:line="360" w:lineRule="auto"/>
        <w:jc w:val="both"/>
        <w:rPr>
          <w:rtl/>
        </w:rPr>
      </w:pPr>
      <w:r>
        <w:rPr>
          <w:rFonts w:hint="cs"/>
          <w:rtl/>
        </w:rPr>
        <w:t>הנאשם ביצע את העבירות החמורות המיוחסות לו זמן לא-רב לאחר שחרורו ממאסר בשל עבירה חמורה אחרת (שוד מזויין), כשחווית ההליך הפלילי והמאסר לא הועילה לשנות את דרכיו. באשר לעבירה של נהיגה בשכרות, התביעה לא הציגה עבר תעבורתי ויש להניח כי לנאשם אין עבר שכזה.</w:t>
      </w:r>
    </w:p>
    <w:p w14:paraId="2A3CD79C" w14:textId="77777777" w:rsidR="003C36FB" w:rsidRDefault="003C36FB">
      <w:pPr>
        <w:spacing w:line="360" w:lineRule="auto"/>
        <w:jc w:val="both"/>
        <w:rPr>
          <w:rtl/>
        </w:rPr>
      </w:pPr>
    </w:p>
    <w:p w14:paraId="7B285356" w14:textId="77777777" w:rsidR="003C36FB" w:rsidRDefault="00090FFD">
      <w:pPr>
        <w:spacing w:line="360" w:lineRule="auto"/>
        <w:jc w:val="both"/>
        <w:rPr>
          <w:rtl/>
        </w:rPr>
      </w:pPr>
      <w:r>
        <w:rPr>
          <w:rFonts w:hint="cs"/>
          <w:rtl/>
        </w:rPr>
        <w:t>מן הראוי היה לגזור את עונשו של הנאשם בחלק המרכזי-עליון של מתחמי העונש, אולם נסיבות אלו יובילו להקלה של-ממש:</w:t>
      </w:r>
    </w:p>
    <w:p w14:paraId="5511F803" w14:textId="77777777" w:rsidR="003C36FB" w:rsidRDefault="00090FFD">
      <w:pPr>
        <w:spacing w:line="360" w:lineRule="auto"/>
        <w:ind w:left="720" w:hanging="720"/>
        <w:jc w:val="both"/>
        <w:rPr>
          <w:rFonts w:ascii="Arial" w:hAnsi="Arial"/>
          <w:rtl/>
        </w:rPr>
      </w:pPr>
      <w:r>
        <w:rPr>
          <w:rFonts w:ascii="Arial" w:hAnsi="Arial" w:hint="cs"/>
          <w:rtl/>
        </w:rPr>
        <w:t>א.</w:t>
      </w:r>
      <w:r>
        <w:rPr>
          <w:rFonts w:ascii="Arial" w:hAnsi="Arial" w:hint="cs"/>
          <w:rtl/>
        </w:rPr>
        <w:tab/>
        <w:t>הודייתו, שלה יש לתת משקל נכבד ואפילו לא היתה לנאשם ברירה-למעשה, משנלכד כשסם בחזקתו והקונה התגלתה כסוכנת משטרתית;</w:t>
      </w:r>
    </w:p>
    <w:p w14:paraId="2D6468FA" w14:textId="77777777" w:rsidR="003C36FB" w:rsidRDefault="00090FFD">
      <w:pPr>
        <w:spacing w:line="360" w:lineRule="auto"/>
        <w:jc w:val="both"/>
        <w:rPr>
          <w:rFonts w:ascii="Arial" w:hAnsi="Arial"/>
        </w:rPr>
      </w:pPr>
      <w:r>
        <w:rPr>
          <w:rFonts w:ascii="Arial" w:hAnsi="Arial" w:hint="cs"/>
          <w:rtl/>
        </w:rPr>
        <w:t>ב.</w:t>
      </w:r>
      <w:r>
        <w:rPr>
          <w:rFonts w:ascii="Arial" w:hAnsi="Arial" w:hint="cs"/>
          <w:rtl/>
        </w:rPr>
        <w:tab/>
        <w:t>גילו הצעיר-יחסית של הנאשם;</w:t>
      </w:r>
    </w:p>
    <w:p w14:paraId="001C0927" w14:textId="77777777" w:rsidR="003C36FB" w:rsidRDefault="00090FFD">
      <w:pPr>
        <w:spacing w:line="360" w:lineRule="auto"/>
        <w:ind w:left="720" w:hanging="720"/>
        <w:jc w:val="both"/>
        <w:rPr>
          <w:rFonts w:ascii="Arial" w:hAnsi="Arial"/>
          <w:rtl/>
        </w:rPr>
      </w:pPr>
      <w:r>
        <w:rPr>
          <w:rFonts w:ascii="Arial" w:hAnsi="Arial" w:hint="cs"/>
          <w:rtl/>
        </w:rPr>
        <w:t>ג.</w:t>
      </w:r>
      <w:r>
        <w:rPr>
          <w:rFonts w:ascii="Arial" w:hAnsi="Arial" w:hint="cs"/>
          <w:rtl/>
        </w:rPr>
        <w:tab/>
        <w:t>מאמצי הנאשם לשיקום כמתואר בתסקיר;</w:t>
      </w:r>
    </w:p>
    <w:p w14:paraId="4E97D7D6" w14:textId="77777777" w:rsidR="003C36FB" w:rsidRDefault="003C36FB">
      <w:pPr>
        <w:spacing w:line="360" w:lineRule="auto"/>
        <w:ind w:left="720" w:hanging="720"/>
        <w:jc w:val="both"/>
        <w:rPr>
          <w:rFonts w:ascii="Arial" w:hAnsi="Arial"/>
          <w:rtl/>
        </w:rPr>
      </w:pPr>
    </w:p>
    <w:p w14:paraId="32400F33" w14:textId="77777777" w:rsidR="003C36FB" w:rsidRDefault="00090FFD">
      <w:pPr>
        <w:spacing w:line="360" w:lineRule="auto"/>
        <w:jc w:val="both"/>
        <w:rPr>
          <w:rtl/>
        </w:rPr>
      </w:pPr>
      <w:r>
        <w:rPr>
          <w:rFonts w:ascii="Arial" w:hAnsi="Arial" w:hint="cs"/>
          <w:rtl/>
        </w:rPr>
        <w:t xml:space="preserve">לפיכך, ייקבע העונש במרכזם של מתחמי הענישה שנקבעו. </w:t>
      </w:r>
      <w:r>
        <w:rPr>
          <w:rFonts w:hint="cs"/>
          <w:rtl/>
        </w:rPr>
        <w:t>אמנם קבעתי מתחמי ענישה נפרדים לכל אירוע עבירה, אולם העונש יוטל כאחד, תוך חפיפה מסוימת, ואף בכך יש הקלה נוספת עם הנאשם.</w:t>
      </w:r>
    </w:p>
    <w:p w14:paraId="5E93F350" w14:textId="77777777" w:rsidR="003C36FB" w:rsidRDefault="003C36FB">
      <w:pPr>
        <w:spacing w:line="360" w:lineRule="auto"/>
        <w:jc w:val="both"/>
        <w:rPr>
          <w:rtl/>
        </w:rPr>
      </w:pPr>
    </w:p>
    <w:p w14:paraId="6CEA3175" w14:textId="77777777" w:rsidR="003C36FB" w:rsidRDefault="00090FFD">
      <w:pPr>
        <w:spacing w:line="360" w:lineRule="auto"/>
        <w:jc w:val="both"/>
        <w:rPr>
          <w:b/>
          <w:bCs/>
          <w:u w:val="single"/>
          <w:rtl/>
        </w:rPr>
      </w:pPr>
      <w:r>
        <w:rPr>
          <w:rFonts w:hint="cs"/>
          <w:b/>
          <w:bCs/>
          <w:u w:val="single"/>
          <w:rtl/>
        </w:rPr>
        <w:t>חילוט רכוש ועיצומים כספיים:</w:t>
      </w:r>
    </w:p>
    <w:p w14:paraId="6F7836D5" w14:textId="77777777" w:rsidR="003C36FB" w:rsidRDefault="003C36FB">
      <w:pPr>
        <w:spacing w:line="360" w:lineRule="auto"/>
        <w:jc w:val="both"/>
        <w:rPr>
          <w:rtl/>
        </w:rPr>
      </w:pPr>
    </w:p>
    <w:p w14:paraId="71DC87C8" w14:textId="77777777" w:rsidR="003C36FB" w:rsidRDefault="00090FFD">
      <w:pPr>
        <w:spacing w:line="360" w:lineRule="auto"/>
        <w:jc w:val="both"/>
        <w:rPr>
          <w:rtl/>
        </w:rPr>
      </w:pPr>
      <w:r>
        <w:rPr>
          <w:rFonts w:hint="cs"/>
          <w:rtl/>
        </w:rPr>
        <w:t>במסגרת ההסדר הסכימו הצדדים על חילוטו של רכוש שנתפס ברכב. לעניין הרכב עצמו החלטתי ביום 11.2.14 כי לנוכח אי-בהירות לעניין טוענים אפשריים לזכויות ברכב, תוגש בקשה נפרדת אליה יצורף כמשיב כל טוען אפשרי לזכות.</w:t>
      </w:r>
    </w:p>
    <w:p w14:paraId="3451EDFB" w14:textId="77777777" w:rsidR="003C36FB" w:rsidRDefault="003C36FB">
      <w:pPr>
        <w:spacing w:line="360" w:lineRule="auto"/>
        <w:jc w:val="both"/>
        <w:rPr>
          <w:rtl/>
        </w:rPr>
      </w:pPr>
    </w:p>
    <w:p w14:paraId="4623866F" w14:textId="77777777" w:rsidR="003C36FB" w:rsidRDefault="00090FFD">
      <w:pPr>
        <w:spacing w:line="360" w:lineRule="auto"/>
        <w:jc w:val="both"/>
        <w:rPr>
          <w:rtl/>
        </w:rPr>
      </w:pPr>
      <w:r>
        <w:rPr>
          <w:rFonts w:hint="cs"/>
          <w:rtl/>
        </w:rPr>
        <w:t xml:space="preserve">התביעה מבקשת להורות על חילוטם של שני מכשירי טלפון סלולארי וסכום של 3,800 ₪ שנתפסו בחזקת הנאשם. ההגנה מתנגדת לכך, אולם לא הביאה כל ראיה שבכוחה לסתור את החזקה הקבועה </w:t>
      </w:r>
      <w:hyperlink r:id="rId38" w:history="1">
        <w:r w:rsidR="00BA1618" w:rsidRPr="00BA1618">
          <w:rPr>
            <w:color w:val="0000FF"/>
            <w:u w:val="single"/>
            <w:rtl/>
          </w:rPr>
          <w:t>בסעיף 31(6)</w:t>
        </w:r>
      </w:hyperlink>
      <w:r>
        <w:rPr>
          <w:rFonts w:hint="cs"/>
          <w:rtl/>
        </w:rPr>
        <w:t xml:space="preserve"> ל</w:t>
      </w:r>
      <w:hyperlink r:id="rId39" w:history="1">
        <w:r w:rsidRPr="00090FFD">
          <w:rPr>
            <w:color w:val="0000FF"/>
            <w:u w:val="single"/>
            <w:rtl/>
          </w:rPr>
          <w:t>פקודת הסמים המסוכנים</w:t>
        </w:r>
      </w:hyperlink>
      <w:r>
        <w:rPr>
          <w:rFonts w:hint="cs"/>
          <w:rtl/>
        </w:rPr>
        <w:t>, לפיה כל רכוש שנתפס בחזקתו של סוחר סמים (בחריגים שאינם מענייננו) הושג בעבירת סמים. לפיכך אין מנוס מחילוט כמבוקש.</w:t>
      </w:r>
    </w:p>
    <w:p w14:paraId="5BE91867" w14:textId="77777777" w:rsidR="003C36FB" w:rsidRDefault="003C36FB">
      <w:pPr>
        <w:spacing w:line="360" w:lineRule="auto"/>
        <w:jc w:val="both"/>
        <w:rPr>
          <w:rtl/>
        </w:rPr>
      </w:pPr>
    </w:p>
    <w:p w14:paraId="185A1D95" w14:textId="77777777" w:rsidR="003C36FB" w:rsidRDefault="00090FFD">
      <w:pPr>
        <w:spacing w:line="360" w:lineRule="auto"/>
        <w:jc w:val="both"/>
        <w:rPr>
          <w:rtl/>
        </w:rPr>
      </w:pPr>
      <w:r>
        <w:rPr>
          <w:rFonts w:hint="cs"/>
          <w:rtl/>
        </w:rPr>
        <w:t>לנוכח עונש המאסר ואמצעיו המוגבלים של הנאשם, יהא הקנס מתון ביותר.</w:t>
      </w:r>
    </w:p>
    <w:p w14:paraId="542DA1C3" w14:textId="77777777" w:rsidR="003C36FB" w:rsidRDefault="003C36FB">
      <w:pPr>
        <w:spacing w:line="360" w:lineRule="auto"/>
        <w:jc w:val="both"/>
        <w:rPr>
          <w:rtl/>
        </w:rPr>
      </w:pPr>
    </w:p>
    <w:p w14:paraId="75A39E5D" w14:textId="77777777" w:rsidR="003C36FB" w:rsidRDefault="00090FFD">
      <w:pPr>
        <w:spacing w:line="360" w:lineRule="auto"/>
        <w:jc w:val="both"/>
        <w:rPr>
          <w:b/>
          <w:bCs/>
          <w:u w:val="single"/>
          <w:rtl/>
        </w:rPr>
      </w:pPr>
      <w:r>
        <w:rPr>
          <w:rFonts w:hint="cs"/>
          <w:b/>
          <w:bCs/>
          <w:u w:val="single"/>
          <w:rtl/>
        </w:rPr>
        <w:t>סוף דבר, אני גוזר על הנאשם את העונשים הבאים:</w:t>
      </w:r>
    </w:p>
    <w:p w14:paraId="20FF3E8A" w14:textId="77777777" w:rsidR="003C36FB" w:rsidRDefault="003C36FB">
      <w:pPr>
        <w:spacing w:line="360" w:lineRule="auto"/>
        <w:ind w:left="720" w:hanging="720"/>
        <w:jc w:val="both"/>
        <w:rPr>
          <w:rtl/>
        </w:rPr>
      </w:pPr>
    </w:p>
    <w:p w14:paraId="7B0EE535" w14:textId="77777777" w:rsidR="003C36FB" w:rsidRDefault="00090FFD">
      <w:pPr>
        <w:spacing w:line="360" w:lineRule="auto"/>
        <w:ind w:left="720" w:hanging="720"/>
        <w:jc w:val="both"/>
        <w:rPr>
          <w:rtl/>
        </w:rPr>
      </w:pPr>
      <w:r>
        <w:rPr>
          <w:rFonts w:hint="cs"/>
          <w:rtl/>
        </w:rPr>
        <w:t>א.</w:t>
      </w:r>
      <w:r>
        <w:rPr>
          <w:rFonts w:hint="cs"/>
          <w:rtl/>
        </w:rPr>
        <w:tab/>
        <w:t>עשרים חודשי מאסר, בניכוי ימי מעצרו 21.1.13 עד 12.3.13 (ואפילו יראו רישומי שב"ס אחרת);</w:t>
      </w:r>
    </w:p>
    <w:p w14:paraId="057C217C" w14:textId="77777777" w:rsidR="003C36FB" w:rsidRDefault="00090FFD">
      <w:pPr>
        <w:spacing w:line="360" w:lineRule="auto"/>
        <w:ind w:left="720" w:hanging="720"/>
        <w:jc w:val="both"/>
        <w:rPr>
          <w:rtl/>
        </w:rPr>
      </w:pPr>
      <w:r>
        <w:rPr>
          <w:rFonts w:hint="cs"/>
          <w:rtl/>
        </w:rPr>
        <w:t>ב.</w:t>
      </w:r>
      <w:r>
        <w:rPr>
          <w:rFonts w:hint="cs"/>
          <w:rtl/>
        </w:rPr>
        <w:tab/>
        <w:t>מאסר על תנאי בן שמונה חודשים למשך שנתיים מיום שחרורו, שלא יעבור עבירת סמים שהנה פשע;</w:t>
      </w:r>
    </w:p>
    <w:p w14:paraId="061D5603" w14:textId="77777777" w:rsidR="003C36FB" w:rsidRDefault="00090FFD">
      <w:pPr>
        <w:spacing w:line="360" w:lineRule="auto"/>
        <w:ind w:left="720" w:hanging="720"/>
        <w:jc w:val="both"/>
        <w:rPr>
          <w:rtl/>
        </w:rPr>
      </w:pPr>
      <w:r>
        <w:rPr>
          <w:rFonts w:hint="cs"/>
          <w:rtl/>
        </w:rPr>
        <w:t>ג.</w:t>
      </w:r>
      <w:r>
        <w:rPr>
          <w:rFonts w:hint="cs"/>
          <w:rtl/>
        </w:rPr>
        <w:tab/>
        <w:t>מאסר על תנאי בן ארבעה חודשים למשך שנתיים מיום שחרורו, שלא יעבור עבירת סמים שהנה עוון, או עבירה של הפרעה לשוטר במילוי תפקידו, או עבירה של נהיגה בשכרות, או עבירה של נהיגה תחת השפעת משקה משכר או סמים;</w:t>
      </w:r>
    </w:p>
    <w:p w14:paraId="2E795AE7" w14:textId="77777777" w:rsidR="003C36FB" w:rsidRDefault="00090FFD">
      <w:pPr>
        <w:spacing w:line="360" w:lineRule="auto"/>
        <w:ind w:left="720" w:hanging="720"/>
        <w:jc w:val="both"/>
        <w:rPr>
          <w:rtl/>
        </w:rPr>
      </w:pPr>
      <w:r>
        <w:rPr>
          <w:rFonts w:hint="cs"/>
          <w:rtl/>
        </w:rPr>
        <w:t>ד.</w:t>
      </w:r>
      <w:r>
        <w:rPr>
          <w:rFonts w:hint="cs"/>
          <w:rtl/>
        </w:rPr>
        <w:tab/>
        <w:t>פסילה מלקבל רישיון נהיגה או לנהוג, למשך שנתיים מיום שחרורו;</w:t>
      </w:r>
    </w:p>
    <w:p w14:paraId="00A11109" w14:textId="77777777" w:rsidR="003C36FB" w:rsidRDefault="00090FFD">
      <w:pPr>
        <w:spacing w:line="360" w:lineRule="auto"/>
        <w:ind w:left="720" w:hanging="720"/>
        <w:jc w:val="both"/>
        <w:rPr>
          <w:rtl/>
        </w:rPr>
      </w:pPr>
      <w:r>
        <w:rPr>
          <w:rFonts w:hint="cs"/>
          <w:rtl/>
        </w:rPr>
        <w:t>ה.</w:t>
      </w:r>
      <w:r>
        <w:rPr>
          <w:rFonts w:hint="cs"/>
          <w:rtl/>
        </w:rPr>
        <w:tab/>
        <w:t xml:space="preserve">פסילה על תנאי בת שנה מלקבל רישיון נהיגה או לנהוג, למשך שלוש שנים מיום שחרורו; </w:t>
      </w:r>
    </w:p>
    <w:p w14:paraId="3E1733D4" w14:textId="77777777" w:rsidR="003C36FB" w:rsidRDefault="00090FFD">
      <w:pPr>
        <w:spacing w:line="360" w:lineRule="auto"/>
        <w:ind w:left="720" w:hanging="720"/>
        <w:jc w:val="both"/>
        <w:rPr>
          <w:rtl/>
        </w:rPr>
      </w:pPr>
      <w:r>
        <w:rPr>
          <w:rFonts w:hint="cs"/>
          <w:rtl/>
        </w:rPr>
        <w:t>ו.</w:t>
      </w:r>
      <w:r>
        <w:rPr>
          <w:rFonts w:hint="cs"/>
          <w:rtl/>
        </w:rPr>
        <w:tab/>
        <w:t xml:space="preserve">קנס בסך 2,000 ₪ או שני חודשי מאסר נוספים תמורתו. הקנס ישולם בארבעה תשלומים חודשיים שווים ורצופים שהראשון שבהם עד ליום 1.5.14, כשמחדל או עיכוב באחד התשלומים יעמיד מלוא הסך לפירעון מידי. הקנס יועבר לקרן החילוט לפי </w:t>
      </w:r>
      <w:hyperlink r:id="rId40" w:history="1">
        <w:r w:rsidR="00BA1618" w:rsidRPr="00BA1618">
          <w:rPr>
            <w:color w:val="0000FF"/>
            <w:u w:val="single"/>
            <w:rtl/>
          </w:rPr>
          <w:t>סעיף 36י</w:t>
        </w:r>
      </w:hyperlink>
      <w:r>
        <w:rPr>
          <w:rFonts w:hint="cs"/>
          <w:rtl/>
        </w:rPr>
        <w:t xml:space="preserve"> ל</w:t>
      </w:r>
      <w:hyperlink r:id="rId41" w:history="1">
        <w:r w:rsidRPr="00090FFD">
          <w:rPr>
            <w:color w:val="0000FF"/>
            <w:u w:val="single"/>
            <w:rtl/>
          </w:rPr>
          <w:t>פקודת הסמים המסוכנים</w:t>
        </w:r>
      </w:hyperlink>
      <w:r>
        <w:rPr>
          <w:rFonts w:hint="cs"/>
          <w:rtl/>
        </w:rPr>
        <w:t>;</w:t>
      </w:r>
    </w:p>
    <w:p w14:paraId="1B2C1047" w14:textId="77777777" w:rsidR="003343B6" w:rsidRDefault="00090FFD">
      <w:pPr>
        <w:spacing w:line="360" w:lineRule="auto"/>
        <w:ind w:left="720" w:hanging="720"/>
        <w:jc w:val="both"/>
        <w:rPr>
          <w:rFonts w:hint="cs"/>
          <w:rtl/>
        </w:rPr>
      </w:pPr>
      <w:r>
        <w:rPr>
          <w:rFonts w:hint="cs"/>
          <w:rtl/>
        </w:rPr>
        <w:t>ז.</w:t>
      </w:r>
      <w:r>
        <w:rPr>
          <w:rFonts w:hint="cs"/>
          <w:rtl/>
        </w:rPr>
        <w:tab/>
        <w:t xml:space="preserve">אני מורה על חילוט סך של 3,800 ₪ לזכות קרן החילוט לפי </w:t>
      </w:r>
      <w:hyperlink r:id="rId42" w:history="1">
        <w:r w:rsidR="00BA1618" w:rsidRPr="00BA1618">
          <w:rPr>
            <w:color w:val="0000FF"/>
            <w:u w:val="single"/>
            <w:rtl/>
          </w:rPr>
          <w:t>סעיף 36ח</w:t>
        </w:r>
      </w:hyperlink>
      <w:r>
        <w:rPr>
          <w:rFonts w:hint="cs"/>
          <w:rtl/>
        </w:rPr>
        <w:t xml:space="preserve"> ל</w:t>
      </w:r>
      <w:hyperlink r:id="rId43" w:history="1">
        <w:r w:rsidRPr="00090FFD">
          <w:rPr>
            <w:color w:val="0000FF"/>
            <w:u w:val="single"/>
            <w:rtl/>
          </w:rPr>
          <w:t>פקודת הסמים המסוכנים</w:t>
        </w:r>
      </w:hyperlink>
      <w:r>
        <w:rPr>
          <w:rFonts w:hint="cs"/>
          <w:rtl/>
        </w:rPr>
        <w:t>. שני מכשירי טלפון סלולארי, טבעת, שרשרת וצמיד יחולטו;</w:t>
      </w:r>
    </w:p>
    <w:p w14:paraId="047944F2" w14:textId="77777777" w:rsidR="003C36FB" w:rsidRDefault="003C36FB">
      <w:pPr>
        <w:spacing w:line="360" w:lineRule="auto"/>
        <w:ind w:left="720" w:hanging="720"/>
        <w:jc w:val="both"/>
      </w:pPr>
    </w:p>
    <w:p w14:paraId="3B56A087" w14:textId="77777777" w:rsidR="003C36FB" w:rsidRDefault="00090FFD">
      <w:pPr>
        <w:spacing w:line="360" w:lineRule="auto"/>
        <w:ind w:left="720" w:hanging="720"/>
        <w:jc w:val="both"/>
        <w:rPr>
          <w:rtl/>
        </w:rPr>
      </w:pPr>
      <w:r>
        <w:rPr>
          <w:rFonts w:hint="cs"/>
          <w:b/>
          <w:bCs/>
          <w:u w:val="single"/>
          <w:rtl/>
        </w:rPr>
        <w:t>הוראות נלוות:</w:t>
      </w:r>
    </w:p>
    <w:p w14:paraId="05591FC2" w14:textId="77777777" w:rsidR="003C36FB" w:rsidRDefault="00090FFD">
      <w:pPr>
        <w:spacing w:line="360" w:lineRule="auto"/>
        <w:ind w:left="720" w:hanging="720"/>
        <w:jc w:val="both"/>
        <w:rPr>
          <w:rtl/>
        </w:rPr>
      </w:pPr>
      <w:r>
        <w:rPr>
          <w:rFonts w:hint="cs"/>
          <w:rtl/>
        </w:rPr>
        <w:t>א.</w:t>
      </w:r>
      <w:r>
        <w:rPr>
          <w:rFonts w:hint="cs"/>
          <w:rtl/>
        </w:rPr>
        <w:tab/>
        <w:t xml:space="preserve">סמים ושוקר חשמלי </w:t>
      </w:r>
      <w:r>
        <w:rPr>
          <w:rtl/>
        </w:rPr>
        <w:t>–</w:t>
      </w:r>
      <w:r>
        <w:rPr>
          <w:rFonts w:hint="cs"/>
          <w:rtl/>
        </w:rPr>
        <w:t xml:space="preserve"> יושמדו;</w:t>
      </w:r>
    </w:p>
    <w:p w14:paraId="4723F83E" w14:textId="77777777" w:rsidR="003C36FB" w:rsidRDefault="00090FFD">
      <w:pPr>
        <w:spacing w:line="360" w:lineRule="auto"/>
        <w:ind w:left="720" w:hanging="720"/>
        <w:jc w:val="both"/>
        <w:rPr>
          <w:rtl/>
        </w:rPr>
      </w:pPr>
      <w:r>
        <w:rPr>
          <w:rFonts w:hint="cs"/>
          <w:rtl/>
        </w:rPr>
        <w:t>ב.</w:t>
      </w:r>
      <w:r>
        <w:rPr>
          <w:rFonts w:hint="cs"/>
          <w:rtl/>
        </w:rPr>
        <w:tab/>
        <w:t>על התביעה להגיש בקשתה לעניין הרכב כאמור לעיל תוך חודש מהיום, לאחר בירור וזיהוי כל טוען לזכות;</w:t>
      </w:r>
    </w:p>
    <w:p w14:paraId="49F74727" w14:textId="77777777" w:rsidR="003C36FB" w:rsidRDefault="00090FFD">
      <w:pPr>
        <w:spacing w:line="360" w:lineRule="auto"/>
        <w:ind w:left="720" w:hanging="720"/>
        <w:jc w:val="both"/>
        <w:rPr>
          <w:rtl/>
        </w:rPr>
      </w:pPr>
      <w:r>
        <w:rPr>
          <w:rFonts w:hint="cs"/>
          <w:rtl/>
        </w:rPr>
        <w:t>ג.</w:t>
      </w:r>
      <w:r>
        <w:rPr>
          <w:rFonts w:hint="cs"/>
          <w:rtl/>
        </w:rPr>
        <w:tab/>
        <w:t>עותק גזר הדין יישלח לשירות המבחן;</w:t>
      </w:r>
    </w:p>
    <w:p w14:paraId="2E717AD6" w14:textId="77777777" w:rsidR="003C36FB" w:rsidRDefault="003C36FB">
      <w:pPr>
        <w:spacing w:line="360" w:lineRule="auto"/>
        <w:jc w:val="both"/>
        <w:rPr>
          <w:rtl/>
        </w:rPr>
      </w:pPr>
    </w:p>
    <w:p w14:paraId="52822B26" w14:textId="77777777" w:rsidR="003C36FB" w:rsidRDefault="00090FFD">
      <w:pPr>
        <w:spacing w:line="360" w:lineRule="auto"/>
        <w:jc w:val="both"/>
        <w:rPr>
          <w:rtl/>
        </w:rPr>
      </w:pPr>
      <w:r>
        <w:rPr>
          <w:rFonts w:hint="cs"/>
          <w:rtl/>
        </w:rPr>
        <w:t>זכות ערעור תוך 45 יום.</w:t>
      </w:r>
    </w:p>
    <w:p w14:paraId="66BE2E9D" w14:textId="77777777" w:rsidR="003C36FB" w:rsidRPr="00090FFD" w:rsidRDefault="00090FFD">
      <w:pPr>
        <w:spacing w:line="360" w:lineRule="auto"/>
        <w:jc w:val="both"/>
        <w:rPr>
          <w:color w:val="FFFFFF"/>
          <w:sz w:val="2"/>
          <w:szCs w:val="2"/>
          <w:rtl/>
        </w:rPr>
      </w:pPr>
      <w:r w:rsidRPr="00090FFD">
        <w:rPr>
          <w:color w:val="FFFFFF"/>
          <w:sz w:val="2"/>
          <w:szCs w:val="2"/>
          <w:rtl/>
        </w:rPr>
        <w:t>5129371</w:t>
      </w:r>
    </w:p>
    <w:p w14:paraId="290F26C3" w14:textId="77777777" w:rsidR="003C36FB" w:rsidRDefault="00090FFD">
      <w:pPr>
        <w:rPr>
          <w:rtl/>
        </w:rPr>
      </w:pPr>
      <w:r w:rsidRPr="00090FFD">
        <w:rPr>
          <w:rFonts w:ascii="Arial" w:hAnsi="Arial"/>
          <w:color w:val="FFFFFF"/>
          <w:sz w:val="2"/>
          <w:szCs w:val="2"/>
          <w:rtl/>
        </w:rPr>
        <w:t>54678313</w:t>
      </w:r>
      <w:r>
        <w:rPr>
          <w:rFonts w:ascii="Arial" w:hAnsi="Arial"/>
          <w:rtl/>
        </w:rPr>
        <w:t xml:space="preserve">ניתן היום,  י' אדר ב תשע"ד, 12 מרץ 2014, בהעדר הצדדים. </w:t>
      </w:r>
    </w:p>
    <w:p w14:paraId="454EC5A1" w14:textId="77777777" w:rsidR="003C36FB" w:rsidRDefault="00090FF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A009391" w14:textId="77777777" w:rsidR="003C36FB" w:rsidRDefault="003C36FB">
      <w:pPr>
        <w:jc w:val="center"/>
        <w:rPr>
          <w:rFonts w:ascii="Arial" w:hAnsi="Arial"/>
          <w:rtl/>
        </w:rPr>
      </w:pPr>
    </w:p>
    <w:p w14:paraId="032A18F7" w14:textId="77777777" w:rsidR="003C36FB" w:rsidRDefault="003C36FB">
      <w:pPr>
        <w:rPr>
          <w:rtl/>
        </w:rPr>
      </w:pPr>
    </w:p>
    <w:p w14:paraId="010C75CE" w14:textId="77777777" w:rsidR="003C36FB" w:rsidRDefault="003C36FB">
      <w:pPr>
        <w:pStyle w:val="a3"/>
        <w:jc w:val="center"/>
        <w:rPr>
          <w:rtl/>
        </w:rPr>
      </w:pPr>
    </w:p>
    <w:p w14:paraId="56100A8C" w14:textId="77777777" w:rsidR="00090FFD" w:rsidRPr="00090FFD" w:rsidRDefault="00090FFD" w:rsidP="00090FFD">
      <w:pPr>
        <w:keepNext/>
        <w:rPr>
          <w:rFonts w:ascii="David" w:hAnsi="David"/>
          <w:color w:val="000000"/>
          <w:sz w:val="22"/>
          <w:szCs w:val="22"/>
          <w:rtl/>
        </w:rPr>
      </w:pPr>
    </w:p>
    <w:p w14:paraId="40717BDD" w14:textId="77777777" w:rsidR="00090FFD" w:rsidRPr="00090FFD" w:rsidRDefault="00090FFD" w:rsidP="00090FFD">
      <w:pPr>
        <w:keepNext/>
        <w:rPr>
          <w:rFonts w:ascii="David" w:hAnsi="David"/>
          <w:color w:val="000000"/>
          <w:sz w:val="22"/>
          <w:szCs w:val="22"/>
          <w:rtl/>
        </w:rPr>
      </w:pPr>
      <w:r w:rsidRPr="00090FFD">
        <w:rPr>
          <w:rFonts w:ascii="David" w:hAnsi="David"/>
          <w:color w:val="000000"/>
          <w:sz w:val="22"/>
          <w:szCs w:val="22"/>
          <w:rtl/>
        </w:rPr>
        <w:t>עידו דרויאן 54678313</w:t>
      </w:r>
    </w:p>
    <w:p w14:paraId="5CA9A04E" w14:textId="77777777" w:rsidR="00090FFD" w:rsidRDefault="00090FFD" w:rsidP="00090FFD">
      <w:r w:rsidRPr="00090FFD">
        <w:rPr>
          <w:color w:val="000000"/>
          <w:rtl/>
        </w:rPr>
        <w:t>נוסח מסמך זה כפוף לשינויי ניסוח ועריכה</w:t>
      </w:r>
    </w:p>
    <w:p w14:paraId="7277B410" w14:textId="77777777" w:rsidR="00090FFD" w:rsidRDefault="00090FFD" w:rsidP="00090FFD">
      <w:pPr>
        <w:rPr>
          <w:rtl/>
        </w:rPr>
      </w:pPr>
    </w:p>
    <w:p w14:paraId="7543C0F2" w14:textId="77777777" w:rsidR="00090FFD" w:rsidRDefault="00090FFD" w:rsidP="00090FFD">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434DFCEC" w14:textId="77777777" w:rsidR="003C36FB" w:rsidRPr="00090FFD" w:rsidRDefault="003C36FB" w:rsidP="00090FFD">
      <w:pPr>
        <w:jc w:val="center"/>
        <w:rPr>
          <w:color w:val="0000FF"/>
          <w:u w:val="single"/>
        </w:rPr>
      </w:pPr>
    </w:p>
    <w:sectPr w:rsidR="003C36FB" w:rsidRPr="00090FFD" w:rsidSect="00090FFD">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FE0341" w14:textId="77777777" w:rsidR="0039017C" w:rsidRPr="00B94531" w:rsidRDefault="0039017C">
      <w:pPr>
        <w:rPr>
          <w:rFonts w:cs="Arial"/>
          <w:szCs w:val="20"/>
        </w:rPr>
      </w:pPr>
      <w:r>
        <w:separator/>
      </w:r>
    </w:p>
  </w:endnote>
  <w:endnote w:type="continuationSeparator" w:id="0">
    <w:p w14:paraId="4E3C2B9F" w14:textId="77777777" w:rsidR="0039017C" w:rsidRPr="00B94531" w:rsidRDefault="0039017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C7468" w14:textId="77777777" w:rsidR="00090FFD" w:rsidRDefault="00090FFD" w:rsidP="00090FF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A5A78F2" w14:textId="77777777" w:rsidR="003C36FB" w:rsidRPr="00090FFD" w:rsidRDefault="00090FFD" w:rsidP="00090FFD">
    <w:pPr>
      <w:pStyle w:val="a4"/>
      <w:pBdr>
        <w:top w:val="single" w:sz="4" w:space="1" w:color="auto"/>
        <w:between w:val="single" w:sz="4" w:space="0" w:color="auto"/>
      </w:pBdr>
      <w:spacing w:after="60"/>
      <w:jc w:val="center"/>
      <w:rPr>
        <w:rFonts w:ascii="FrankRuehl" w:hAnsi="FrankRuehl" w:cs="FrankRuehl"/>
        <w:color w:val="000000"/>
      </w:rPr>
    </w:pPr>
    <w:r w:rsidRPr="00090FF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496A3" w14:textId="77777777" w:rsidR="00090FFD" w:rsidRDefault="00090FFD" w:rsidP="00090FF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B3C82">
      <w:rPr>
        <w:rFonts w:ascii="FrankRuehl" w:hAnsi="FrankRuehl" w:cs="FrankRuehl"/>
        <w:noProof/>
        <w:rtl/>
      </w:rPr>
      <w:t>1</w:t>
    </w:r>
    <w:r>
      <w:rPr>
        <w:rFonts w:ascii="FrankRuehl" w:hAnsi="FrankRuehl" w:cs="FrankRuehl"/>
        <w:rtl/>
      </w:rPr>
      <w:fldChar w:fldCharType="end"/>
    </w:r>
  </w:p>
  <w:p w14:paraId="4733CD85" w14:textId="77777777" w:rsidR="003C36FB" w:rsidRPr="00090FFD" w:rsidRDefault="00090FFD" w:rsidP="00090FFD">
    <w:pPr>
      <w:pStyle w:val="a4"/>
      <w:pBdr>
        <w:top w:val="single" w:sz="4" w:space="1" w:color="auto"/>
        <w:between w:val="single" w:sz="4" w:space="0" w:color="auto"/>
      </w:pBdr>
      <w:spacing w:after="60"/>
      <w:jc w:val="center"/>
      <w:rPr>
        <w:rFonts w:ascii="FrankRuehl" w:hAnsi="FrankRuehl" w:cs="FrankRuehl"/>
        <w:color w:val="000000"/>
      </w:rPr>
    </w:pPr>
    <w:r w:rsidRPr="00090FFD">
      <w:rPr>
        <w:rFonts w:ascii="FrankRuehl" w:hAnsi="FrankRuehl" w:cs="FrankRuehl"/>
        <w:color w:val="000000"/>
      </w:rPr>
      <w:pict w14:anchorId="335C6B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1D18CC" w14:textId="77777777" w:rsidR="0039017C" w:rsidRPr="00B94531" w:rsidRDefault="0039017C">
      <w:pPr>
        <w:rPr>
          <w:rFonts w:cs="Arial"/>
          <w:szCs w:val="20"/>
        </w:rPr>
      </w:pPr>
      <w:r>
        <w:separator/>
      </w:r>
    </w:p>
  </w:footnote>
  <w:footnote w:type="continuationSeparator" w:id="0">
    <w:p w14:paraId="606949F8" w14:textId="77777777" w:rsidR="0039017C" w:rsidRPr="00B94531" w:rsidRDefault="0039017C">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5E107" w14:textId="77777777" w:rsidR="00090FFD" w:rsidRPr="00090FFD" w:rsidRDefault="00090FFD" w:rsidP="00090FF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52587-01-13</w:t>
    </w:r>
    <w:r>
      <w:rPr>
        <w:rFonts w:ascii="David" w:hAnsi="David"/>
        <w:color w:val="000000"/>
        <w:sz w:val="22"/>
        <w:szCs w:val="22"/>
        <w:rtl/>
      </w:rPr>
      <w:tab/>
      <w:t xml:space="preserve"> מדינת ישראל נ' מחמוד מוסה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3BD73" w14:textId="77777777" w:rsidR="00090FFD" w:rsidRPr="00090FFD" w:rsidRDefault="00090FFD" w:rsidP="00090FF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52587-01-13</w:t>
    </w:r>
    <w:r>
      <w:rPr>
        <w:rFonts w:ascii="David" w:hAnsi="David"/>
        <w:color w:val="000000"/>
        <w:sz w:val="22"/>
        <w:szCs w:val="22"/>
        <w:rtl/>
      </w:rPr>
      <w:tab/>
      <w:t xml:space="preserve"> מדינת ישראל נ' מחמוד מוסה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C36FB"/>
    <w:rsid w:val="00090FFD"/>
    <w:rsid w:val="003343B6"/>
    <w:rsid w:val="0039017C"/>
    <w:rsid w:val="003C36FB"/>
    <w:rsid w:val="004B3C82"/>
    <w:rsid w:val="005105C7"/>
    <w:rsid w:val="00A148B9"/>
    <w:rsid w:val="00BA16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FAA1344"/>
  <w15:chartTrackingRefBased/>
  <w15:docId w15:val="{6D971996-C689-4202-89F9-0AF2F1D8D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C36FB"/>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C36FB"/>
    <w:pPr>
      <w:tabs>
        <w:tab w:val="center" w:pos="4153"/>
        <w:tab w:val="right" w:pos="8306"/>
      </w:tabs>
    </w:pPr>
  </w:style>
  <w:style w:type="paragraph" w:styleId="a4">
    <w:name w:val="footer"/>
    <w:basedOn w:val="a"/>
    <w:rsid w:val="003C36FB"/>
    <w:pPr>
      <w:tabs>
        <w:tab w:val="center" w:pos="4153"/>
        <w:tab w:val="right" w:pos="8306"/>
      </w:tabs>
    </w:pPr>
  </w:style>
  <w:style w:type="character" w:styleId="a5">
    <w:name w:val="page number"/>
    <w:basedOn w:val="a0"/>
    <w:rsid w:val="003C36FB"/>
  </w:style>
  <w:style w:type="character" w:styleId="Hyperlink">
    <w:name w:val="Hyperlink"/>
    <w:basedOn w:val="a0"/>
    <w:rsid w:val="00090F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6h" TargetMode="External"/><Relationship Id="rId18" Type="http://schemas.openxmlformats.org/officeDocument/2006/relationships/hyperlink" Target="http://www.nevo.co.il/law/5227" TargetMode="External"/><Relationship Id="rId26" Type="http://schemas.openxmlformats.org/officeDocument/2006/relationships/hyperlink" Target="http://www.nevo.co.il/law/70301/275" TargetMode="External"/><Relationship Id="rId39" Type="http://schemas.openxmlformats.org/officeDocument/2006/relationships/hyperlink" Target="http://www.nevo.co.il/law/4216" TargetMode="External"/><Relationship Id="rId21" Type="http://schemas.openxmlformats.org/officeDocument/2006/relationships/hyperlink" Target="http://www.nevo.co.il/law/4216/13" TargetMode="External"/><Relationship Id="rId34" Type="http://schemas.openxmlformats.org/officeDocument/2006/relationships/hyperlink" Target="http://www.nevo.co.il/links/psika/?link=&#1512;&#1506;&#1508;%206439/06" TargetMode="External"/><Relationship Id="rId42" Type="http://schemas.openxmlformats.org/officeDocument/2006/relationships/hyperlink" Target="http://www.nevo.co.il/law/4216/36h"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70301/275" TargetMode="External"/><Relationship Id="rId29" Type="http://schemas.openxmlformats.org/officeDocument/2006/relationships/hyperlink" Target="http://www.nevo.co.il/law/5227" TargetMode="External"/><Relationship Id="rId11" Type="http://schemas.openxmlformats.org/officeDocument/2006/relationships/hyperlink" Target="http://www.nevo.co.il/law/4216/31.6" TargetMode="External"/><Relationship Id="rId24" Type="http://schemas.openxmlformats.org/officeDocument/2006/relationships/hyperlink" Target="http://www.nevo.co.il/law/4216/7.a" TargetMode="External"/><Relationship Id="rId32" Type="http://schemas.openxmlformats.org/officeDocument/2006/relationships/hyperlink" Target="http://www.nevo.co.il/law/70301/40jc.b" TargetMode="External"/><Relationship Id="rId37" Type="http://schemas.openxmlformats.org/officeDocument/2006/relationships/hyperlink" Target="http://www.nevo.co.il/law/70301" TargetMode="External"/><Relationship Id="rId40" Type="http://schemas.openxmlformats.org/officeDocument/2006/relationships/hyperlink" Target="http://www.nevo.co.il/law/4216/36j" TargetMode="External"/><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4216" TargetMode="External"/><Relationship Id="rId28" Type="http://schemas.openxmlformats.org/officeDocument/2006/relationships/hyperlink" Target="http://www.nevo.co.il/law/5227/62.3" TargetMode="External"/><Relationship Id="rId36" Type="http://schemas.openxmlformats.org/officeDocument/2006/relationships/hyperlink" Target="http://www.nevo.co.il/law/5227" TargetMode="External"/><Relationship Id="rId49" Type="http://schemas.openxmlformats.org/officeDocument/2006/relationships/fontTable" Target="fontTable.xml"/><Relationship Id="rId10" Type="http://schemas.openxmlformats.org/officeDocument/2006/relationships/hyperlink" Target="http://www.nevo.co.il/law/4216/19a" TargetMode="External"/><Relationship Id="rId19" Type="http://schemas.openxmlformats.org/officeDocument/2006/relationships/hyperlink" Target="http://www.nevo.co.il/law/5227/39a" TargetMode="External"/><Relationship Id="rId31" Type="http://schemas.openxmlformats.org/officeDocument/2006/relationships/hyperlink" Target="http://www.nevo.co.il/law/4216" TargetMode="External"/><Relationship Id="rId44"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law/4216/36j" TargetMode="External"/><Relationship Id="rId22" Type="http://schemas.openxmlformats.org/officeDocument/2006/relationships/hyperlink" Target="http://www.nevo.co.il/law/4216/19a" TargetMode="External"/><Relationship Id="rId27" Type="http://schemas.openxmlformats.org/officeDocument/2006/relationships/hyperlink" Target="http://www.nevo.co.il/law/70301" TargetMode="External"/><Relationship Id="rId30" Type="http://schemas.openxmlformats.org/officeDocument/2006/relationships/hyperlink" Target="http://www.nevo.co.il/law/4216/36a.b" TargetMode="External"/><Relationship Id="rId35" Type="http://schemas.openxmlformats.org/officeDocument/2006/relationships/hyperlink" Target="http://www.nevo.co.il/law/5227/39a" TargetMode="External"/><Relationship Id="rId43" Type="http://schemas.openxmlformats.org/officeDocument/2006/relationships/hyperlink" Target="http://www.nevo.co.il/law/4216" TargetMode="External"/><Relationship Id="rId48" Type="http://schemas.openxmlformats.org/officeDocument/2006/relationships/footer" Target="footer2.xml"/><Relationship Id="rId8" Type="http://schemas.openxmlformats.org/officeDocument/2006/relationships/hyperlink" Target="http://www.nevo.co.il/law/4216/7.c" TargetMode="External"/><Relationship Id="rId3" Type="http://schemas.openxmlformats.org/officeDocument/2006/relationships/webSettings" Target="webSettings.xml"/><Relationship Id="rId12" Type="http://schemas.openxmlformats.org/officeDocument/2006/relationships/hyperlink" Target="http://www.nevo.co.il/law/4216/36a.b" TargetMode="External"/><Relationship Id="rId17" Type="http://schemas.openxmlformats.org/officeDocument/2006/relationships/hyperlink" Target="http://www.nevo.co.il/law/70301/40jc.b" TargetMode="External"/><Relationship Id="rId25" Type="http://schemas.openxmlformats.org/officeDocument/2006/relationships/hyperlink" Target="http://www.nevo.co.il/law/4216/7.c" TargetMode="External"/><Relationship Id="rId33" Type="http://schemas.openxmlformats.org/officeDocument/2006/relationships/hyperlink" Target="http://www.nevo.co.il/law/70301" TargetMode="External"/><Relationship Id="rId38" Type="http://schemas.openxmlformats.org/officeDocument/2006/relationships/hyperlink" Target="http://www.nevo.co.il/law/4216/31.6" TargetMode="External"/><Relationship Id="rId46" Type="http://schemas.openxmlformats.org/officeDocument/2006/relationships/header" Target="header2.xml"/><Relationship Id="rId20" Type="http://schemas.openxmlformats.org/officeDocument/2006/relationships/hyperlink" Target="http://www.nevo.co.il/law/5227/62.3" TargetMode="External"/><Relationship Id="rId41" Type="http://schemas.openxmlformats.org/officeDocument/2006/relationships/hyperlink" Target="http://www.nevo.co.il/law/4216" TargetMode="External"/><Relationship Id="rId1" Type="http://schemas.openxmlformats.org/officeDocument/2006/relationships/styles" Target="styles.xml"/><Relationship Id="rId6"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1781</Words>
  <Characters>8906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10666</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8257637</vt:i4>
      </vt:variant>
      <vt:variant>
        <vt:i4>111</vt:i4>
      </vt:variant>
      <vt:variant>
        <vt:i4>0</vt:i4>
      </vt:variant>
      <vt:variant>
        <vt:i4>5</vt:i4>
      </vt:variant>
      <vt:variant>
        <vt:lpwstr>http://www.nevo.co.il/law/4216</vt:lpwstr>
      </vt:variant>
      <vt:variant>
        <vt:lpwstr/>
      </vt:variant>
      <vt:variant>
        <vt:i4>2424956</vt:i4>
      </vt:variant>
      <vt:variant>
        <vt:i4>108</vt:i4>
      </vt:variant>
      <vt:variant>
        <vt:i4>0</vt:i4>
      </vt:variant>
      <vt:variant>
        <vt:i4>5</vt:i4>
      </vt:variant>
      <vt:variant>
        <vt:lpwstr>http://www.nevo.co.il/law/4216/36h</vt:lpwstr>
      </vt:variant>
      <vt:variant>
        <vt:lpwstr/>
      </vt:variant>
      <vt:variant>
        <vt:i4>8257637</vt:i4>
      </vt:variant>
      <vt:variant>
        <vt:i4>105</vt:i4>
      </vt:variant>
      <vt:variant>
        <vt:i4>0</vt:i4>
      </vt:variant>
      <vt:variant>
        <vt:i4>5</vt:i4>
      </vt:variant>
      <vt:variant>
        <vt:lpwstr>http://www.nevo.co.il/law/4216</vt:lpwstr>
      </vt:variant>
      <vt:variant>
        <vt:lpwstr/>
      </vt:variant>
      <vt:variant>
        <vt:i4>2556028</vt:i4>
      </vt:variant>
      <vt:variant>
        <vt:i4>102</vt:i4>
      </vt:variant>
      <vt:variant>
        <vt:i4>0</vt:i4>
      </vt:variant>
      <vt:variant>
        <vt:i4>5</vt:i4>
      </vt:variant>
      <vt:variant>
        <vt:lpwstr>http://www.nevo.co.il/law/4216/36j</vt:lpwstr>
      </vt:variant>
      <vt:variant>
        <vt:lpwstr/>
      </vt:variant>
      <vt:variant>
        <vt:i4>8257637</vt:i4>
      </vt:variant>
      <vt:variant>
        <vt:i4>99</vt:i4>
      </vt:variant>
      <vt:variant>
        <vt:i4>0</vt:i4>
      </vt:variant>
      <vt:variant>
        <vt:i4>5</vt:i4>
      </vt:variant>
      <vt:variant>
        <vt:lpwstr>http://www.nevo.co.il/law/4216</vt:lpwstr>
      </vt:variant>
      <vt:variant>
        <vt:lpwstr/>
      </vt:variant>
      <vt:variant>
        <vt:i4>6488187</vt:i4>
      </vt:variant>
      <vt:variant>
        <vt:i4>96</vt:i4>
      </vt:variant>
      <vt:variant>
        <vt:i4>0</vt:i4>
      </vt:variant>
      <vt:variant>
        <vt:i4>5</vt:i4>
      </vt:variant>
      <vt:variant>
        <vt:lpwstr>http://www.nevo.co.il/law/4216/31.6</vt:lpwstr>
      </vt:variant>
      <vt:variant>
        <vt:lpwstr/>
      </vt:variant>
      <vt:variant>
        <vt:i4>7995492</vt:i4>
      </vt:variant>
      <vt:variant>
        <vt:i4>93</vt:i4>
      </vt:variant>
      <vt:variant>
        <vt:i4>0</vt:i4>
      </vt:variant>
      <vt:variant>
        <vt:i4>5</vt:i4>
      </vt:variant>
      <vt:variant>
        <vt:lpwstr>http://www.nevo.co.il/law/70301</vt:lpwstr>
      </vt:variant>
      <vt:variant>
        <vt:lpwstr/>
      </vt:variant>
      <vt:variant>
        <vt:i4>8323175</vt:i4>
      </vt:variant>
      <vt:variant>
        <vt:i4>90</vt:i4>
      </vt:variant>
      <vt:variant>
        <vt:i4>0</vt:i4>
      </vt:variant>
      <vt:variant>
        <vt:i4>5</vt:i4>
      </vt:variant>
      <vt:variant>
        <vt:lpwstr>http://www.nevo.co.il/law/5227</vt:lpwstr>
      </vt:variant>
      <vt:variant>
        <vt:lpwstr/>
      </vt:variant>
      <vt:variant>
        <vt:i4>2949233</vt:i4>
      </vt:variant>
      <vt:variant>
        <vt:i4>87</vt:i4>
      </vt:variant>
      <vt:variant>
        <vt:i4>0</vt:i4>
      </vt:variant>
      <vt:variant>
        <vt:i4>5</vt:i4>
      </vt:variant>
      <vt:variant>
        <vt:lpwstr>http://www.nevo.co.il/law/5227/39a</vt:lpwstr>
      </vt:variant>
      <vt:variant>
        <vt:lpwstr/>
      </vt:variant>
      <vt:variant>
        <vt:i4>99483753</vt:i4>
      </vt:variant>
      <vt:variant>
        <vt:i4>84</vt:i4>
      </vt:variant>
      <vt:variant>
        <vt:i4>0</vt:i4>
      </vt:variant>
      <vt:variant>
        <vt:i4>5</vt:i4>
      </vt:variant>
      <vt:variant>
        <vt:lpwstr>http://www.nevo.co.il/links/psika/?link=רעפ 6439/06</vt:lpwstr>
      </vt:variant>
      <vt:variant>
        <vt:lpwstr/>
      </vt:variant>
      <vt:variant>
        <vt:i4>7995492</vt:i4>
      </vt:variant>
      <vt:variant>
        <vt:i4>81</vt:i4>
      </vt:variant>
      <vt:variant>
        <vt:i4>0</vt:i4>
      </vt:variant>
      <vt:variant>
        <vt:i4>5</vt:i4>
      </vt:variant>
      <vt:variant>
        <vt:lpwstr>http://www.nevo.co.il/law/70301</vt:lpwstr>
      </vt:variant>
      <vt:variant>
        <vt:lpwstr/>
      </vt:variant>
      <vt:variant>
        <vt:i4>6553637</vt:i4>
      </vt:variant>
      <vt:variant>
        <vt:i4>78</vt:i4>
      </vt:variant>
      <vt:variant>
        <vt:i4>0</vt:i4>
      </vt:variant>
      <vt:variant>
        <vt:i4>5</vt:i4>
      </vt:variant>
      <vt:variant>
        <vt:lpwstr>http://www.nevo.co.il/law/70301/40jc.b</vt:lpwstr>
      </vt:variant>
      <vt:variant>
        <vt:lpwstr/>
      </vt:variant>
      <vt:variant>
        <vt:i4>8257637</vt:i4>
      </vt:variant>
      <vt:variant>
        <vt:i4>75</vt:i4>
      </vt:variant>
      <vt:variant>
        <vt:i4>0</vt:i4>
      </vt:variant>
      <vt:variant>
        <vt:i4>5</vt:i4>
      </vt:variant>
      <vt:variant>
        <vt:lpwstr>http://www.nevo.co.il/law/4216</vt:lpwstr>
      </vt:variant>
      <vt:variant>
        <vt:lpwstr/>
      </vt:variant>
      <vt:variant>
        <vt:i4>5111890</vt:i4>
      </vt:variant>
      <vt:variant>
        <vt:i4>72</vt:i4>
      </vt:variant>
      <vt:variant>
        <vt:i4>0</vt:i4>
      </vt:variant>
      <vt:variant>
        <vt:i4>5</vt:i4>
      </vt:variant>
      <vt:variant>
        <vt:lpwstr>http://www.nevo.co.il/law/4216/36a.b</vt:lpwstr>
      </vt:variant>
      <vt:variant>
        <vt:lpwstr/>
      </vt:variant>
      <vt:variant>
        <vt:i4>8323175</vt:i4>
      </vt:variant>
      <vt:variant>
        <vt:i4>69</vt:i4>
      </vt:variant>
      <vt:variant>
        <vt:i4>0</vt:i4>
      </vt:variant>
      <vt:variant>
        <vt:i4>5</vt:i4>
      </vt:variant>
      <vt:variant>
        <vt:lpwstr>http://www.nevo.co.il/law/5227</vt:lpwstr>
      </vt:variant>
      <vt:variant>
        <vt:lpwstr/>
      </vt:variant>
      <vt:variant>
        <vt:i4>6750330</vt:i4>
      </vt:variant>
      <vt:variant>
        <vt:i4>66</vt:i4>
      </vt:variant>
      <vt:variant>
        <vt:i4>0</vt:i4>
      </vt:variant>
      <vt:variant>
        <vt:i4>5</vt:i4>
      </vt:variant>
      <vt:variant>
        <vt:lpwstr>http://www.nevo.co.il/law/5227/62.3</vt:lpwstr>
      </vt:variant>
      <vt:variant>
        <vt:lpwstr/>
      </vt:variant>
      <vt:variant>
        <vt:i4>7995492</vt:i4>
      </vt:variant>
      <vt:variant>
        <vt:i4>63</vt:i4>
      </vt:variant>
      <vt:variant>
        <vt:i4>0</vt:i4>
      </vt:variant>
      <vt:variant>
        <vt:i4>5</vt:i4>
      </vt:variant>
      <vt:variant>
        <vt:lpwstr>http://www.nevo.co.il/law/70301</vt:lpwstr>
      </vt:variant>
      <vt:variant>
        <vt:lpwstr/>
      </vt:variant>
      <vt:variant>
        <vt:i4>6422631</vt:i4>
      </vt:variant>
      <vt:variant>
        <vt:i4>60</vt:i4>
      </vt:variant>
      <vt:variant>
        <vt:i4>0</vt:i4>
      </vt:variant>
      <vt:variant>
        <vt:i4>5</vt:i4>
      </vt:variant>
      <vt:variant>
        <vt:lpwstr>http://www.nevo.co.il/law/70301/275</vt:lpwstr>
      </vt:variant>
      <vt:variant>
        <vt:lpwstr/>
      </vt:variant>
      <vt:variant>
        <vt:i4>2752612</vt:i4>
      </vt:variant>
      <vt:variant>
        <vt:i4>57</vt:i4>
      </vt:variant>
      <vt:variant>
        <vt:i4>0</vt:i4>
      </vt:variant>
      <vt:variant>
        <vt:i4>5</vt:i4>
      </vt:variant>
      <vt:variant>
        <vt:lpwstr>http://www.nevo.co.il/law/4216/7.c</vt:lpwstr>
      </vt:variant>
      <vt:variant>
        <vt:lpwstr/>
      </vt:variant>
      <vt:variant>
        <vt:i4>2621540</vt:i4>
      </vt:variant>
      <vt:variant>
        <vt:i4>54</vt:i4>
      </vt:variant>
      <vt:variant>
        <vt:i4>0</vt:i4>
      </vt:variant>
      <vt:variant>
        <vt:i4>5</vt:i4>
      </vt:variant>
      <vt:variant>
        <vt:lpwstr>http://www.nevo.co.il/law/4216/7.a</vt:lpwstr>
      </vt:variant>
      <vt:variant>
        <vt:lpwstr/>
      </vt:variant>
      <vt:variant>
        <vt:i4>8257637</vt:i4>
      </vt:variant>
      <vt:variant>
        <vt:i4>51</vt:i4>
      </vt:variant>
      <vt:variant>
        <vt:i4>0</vt:i4>
      </vt:variant>
      <vt:variant>
        <vt:i4>5</vt:i4>
      </vt:variant>
      <vt:variant>
        <vt:lpwstr>http://www.nevo.co.il/law/4216</vt:lpwstr>
      </vt:variant>
      <vt:variant>
        <vt:lpwstr/>
      </vt:variant>
      <vt:variant>
        <vt:i4>3014771</vt:i4>
      </vt:variant>
      <vt:variant>
        <vt:i4>48</vt:i4>
      </vt:variant>
      <vt:variant>
        <vt:i4>0</vt:i4>
      </vt:variant>
      <vt:variant>
        <vt:i4>5</vt:i4>
      </vt:variant>
      <vt:variant>
        <vt:lpwstr>http://www.nevo.co.il/law/4216/19a</vt:lpwstr>
      </vt:variant>
      <vt:variant>
        <vt:lpwstr/>
      </vt:variant>
      <vt:variant>
        <vt:i4>5177418</vt:i4>
      </vt:variant>
      <vt:variant>
        <vt:i4>45</vt:i4>
      </vt:variant>
      <vt:variant>
        <vt:i4>0</vt:i4>
      </vt:variant>
      <vt:variant>
        <vt:i4>5</vt:i4>
      </vt:variant>
      <vt:variant>
        <vt:lpwstr>http://www.nevo.co.il/law/4216/13</vt:lpwstr>
      </vt:variant>
      <vt:variant>
        <vt:lpwstr/>
      </vt:variant>
      <vt:variant>
        <vt:i4>6750330</vt:i4>
      </vt:variant>
      <vt:variant>
        <vt:i4>42</vt:i4>
      </vt:variant>
      <vt:variant>
        <vt:i4>0</vt:i4>
      </vt:variant>
      <vt:variant>
        <vt:i4>5</vt:i4>
      </vt:variant>
      <vt:variant>
        <vt:lpwstr>http://www.nevo.co.il/law/5227/62.3</vt:lpwstr>
      </vt:variant>
      <vt:variant>
        <vt:lpwstr/>
      </vt:variant>
      <vt:variant>
        <vt:i4>2949233</vt:i4>
      </vt:variant>
      <vt:variant>
        <vt:i4>39</vt:i4>
      </vt:variant>
      <vt:variant>
        <vt:i4>0</vt:i4>
      </vt:variant>
      <vt:variant>
        <vt:i4>5</vt:i4>
      </vt:variant>
      <vt:variant>
        <vt:lpwstr>http://www.nevo.co.il/law/5227/39a</vt:lpwstr>
      </vt:variant>
      <vt:variant>
        <vt:lpwstr/>
      </vt:variant>
      <vt:variant>
        <vt:i4>8323175</vt:i4>
      </vt:variant>
      <vt:variant>
        <vt:i4>36</vt:i4>
      </vt:variant>
      <vt:variant>
        <vt:i4>0</vt:i4>
      </vt:variant>
      <vt:variant>
        <vt:i4>5</vt:i4>
      </vt:variant>
      <vt:variant>
        <vt:lpwstr>http://www.nevo.co.il/law/5227</vt:lpwstr>
      </vt:variant>
      <vt:variant>
        <vt:lpwstr/>
      </vt:variant>
      <vt:variant>
        <vt:i4>6553637</vt:i4>
      </vt:variant>
      <vt:variant>
        <vt:i4>33</vt:i4>
      </vt:variant>
      <vt:variant>
        <vt:i4>0</vt:i4>
      </vt:variant>
      <vt:variant>
        <vt:i4>5</vt:i4>
      </vt:variant>
      <vt:variant>
        <vt:lpwstr>http://www.nevo.co.il/law/70301/40jc.b</vt:lpwstr>
      </vt:variant>
      <vt:variant>
        <vt:lpwstr/>
      </vt:variant>
      <vt:variant>
        <vt:i4>6422631</vt:i4>
      </vt:variant>
      <vt:variant>
        <vt:i4>30</vt:i4>
      </vt:variant>
      <vt:variant>
        <vt:i4>0</vt:i4>
      </vt:variant>
      <vt:variant>
        <vt:i4>5</vt:i4>
      </vt:variant>
      <vt:variant>
        <vt:lpwstr>http://www.nevo.co.il/law/70301/275</vt:lpwstr>
      </vt:variant>
      <vt:variant>
        <vt:lpwstr/>
      </vt:variant>
      <vt:variant>
        <vt:i4>7995492</vt:i4>
      </vt:variant>
      <vt:variant>
        <vt:i4>27</vt:i4>
      </vt:variant>
      <vt:variant>
        <vt:i4>0</vt:i4>
      </vt:variant>
      <vt:variant>
        <vt:i4>5</vt:i4>
      </vt:variant>
      <vt:variant>
        <vt:lpwstr>http://www.nevo.co.il/law/70301</vt:lpwstr>
      </vt:variant>
      <vt:variant>
        <vt:lpwstr/>
      </vt:variant>
      <vt:variant>
        <vt:i4>2556028</vt:i4>
      </vt:variant>
      <vt:variant>
        <vt:i4>24</vt:i4>
      </vt:variant>
      <vt:variant>
        <vt:i4>0</vt:i4>
      </vt:variant>
      <vt:variant>
        <vt:i4>5</vt:i4>
      </vt:variant>
      <vt:variant>
        <vt:lpwstr>http://www.nevo.co.il/law/4216/36j</vt:lpwstr>
      </vt:variant>
      <vt:variant>
        <vt:lpwstr/>
      </vt:variant>
      <vt:variant>
        <vt:i4>2424956</vt:i4>
      </vt:variant>
      <vt:variant>
        <vt:i4>21</vt:i4>
      </vt:variant>
      <vt:variant>
        <vt:i4>0</vt:i4>
      </vt:variant>
      <vt:variant>
        <vt:i4>5</vt:i4>
      </vt:variant>
      <vt:variant>
        <vt:lpwstr>http://www.nevo.co.il/law/4216/36h</vt:lpwstr>
      </vt:variant>
      <vt:variant>
        <vt:lpwstr/>
      </vt:variant>
      <vt:variant>
        <vt:i4>5111890</vt:i4>
      </vt:variant>
      <vt:variant>
        <vt:i4>18</vt:i4>
      </vt:variant>
      <vt:variant>
        <vt:i4>0</vt:i4>
      </vt:variant>
      <vt:variant>
        <vt:i4>5</vt:i4>
      </vt:variant>
      <vt:variant>
        <vt:lpwstr>http://www.nevo.co.il/law/4216/36a.b</vt:lpwstr>
      </vt:variant>
      <vt:variant>
        <vt:lpwstr/>
      </vt:variant>
      <vt:variant>
        <vt:i4>6488187</vt:i4>
      </vt:variant>
      <vt:variant>
        <vt:i4>15</vt:i4>
      </vt:variant>
      <vt:variant>
        <vt:i4>0</vt:i4>
      </vt:variant>
      <vt:variant>
        <vt:i4>5</vt:i4>
      </vt:variant>
      <vt:variant>
        <vt:lpwstr>http://www.nevo.co.il/law/4216/31.6</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2025-04-22T21:55:00Z</dcterms:created>
  <dcterms:modified xsi:type="dcterms:W3CDTF">2025-04-22T21:55:00Z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52587</vt:lpwstr>
  </property>
  <property fmtid="{D5CDD505-2E9C-101B-9397-08002B2CF9AE}" pid="6" name="NEWPARTB">
    <vt:lpwstr>01</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מחמוד מוסה</vt:lpwstr>
  </property>
  <property fmtid="{D5CDD505-2E9C-101B-9397-08002B2CF9AE}" pid="10" name="LAWYER">
    <vt:lpwstr>קוטנר;מסארווה וסוקר</vt:lpwstr>
  </property>
  <property fmtid="{D5CDD505-2E9C-101B-9397-08002B2CF9AE}" pid="11" name="JUDGE">
    <vt:lpwstr>עידו דרויאן</vt:lpwstr>
  </property>
  <property fmtid="{D5CDD505-2E9C-101B-9397-08002B2CF9AE}" pid="12" name="CITY">
    <vt:lpwstr>ת"א</vt:lpwstr>
  </property>
  <property fmtid="{D5CDD505-2E9C-101B-9397-08002B2CF9AE}" pid="13" name="DATE">
    <vt:lpwstr>20140312</vt:lpwstr>
  </property>
  <property fmtid="{D5CDD505-2E9C-101B-9397-08002B2CF9AE}" pid="14" name="TYPE_N_DATE">
    <vt:lpwstr>38020140312</vt:lpwstr>
  </property>
  <property fmtid="{D5CDD505-2E9C-101B-9397-08002B2CF9AE}" pid="15" name="WORDNUMPAGES">
    <vt:lpwstr>6</vt:lpwstr>
  </property>
  <property fmtid="{D5CDD505-2E9C-101B-9397-08002B2CF9AE}" pid="16" name="TYPE_ABS_DATE">
    <vt:lpwstr>380020140312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4216/013, 019a, 007.a, 007.c, 036a.b, 031.6, 036j, 036h</vt:lpwstr>
  </property>
  <property fmtid="{D5CDD505-2E9C-101B-9397-08002B2CF9AE}" pid="36" name="LAWLISTTMP2">
    <vt:lpwstr>70301/275, 40jc.b</vt:lpwstr>
  </property>
  <property fmtid="{D5CDD505-2E9C-101B-9397-08002B2CF9AE}" pid="37" name="LAWLISTTMP3">
    <vt:lpwstr>5227/062.3, 039a</vt:lpwstr>
  </property>
</Properties>
</file>