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D6535" w:rsidRPr="007216B8" w14:paraId="34727AC7" w14:textId="77777777">
        <w:trPr>
          <w:trHeight w:hRule="exact" w:val="418"/>
          <w:jc w:val="center"/>
        </w:trPr>
        <w:tc>
          <w:tcPr>
            <w:tcW w:w="8721" w:type="dxa"/>
            <w:gridSpan w:val="2"/>
          </w:tcPr>
          <w:p w14:paraId="41BE1683" w14:textId="77777777" w:rsidR="001D6535" w:rsidRPr="007216B8" w:rsidRDefault="007216B8">
            <w:pPr>
              <w:pStyle w:val="a3"/>
              <w:jc w:val="center"/>
              <w:rPr>
                <w:rFonts w:ascii="Tahoma" w:hAnsi="Tahoma" w:cs="Tahoma"/>
                <w:color w:val="000080"/>
                <w:rtl/>
              </w:rPr>
            </w:pPr>
            <w:bookmarkStart w:id="0" w:name="LastJudge"/>
            <w:r w:rsidRPr="007216B8">
              <w:rPr>
                <w:rFonts w:ascii="Tahoma" w:hAnsi="Tahoma" w:cs="Tahoma"/>
                <w:b/>
                <w:bCs/>
                <w:color w:val="000080"/>
                <w:rtl/>
              </w:rPr>
              <w:t>בית משפט השלום ברחובות</w:t>
            </w:r>
          </w:p>
        </w:tc>
      </w:tr>
      <w:tr w:rsidR="001D6535" w:rsidRPr="007216B8" w14:paraId="2CB3D825" w14:textId="77777777">
        <w:trPr>
          <w:trHeight w:val="337"/>
          <w:jc w:val="center"/>
        </w:trPr>
        <w:tc>
          <w:tcPr>
            <w:tcW w:w="5054" w:type="dxa"/>
          </w:tcPr>
          <w:p w14:paraId="26DD004F" w14:textId="77777777" w:rsidR="001D6535" w:rsidRPr="007216B8" w:rsidRDefault="007216B8">
            <w:pPr>
              <w:rPr>
                <w:rFonts w:cs="FrankRuehl"/>
                <w:sz w:val="28"/>
                <w:szCs w:val="28"/>
                <w:rtl/>
              </w:rPr>
            </w:pPr>
            <w:r w:rsidRPr="007216B8">
              <w:rPr>
                <w:rFonts w:cs="FrankRuehl"/>
                <w:sz w:val="28"/>
                <w:szCs w:val="28"/>
                <w:rtl/>
              </w:rPr>
              <w:t>ת"פ</w:t>
            </w:r>
            <w:r w:rsidRPr="007216B8">
              <w:rPr>
                <w:rFonts w:cs="FrankRuehl" w:hint="cs"/>
                <w:sz w:val="28"/>
                <w:szCs w:val="28"/>
                <w:rtl/>
              </w:rPr>
              <w:t xml:space="preserve"> </w:t>
            </w:r>
            <w:r w:rsidRPr="007216B8">
              <w:rPr>
                <w:rFonts w:cs="FrankRuehl"/>
                <w:sz w:val="28"/>
                <w:szCs w:val="28"/>
                <w:rtl/>
              </w:rPr>
              <w:t>20615-02-13</w:t>
            </w:r>
            <w:r w:rsidRPr="007216B8">
              <w:rPr>
                <w:rFonts w:cs="FrankRuehl" w:hint="cs"/>
                <w:sz w:val="28"/>
                <w:szCs w:val="28"/>
                <w:rtl/>
              </w:rPr>
              <w:t xml:space="preserve"> </w:t>
            </w:r>
            <w:r w:rsidRPr="007216B8">
              <w:rPr>
                <w:rFonts w:cs="FrankRuehl"/>
                <w:sz w:val="28"/>
                <w:szCs w:val="28"/>
                <w:rtl/>
              </w:rPr>
              <w:t>מדינת ישראל נ' לרמן</w:t>
            </w:r>
          </w:p>
          <w:p w14:paraId="07618C47" w14:textId="77777777" w:rsidR="001D6535" w:rsidRPr="007216B8" w:rsidRDefault="001D6535">
            <w:pPr>
              <w:pStyle w:val="a3"/>
              <w:rPr>
                <w:rFonts w:cs="FrankRuehl"/>
                <w:sz w:val="28"/>
                <w:szCs w:val="28"/>
                <w:rtl/>
              </w:rPr>
            </w:pPr>
          </w:p>
        </w:tc>
        <w:tc>
          <w:tcPr>
            <w:tcW w:w="3667" w:type="dxa"/>
          </w:tcPr>
          <w:p w14:paraId="444F2E66" w14:textId="77777777" w:rsidR="001D6535" w:rsidRPr="007216B8" w:rsidRDefault="001D6535">
            <w:pPr>
              <w:pStyle w:val="a3"/>
              <w:jc w:val="right"/>
              <w:rPr>
                <w:rFonts w:cs="FrankRuehl"/>
                <w:sz w:val="28"/>
                <w:szCs w:val="28"/>
                <w:rtl/>
              </w:rPr>
            </w:pPr>
          </w:p>
        </w:tc>
      </w:tr>
    </w:tbl>
    <w:p w14:paraId="0A77DC29" w14:textId="77777777" w:rsidR="001D6535" w:rsidRPr="007216B8" w:rsidRDefault="007216B8">
      <w:pPr>
        <w:pStyle w:val="a3"/>
        <w:rPr>
          <w:rtl/>
        </w:rPr>
      </w:pPr>
      <w:r w:rsidRPr="007216B8">
        <w:rPr>
          <w:rFonts w:hint="cs"/>
          <w:rtl/>
        </w:rPr>
        <w:t xml:space="preserve"> </w:t>
      </w:r>
    </w:p>
    <w:p w14:paraId="3345C6C5" w14:textId="77777777" w:rsidR="001D6535" w:rsidRPr="007216B8" w:rsidRDefault="001D6535">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D6535" w:rsidRPr="007216B8" w14:paraId="3582E1F6" w14:textId="77777777">
        <w:trPr>
          <w:trHeight w:val="295"/>
          <w:jc w:val="center"/>
        </w:trPr>
        <w:tc>
          <w:tcPr>
            <w:tcW w:w="923" w:type="dxa"/>
            <w:tcBorders>
              <w:top w:val="nil"/>
              <w:left w:val="nil"/>
              <w:bottom w:val="nil"/>
              <w:right w:val="nil"/>
            </w:tcBorders>
          </w:tcPr>
          <w:p w14:paraId="16E73E0C" w14:textId="77777777" w:rsidR="001D6535" w:rsidRPr="007216B8" w:rsidRDefault="007216B8">
            <w:pPr>
              <w:spacing w:line="360" w:lineRule="auto"/>
              <w:jc w:val="both"/>
              <w:rPr>
                <w:rFonts w:ascii="Arial" w:hAnsi="Arial" w:cs="FrankRuehl"/>
                <w:b/>
                <w:bCs/>
                <w:sz w:val="28"/>
                <w:szCs w:val="28"/>
              </w:rPr>
            </w:pPr>
            <w:r w:rsidRPr="007216B8">
              <w:rPr>
                <w:rFonts w:ascii="Arial" w:hAnsi="Arial" w:cs="FrankRuehl" w:hint="cs"/>
                <w:b/>
                <w:bCs/>
                <w:sz w:val="28"/>
                <w:szCs w:val="28"/>
                <w:rtl/>
              </w:rPr>
              <w:t>ב</w:t>
            </w:r>
            <w:r w:rsidRPr="007216B8">
              <w:rPr>
                <w:rFonts w:ascii="Arial" w:hAnsi="Arial" w:cs="FrankRuehl"/>
                <w:b/>
                <w:bCs/>
                <w:sz w:val="28"/>
                <w:szCs w:val="28"/>
                <w:rtl/>
              </w:rPr>
              <w:t xml:space="preserve">פני </w:t>
            </w:r>
          </w:p>
        </w:tc>
        <w:tc>
          <w:tcPr>
            <w:tcW w:w="7897" w:type="dxa"/>
            <w:gridSpan w:val="2"/>
            <w:tcBorders>
              <w:top w:val="nil"/>
              <w:left w:val="nil"/>
              <w:bottom w:val="nil"/>
              <w:right w:val="nil"/>
            </w:tcBorders>
          </w:tcPr>
          <w:p w14:paraId="40441AF7" w14:textId="77777777" w:rsidR="001D6535" w:rsidRPr="007216B8" w:rsidRDefault="007216B8">
            <w:pPr>
              <w:spacing w:line="360" w:lineRule="auto"/>
              <w:rPr>
                <w:rFonts w:ascii="Arial" w:hAnsi="Arial"/>
                <w:b/>
                <w:bCs/>
                <w:rtl/>
              </w:rPr>
            </w:pPr>
            <w:r w:rsidRPr="007216B8">
              <w:rPr>
                <w:rFonts w:ascii="Arial" w:hAnsi="Arial" w:hint="cs"/>
                <w:b/>
                <w:bCs/>
                <w:rtl/>
              </w:rPr>
              <w:t>כב' ה</w:t>
            </w:r>
            <w:r w:rsidRPr="007216B8">
              <w:rPr>
                <w:rFonts w:hint="cs"/>
                <w:b/>
                <w:bCs/>
                <w:rtl/>
              </w:rPr>
              <w:t>סגנית נשיאה</w:t>
            </w:r>
            <w:r w:rsidRPr="007216B8">
              <w:rPr>
                <w:rFonts w:ascii="Arial" w:hAnsi="Arial" w:hint="cs"/>
                <w:b/>
                <w:bCs/>
                <w:rtl/>
              </w:rPr>
              <w:t xml:space="preserve">  </w:t>
            </w:r>
            <w:r w:rsidRPr="007216B8">
              <w:rPr>
                <w:rFonts w:hint="cs"/>
                <w:b/>
                <w:bCs/>
                <w:rtl/>
              </w:rPr>
              <w:t>עינת רון</w:t>
            </w:r>
          </w:p>
          <w:p w14:paraId="0FCB4FF3" w14:textId="77777777" w:rsidR="001D6535" w:rsidRPr="007216B8" w:rsidRDefault="001D6535">
            <w:pPr>
              <w:spacing w:line="360" w:lineRule="auto"/>
              <w:rPr>
                <w:b/>
                <w:bCs/>
                <w:rtl/>
              </w:rPr>
            </w:pPr>
          </w:p>
          <w:p w14:paraId="05C6C511" w14:textId="77777777" w:rsidR="001D6535" w:rsidRPr="007216B8" w:rsidRDefault="001D6535">
            <w:pPr>
              <w:spacing w:line="360" w:lineRule="auto"/>
              <w:jc w:val="both"/>
              <w:rPr>
                <w:rFonts w:ascii="Arial" w:hAnsi="Arial" w:cs="FrankRuehl"/>
                <w:b/>
                <w:bCs/>
                <w:sz w:val="28"/>
                <w:szCs w:val="28"/>
              </w:rPr>
            </w:pPr>
          </w:p>
        </w:tc>
      </w:tr>
      <w:tr w:rsidR="001D6535" w:rsidRPr="007216B8" w14:paraId="7D962E46" w14:textId="77777777">
        <w:trPr>
          <w:trHeight w:val="355"/>
          <w:jc w:val="center"/>
        </w:trPr>
        <w:tc>
          <w:tcPr>
            <w:tcW w:w="923" w:type="dxa"/>
            <w:tcBorders>
              <w:top w:val="nil"/>
              <w:left w:val="nil"/>
              <w:bottom w:val="nil"/>
              <w:right w:val="nil"/>
            </w:tcBorders>
          </w:tcPr>
          <w:p w14:paraId="79236A76" w14:textId="77777777" w:rsidR="001D6535" w:rsidRPr="007216B8" w:rsidRDefault="007216B8">
            <w:pPr>
              <w:spacing w:line="360" w:lineRule="auto"/>
              <w:jc w:val="both"/>
              <w:rPr>
                <w:rFonts w:ascii="Arial" w:hAnsi="Arial" w:cs="FrankRuehl"/>
                <w:b/>
                <w:bCs/>
                <w:sz w:val="28"/>
                <w:szCs w:val="28"/>
              </w:rPr>
            </w:pPr>
            <w:bookmarkStart w:id="1" w:name="FirstAppellant"/>
            <w:r w:rsidRPr="007216B8">
              <w:rPr>
                <w:rFonts w:ascii="Arial" w:hAnsi="Arial" w:cs="FrankRuehl" w:hint="cs"/>
                <w:b/>
                <w:bCs/>
                <w:sz w:val="28"/>
                <w:szCs w:val="28"/>
                <w:rtl/>
              </w:rPr>
              <w:t>בעניין:</w:t>
            </w:r>
          </w:p>
        </w:tc>
        <w:tc>
          <w:tcPr>
            <w:tcW w:w="4126" w:type="dxa"/>
            <w:tcBorders>
              <w:top w:val="nil"/>
              <w:left w:val="nil"/>
              <w:bottom w:val="nil"/>
              <w:right w:val="nil"/>
            </w:tcBorders>
          </w:tcPr>
          <w:p w14:paraId="5EB837BD" w14:textId="77777777" w:rsidR="001D6535" w:rsidRPr="007216B8" w:rsidRDefault="007216B8">
            <w:pPr>
              <w:spacing w:line="360" w:lineRule="auto"/>
              <w:rPr>
                <w:b/>
                <w:bCs/>
              </w:rPr>
            </w:pPr>
            <w:r w:rsidRPr="007216B8">
              <w:rPr>
                <w:rFonts w:hint="cs"/>
                <w:b/>
                <w:bCs/>
                <w:rtl/>
              </w:rPr>
              <w:t>מדינת ישראל</w:t>
            </w:r>
          </w:p>
        </w:tc>
        <w:tc>
          <w:tcPr>
            <w:tcW w:w="3771" w:type="dxa"/>
            <w:tcBorders>
              <w:top w:val="nil"/>
              <w:left w:val="nil"/>
              <w:bottom w:val="nil"/>
              <w:right w:val="nil"/>
            </w:tcBorders>
          </w:tcPr>
          <w:p w14:paraId="5C3F25B3" w14:textId="77777777" w:rsidR="001D6535" w:rsidRPr="007216B8" w:rsidRDefault="001D6535">
            <w:pPr>
              <w:spacing w:line="360" w:lineRule="auto"/>
              <w:jc w:val="both"/>
              <w:rPr>
                <w:rFonts w:ascii="Arial" w:hAnsi="Arial" w:cs="FrankRuehl"/>
                <w:b/>
                <w:bCs/>
                <w:sz w:val="28"/>
                <w:szCs w:val="28"/>
              </w:rPr>
            </w:pPr>
          </w:p>
        </w:tc>
      </w:tr>
      <w:bookmarkEnd w:id="1"/>
      <w:tr w:rsidR="001D6535" w:rsidRPr="007216B8" w14:paraId="2285AAA5" w14:textId="77777777">
        <w:trPr>
          <w:trHeight w:val="355"/>
          <w:jc w:val="center"/>
        </w:trPr>
        <w:tc>
          <w:tcPr>
            <w:tcW w:w="923" w:type="dxa"/>
            <w:tcBorders>
              <w:top w:val="nil"/>
              <w:left w:val="nil"/>
              <w:bottom w:val="nil"/>
              <w:right w:val="nil"/>
            </w:tcBorders>
          </w:tcPr>
          <w:p w14:paraId="057A2300" w14:textId="77777777" w:rsidR="001D6535" w:rsidRPr="007216B8" w:rsidRDefault="001D6535">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399D7C4F" w14:textId="77777777" w:rsidR="001D6535" w:rsidRPr="007216B8" w:rsidRDefault="001D6535">
            <w:pPr>
              <w:spacing w:line="360" w:lineRule="auto"/>
              <w:jc w:val="both"/>
              <w:rPr>
                <w:b/>
                <w:bCs/>
                <w:rtl/>
              </w:rPr>
            </w:pPr>
          </w:p>
        </w:tc>
        <w:tc>
          <w:tcPr>
            <w:tcW w:w="3771" w:type="dxa"/>
            <w:tcBorders>
              <w:top w:val="nil"/>
              <w:left w:val="nil"/>
              <w:bottom w:val="nil"/>
              <w:right w:val="nil"/>
            </w:tcBorders>
          </w:tcPr>
          <w:p w14:paraId="69B6BD36" w14:textId="77777777" w:rsidR="001D6535" w:rsidRPr="007216B8" w:rsidRDefault="007216B8">
            <w:pPr>
              <w:spacing w:line="360" w:lineRule="auto"/>
              <w:jc w:val="right"/>
              <w:rPr>
                <w:rFonts w:ascii="Arial" w:hAnsi="Arial" w:cs="FrankRuehl"/>
                <w:b/>
                <w:bCs/>
                <w:sz w:val="28"/>
                <w:szCs w:val="28"/>
                <w:rtl/>
              </w:rPr>
            </w:pPr>
            <w:r w:rsidRPr="007216B8">
              <w:rPr>
                <w:rFonts w:ascii="Arial" w:hAnsi="Arial" w:cs="FrankRuehl" w:hint="cs"/>
                <w:b/>
                <w:bCs/>
                <w:sz w:val="28"/>
                <w:szCs w:val="28"/>
                <w:rtl/>
              </w:rPr>
              <w:t>ה</w:t>
            </w:r>
            <w:r w:rsidRPr="007216B8">
              <w:rPr>
                <w:rFonts w:hint="cs"/>
                <w:b/>
                <w:bCs/>
                <w:rtl/>
              </w:rPr>
              <w:t>מאשימה</w:t>
            </w:r>
          </w:p>
        </w:tc>
      </w:tr>
      <w:tr w:rsidR="001D6535" w:rsidRPr="007216B8" w14:paraId="258EBD01" w14:textId="77777777">
        <w:trPr>
          <w:trHeight w:val="355"/>
          <w:jc w:val="center"/>
        </w:trPr>
        <w:tc>
          <w:tcPr>
            <w:tcW w:w="923" w:type="dxa"/>
            <w:tcBorders>
              <w:top w:val="nil"/>
              <w:left w:val="nil"/>
              <w:bottom w:val="nil"/>
              <w:right w:val="nil"/>
            </w:tcBorders>
          </w:tcPr>
          <w:p w14:paraId="7CF0303D" w14:textId="77777777" w:rsidR="001D6535" w:rsidRPr="007216B8" w:rsidRDefault="001D6535">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25778C1F" w14:textId="77777777" w:rsidR="001D6535" w:rsidRPr="007216B8" w:rsidRDefault="001D6535">
            <w:pPr>
              <w:spacing w:line="360" w:lineRule="auto"/>
              <w:jc w:val="center"/>
              <w:rPr>
                <w:rFonts w:ascii="Arial" w:hAnsi="Arial" w:cs="FrankRuehl"/>
                <w:b/>
                <w:bCs/>
                <w:sz w:val="28"/>
                <w:szCs w:val="28"/>
                <w:rtl/>
              </w:rPr>
            </w:pPr>
          </w:p>
          <w:p w14:paraId="764753C1" w14:textId="77777777" w:rsidR="001D6535" w:rsidRPr="007216B8" w:rsidRDefault="007216B8">
            <w:pPr>
              <w:spacing w:line="360" w:lineRule="auto"/>
              <w:jc w:val="center"/>
              <w:rPr>
                <w:rFonts w:ascii="Arial" w:hAnsi="Arial" w:cs="FrankRuehl"/>
                <w:b/>
                <w:bCs/>
                <w:sz w:val="28"/>
                <w:szCs w:val="28"/>
                <w:rtl/>
              </w:rPr>
            </w:pPr>
            <w:r w:rsidRPr="007216B8">
              <w:rPr>
                <w:rFonts w:ascii="Arial" w:hAnsi="Arial" w:cs="FrankRuehl"/>
                <w:b/>
                <w:bCs/>
                <w:sz w:val="28"/>
                <w:szCs w:val="28"/>
                <w:rtl/>
              </w:rPr>
              <w:t>נגד</w:t>
            </w:r>
          </w:p>
          <w:p w14:paraId="296512CB" w14:textId="77777777" w:rsidR="001D6535" w:rsidRPr="007216B8" w:rsidRDefault="001D6535">
            <w:pPr>
              <w:spacing w:line="360" w:lineRule="auto"/>
              <w:jc w:val="both"/>
              <w:rPr>
                <w:rFonts w:ascii="Arial" w:hAnsi="Arial" w:cs="FrankRuehl"/>
                <w:b/>
                <w:bCs/>
                <w:sz w:val="28"/>
                <w:szCs w:val="28"/>
              </w:rPr>
            </w:pPr>
          </w:p>
        </w:tc>
      </w:tr>
      <w:tr w:rsidR="001D6535" w:rsidRPr="007216B8" w14:paraId="21635E85" w14:textId="77777777">
        <w:trPr>
          <w:trHeight w:val="355"/>
          <w:jc w:val="center"/>
        </w:trPr>
        <w:tc>
          <w:tcPr>
            <w:tcW w:w="923" w:type="dxa"/>
            <w:tcBorders>
              <w:top w:val="nil"/>
              <w:left w:val="nil"/>
              <w:bottom w:val="nil"/>
              <w:right w:val="nil"/>
            </w:tcBorders>
          </w:tcPr>
          <w:p w14:paraId="6FF59F3C" w14:textId="77777777" w:rsidR="001D6535" w:rsidRPr="007216B8" w:rsidRDefault="001D6535">
            <w:pPr>
              <w:spacing w:line="360" w:lineRule="auto"/>
              <w:rPr>
                <w:rFonts w:ascii="Arial" w:hAnsi="Arial" w:cs="FrankRuehl"/>
                <w:b/>
                <w:bCs/>
                <w:sz w:val="28"/>
                <w:szCs w:val="28"/>
                <w:rtl/>
              </w:rPr>
            </w:pPr>
          </w:p>
        </w:tc>
        <w:tc>
          <w:tcPr>
            <w:tcW w:w="4126" w:type="dxa"/>
            <w:tcBorders>
              <w:top w:val="nil"/>
              <w:left w:val="nil"/>
              <w:bottom w:val="nil"/>
              <w:right w:val="nil"/>
            </w:tcBorders>
          </w:tcPr>
          <w:p w14:paraId="3CEAB2C3" w14:textId="77777777" w:rsidR="001D6535" w:rsidRPr="007216B8" w:rsidRDefault="007216B8">
            <w:pPr>
              <w:spacing w:line="360" w:lineRule="auto"/>
              <w:rPr>
                <w:b/>
                <w:bCs/>
                <w:rtl/>
              </w:rPr>
            </w:pPr>
            <w:r w:rsidRPr="007216B8">
              <w:rPr>
                <w:rFonts w:hint="cs"/>
                <w:b/>
                <w:bCs/>
                <w:rtl/>
              </w:rPr>
              <w:t>גנדי לרמן</w:t>
            </w:r>
          </w:p>
        </w:tc>
        <w:tc>
          <w:tcPr>
            <w:tcW w:w="3771" w:type="dxa"/>
            <w:tcBorders>
              <w:top w:val="nil"/>
              <w:left w:val="nil"/>
              <w:bottom w:val="nil"/>
              <w:right w:val="nil"/>
            </w:tcBorders>
          </w:tcPr>
          <w:p w14:paraId="12D8C752" w14:textId="77777777" w:rsidR="001D6535" w:rsidRPr="007216B8" w:rsidRDefault="001D6535">
            <w:pPr>
              <w:spacing w:line="360" w:lineRule="auto"/>
              <w:jc w:val="right"/>
              <w:rPr>
                <w:rFonts w:ascii="Arial" w:hAnsi="Arial" w:cs="FrankRuehl"/>
                <w:b/>
                <w:bCs/>
                <w:sz w:val="28"/>
                <w:szCs w:val="28"/>
              </w:rPr>
            </w:pPr>
          </w:p>
        </w:tc>
      </w:tr>
      <w:tr w:rsidR="001D6535" w:rsidRPr="007216B8" w14:paraId="0F95468D" w14:textId="77777777">
        <w:trPr>
          <w:trHeight w:val="355"/>
          <w:jc w:val="center"/>
        </w:trPr>
        <w:tc>
          <w:tcPr>
            <w:tcW w:w="923" w:type="dxa"/>
            <w:tcBorders>
              <w:top w:val="nil"/>
              <w:left w:val="nil"/>
              <w:bottom w:val="nil"/>
              <w:right w:val="nil"/>
            </w:tcBorders>
          </w:tcPr>
          <w:p w14:paraId="7C2DE3F6" w14:textId="77777777" w:rsidR="001D6535" w:rsidRPr="007216B8" w:rsidRDefault="001D6535">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078F57CC" w14:textId="77777777" w:rsidR="001D6535" w:rsidRPr="007216B8" w:rsidRDefault="001D6535">
            <w:pPr>
              <w:spacing w:line="360" w:lineRule="auto"/>
              <w:jc w:val="both"/>
              <w:rPr>
                <w:b/>
                <w:bCs/>
                <w:rtl/>
              </w:rPr>
            </w:pPr>
          </w:p>
        </w:tc>
        <w:tc>
          <w:tcPr>
            <w:tcW w:w="3771" w:type="dxa"/>
            <w:tcBorders>
              <w:top w:val="nil"/>
              <w:left w:val="nil"/>
              <w:bottom w:val="nil"/>
              <w:right w:val="nil"/>
            </w:tcBorders>
          </w:tcPr>
          <w:p w14:paraId="2127D14D" w14:textId="77777777" w:rsidR="001D6535" w:rsidRPr="007216B8" w:rsidRDefault="007216B8">
            <w:pPr>
              <w:spacing w:line="360" w:lineRule="auto"/>
              <w:jc w:val="right"/>
              <w:rPr>
                <w:rFonts w:ascii="Arial" w:hAnsi="Arial" w:cs="FrankRuehl"/>
                <w:b/>
                <w:bCs/>
                <w:sz w:val="28"/>
                <w:szCs w:val="28"/>
              </w:rPr>
            </w:pPr>
            <w:r w:rsidRPr="007216B8">
              <w:rPr>
                <w:rFonts w:ascii="Arial" w:hAnsi="Arial" w:cs="FrankRuehl" w:hint="cs"/>
                <w:b/>
                <w:bCs/>
                <w:sz w:val="28"/>
                <w:szCs w:val="28"/>
                <w:rtl/>
              </w:rPr>
              <w:t>ה</w:t>
            </w:r>
            <w:r w:rsidRPr="007216B8">
              <w:rPr>
                <w:rFonts w:hint="cs"/>
                <w:b/>
                <w:bCs/>
                <w:rtl/>
              </w:rPr>
              <w:t>נאשם</w:t>
            </w:r>
          </w:p>
        </w:tc>
      </w:tr>
    </w:tbl>
    <w:p w14:paraId="6CC03EF3" w14:textId="77777777" w:rsidR="001D6535" w:rsidRPr="007216B8" w:rsidRDefault="001D6535">
      <w:pPr>
        <w:spacing w:line="360" w:lineRule="auto"/>
        <w:rPr>
          <w:b/>
          <w:bCs/>
          <w:rtl/>
        </w:rPr>
      </w:pPr>
    </w:p>
    <w:p w14:paraId="263BE52B" w14:textId="77777777" w:rsidR="001D6535" w:rsidRPr="007216B8" w:rsidRDefault="007216B8">
      <w:pPr>
        <w:spacing w:line="360" w:lineRule="auto"/>
        <w:rPr>
          <w:b/>
          <w:bCs/>
          <w:rtl/>
        </w:rPr>
      </w:pPr>
      <w:r w:rsidRPr="007216B8">
        <w:rPr>
          <w:rFonts w:hint="cs"/>
          <w:b/>
          <w:bCs/>
          <w:rtl/>
        </w:rPr>
        <w:t>נוכחים:</w:t>
      </w:r>
    </w:p>
    <w:p w14:paraId="62D363E2" w14:textId="77777777" w:rsidR="001D6535" w:rsidRPr="007216B8" w:rsidRDefault="007216B8">
      <w:pPr>
        <w:spacing w:line="360" w:lineRule="auto"/>
        <w:rPr>
          <w:b/>
          <w:bCs/>
          <w:rtl/>
        </w:rPr>
      </w:pPr>
      <w:bookmarkStart w:id="2" w:name="FirstLawyer"/>
      <w:r w:rsidRPr="007216B8">
        <w:rPr>
          <w:rFonts w:hint="cs"/>
          <w:b/>
          <w:bCs/>
          <w:rtl/>
        </w:rPr>
        <w:t>ב"כ</w:t>
      </w:r>
      <w:bookmarkEnd w:id="2"/>
      <w:r w:rsidRPr="007216B8">
        <w:rPr>
          <w:rFonts w:hint="cs"/>
          <w:b/>
          <w:bCs/>
          <w:rtl/>
        </w:rPr>
        <w:t xml:space="preserve"> המאשימה עו"ד מיקי ברגר</w:t>
      </w:r>
    </w:p>
    <w:p w14:paraId="62ABB6F5" w14:textId="77777777" w:rsidR="001D6535" w:rsidRPr="007216B8" w:rsidRDefault="007216B8">
      <w:pPr>
        <w:spacing w:line="360" w:lineRule="auto"/>
        <w:rPr>
          <w:b/>
          <w:bCs/>
          <w:rtl/>
        </w:rPr>
      </w:pPr>
      <w:r w:rsidRPr="007216B8">
        <w:rPr>
          <w:rFonts w:hint="cs"/>
          <w:b/>
          <w:bCs/>
          <w:rtl/>
        </w:rPr>
        <w:t>ב"כ הנאשם עו"ד זאב וישניא</w:t>
      </w:r>
    </w:p>
    <w:p w14:paraId="7096B762" w14:textId="77777777" w:rsidR="001D6535" w:rsidRPr="007216B8" w:rsidRDefault="007216B8">
      <w:pPr>
        <w:spacing w:line="360" w:lineRule="auto"/>
        <w:rPr>
          <w:b/>
          <w:bCs/>
          <w:rtl/>
        </w:rPr>
      </w:pPr>
      <w:r w:rsidRPr="007216B8">
        <w:rPr>
          <w:rFonts w:hint="cs"/>
          <w:b/>
          <w:bCs/>
          <w:rtl/>
        </w:rPr>
        <w:t>הנאשם בעצמו</w:t>
      </w:r>
    </w:p>
    <w:p w14:paraId="61061765" w14:textId="77777777" w:rsidR="007216B8" w:rsidRDefault="007216B8">
      <w:pPr>
        <w:spacing w:line="360" w:lineRule="auto"/>
        <w:rPr>
          <w:rtl/>
        </w:rPr>
      </w:pPr>
      <w:bookmarkStart w:id="3" w:name="LawTable"/>
      <w:bookmarkEnd w:id="3"/>
    </w:p>
    <w:p w14:paraId="41BC7401" w14:textId="77777777" w:rsidR="007216B8" w:rsidRPr="007216B8" w:rsidRDefault="007216B8" w:rsidP="007216B8">
      <w:pPr>
        <w:spacing w:after="120" w:line="240" w:lineRule="exact"/>
        <w:ind w:left="283" w:hanging="283"/>
        <w:jc w:val="both"/>
        <w:rPr>
          <w:rFonts w:ascii="FrankRuehl" w:hAnsi="FrankRuehl" w:cs="FrankRuehl"/>
          <w:rtl/>
        </w:rPr>
      </w:pPr>
    </w:p>
    <w:p w14:paraId="75BB1CEE" w14:textId="77777777" w:rsidR="007216B8" w:rsidRPr="007216B8" w:rsidRDefault="007216B8" w:rsidP="007216B8">
      <w:pPr>
        <w:spacing w:after="120" w:line="240" w:lineRule="exact"/>
        <w:ind w:left="283" w:hanging="283"/>
        <w:jc w:val="both"/>
        <w:rPr>
          <w:rFonts w:ascii="FrankRuehl" w:hAnsi="FrankRuehl" w:cs="FrankRuehl"/>
          <w:rtl/>
        </w:rPr>
      </w:pPr>
      <w:r w:rsidRPr="007216B8">
        <w:rPr>
          <w:rFonts w:ascii="FrankRuehl" w:hAnsi="FrankRuehl" w:cs="FrankRuehl"/>
          <w:rtl/>
        </w:rPr>
        <w:t xml:space="preserve">חקיקה שאוזכרה: </w:t>
      </w:r>
    </w:p>
    <w:p w14:paraId="2651DD1C" w14:textId="77777777" w:rsidR="007216B8" w:rsidRPr="007216B8" w:rsidRDefault="007216B8" w:rsidP="007216B8">
      <w:pPr>
        <w:spacing w:after="120" w:line="240" w:lineRule="exact"/>
        <w:ind w:left="283" w:hanging="283"/>
        <w:jc w:val="both"/>
        <w:rPr>
          <w:rFonts w:ascii="FrankRuehl" w:hAnsi="FrankRuehl" w:cs="FrankRuehl"/>
          <w:rtl/>
        </w:rPr>
      </w:pPr>
      <w:hyperlink r:id="rId6" w:history="1">
        <w:r w:rsidRPr="007216B8">
          <w:rPr>
            <w:rFonts w:ascii="FrankRuehl" w:hAnsi="FrankRuehl" w:cs="FrankRuehl"/>
            <w:color w:val="0000FF"/>
            <w:u w:val="single"/>
            <w:rtl/>
          </w:rPr>
          <w:t>פקודת הסמים המסוכנים [נוסח חדש], תשל"ג-1973</w:t>
        </w:r>
      </w:hyperlink>
    </w:p>
    <w:p w14:paraId="2D9C3E62" w14:textId="77777777" w:rsidR="007216B8" w:rsidRPr="007216B8" w:rsidRDefault="007216B8" w:rsidP="007216B8">
      <w:pPr>
        <w:spacing w:after="120" w:line="240" w:lineRule="exact"/>
        <w:ind w:left="283" w:hanging="283"/>
        <w:jc w:val="both"/>
        <w:rPr>
          <w:rFonts w:ascii="FrankRuehl" w:hAnsi="FrankRuehl" w:cs="FrankRuehl"/>
          <w:rtl/>
        </w:rPr>
      </w:pPr>
    </w:p>
    <w:p w14:paraId="5E120CD1" w14:textId="77777777" w:rsidR="001D6535" w:rsidRPr="007216B8" w:rsidRDefault="001D6535">
      <w:pPr>
        <w:spacing w:line="360" w:lineRule="auto"/>
        <w:rPr>
          <w:b/>
          <w:b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6535" w14:paraId="2E179F6D" w14:textId="77777777">
        <w:trPr>
          <w:trHeight w:val="355"/>
          <w:jc w:val="center"/>
        </w:trPr>
        <w:tc>
          <w:tcPr>
            <w:tcW w:w="8820" w:type="dxa"/>
            <w:tcBorders>
              <w:top w:val="nil"/>
              <w:left w:val="nil"/>
              <w:bottom w:val="nil"/>
              <w:right w:val="nil"/>
            </w:tcBorders>
          </w:tcPr>
          <w:p w14:paraId="7582983F" w14:textId="77777777" w:rsidR="001D6535" w:rsidRPr="007216B8" w:rsidRDefault="007216B8" w:rsidP="00EF11A6">
            <w:pPr>
              <w:spacing w:line="360" w:lineRule="auto"/>
              <w:jc w:val="center"/>
              <w:rPr>
                <w:rFonts w:ascii="Arial" w:hAnsi="Arial" w:cs="FrankRuehl" w:hint="cs"/>
                <w:b/>
                <w:bCs/>
                <w:sz w:val="32"/>
                <w:szCs w:val="32"/>
                <w:u w:val="single"/>
                <w:rtl/>
              </w:rPr>
            </w:pPr>
            <w:bookmarkStart w:id="5" w:name="PsakDin" w:colFirst="0" w:colLast="0"/>
            <w:bookmarkEnd w:id="0"/>
            <w:r w:rsidRPr="007216B8">
              <w:rPr>
                <w:rFonts w:ascii="Arial" w:hAnsi="Arial" w:cs="FrankRuehl"/>
                <w:b/>
                <w:bCs/>
                <w:sz w:val="32"/>
                <w:szCs w:val="32"/>
                <w:u w:val="single"/>
                <w:rtl/>
              </w:rPr>
              <w:t>גזר דין</w:t>
            </w:r>
          </w:p>
        </w:tc>
      </w:tr>
      <w:bookmarkEnd w:id="5"/>
    </w:tbl>
    <w:p w14:paraId="5B4BD9DC" w14:textId="77777777" w:rsidR="001D6535" w:rsidRDefault="001D6535">
      <w:pPr>
        <w:spacing w:line="360" w:lineRule="auto"/>
        <w:rPr>
          <w:b/>
          <w:bCs/>
          <w:rtl/>
        </w:rPr>
      </w:pPr>
    </w:p>
    <w:p w14:paraId="07F1AEC8" w14:textId="77777777" w:rsidR="001D6535" w:rsidRDefault="007216B8">
      <w:pPr>
        <w:spacing w:line="360" w:lineRule="auto"/>
        <w:jc w:val="both"/>
        <w:rPr>
          <w:b/>
          <w:bCs/>
          <w:rtl/>
        </w:rPr>
      </w:pPr>
      <w:r>
        <w:rPr>
          <w:rFonts w:hint="cs"/>
          <w:b/>
          <w:bCs/>
          <w:rtl/>
        </w:rPr>
        <w:t>על פי הודאתו הורשע הנאשם בעבירות של גידול סמים מסוכנים והחזקת סמים שלא לצריכה עצמית.</w:t>
      </w:r>
    </w:p>
    <w:p w14:paraId="5DCAEAAC" w14:textId="77777777" w:rsidR="001D6535" w:rsidRDefault="001D6535">
      <w:pPr>
        <w:spacing w:line="360" w:lineRule="auto"/>
        <w:jc w:val="both"/>
        <w:rPr>
          <w:b/>
          <w:bCs/>
          <w:rtl/>
        </w:rPr>
      </w:pPr>
    </w:p>
    <w:p w14:paraId="4C99B548" w14:textId="77777777" w:rsidR="001D6535" w:rsidRDefault="007216B8">
      <w:pPr>
        <w:spacing w:line="360" w:lineRule="auto"/>
        <w:jc w:val="both"/>
        <w:rPr>
          <w:b/>
          <w:bCs/>
          <w:rtl/>
        </w:rPr>
      </w:pPr>
      <w:r>
        <w:rPr>
          <w:rFonts w:hint="cs"/>
          <w:b/>
          <w:bCs/>
          <w:rtl/>
        </w:rPr>
        <w:t>בתאריך 25/5/11 נתבצע חיפוש בביתו של הנאשם ובמהלכו נמצאו בבית סמים כדלקמן:</w:t>
      </w:r>
    </w:p>
    <w:p w14:paraId="3FCC5B1B" w14:textId="77777777" w:rsidR="001D6535" w:rsidRDefault="007216B8">
      <w:pPr>
        <w:spacing w:line="360" w:lineRule="auto"/>
        <w:jc w:val="both"/>
        <w:rPr>
          <w:b/>
          <w:bCs/>
          <w:rtl/>
        </w:rPr>
      </w:pPr>
      <w:r>
        <w:rPr>
          <w:rFonts w:hint="cs"/>
          <w:b/>
          <w:bCs/>
          <w:rtl/>
        </w:rPr>
        <w:t>בכף ידו של הנאשם</w:t>
      </w:r>
      <w:bookmarkStart w:id="6" w:name="_GoBack"/>
      <w:bookmarkEnd w:id="6"/>
      <w:r>
        <w:rPr>
          <w:rFonts w:hint="cs"/>
          <w:b/>
          <w:bCs/>
          <w:rtl/>
        </w:rPr>
        <w:t xml:space="preserve">  </w:t>
      </w:r>
      <w:smartTag w:uri="urn:schemas-microsoft-com:office:smarttags" w:element="metricconverter">
        <w:smartTagPr>
          <w:attr w:name="ProductID" w:val="-4.53 גרם"/>
        </w:smartTagPr>
        <w:r>
          <w:rPr>
            <w:rFonts w:hint="cs"/>
            <w:b/>
            <w:bCs/>
            <w:rtl/>
          </w:rPr>
          <w:t>-4.53 גרם</w:t>
        </w:r>
      </w:smartTag>
      <w:r>
        <w:rPr>
          <w:rFonts w:hint="cs"/>
          <w:b/>
          <w:bCs/>
          <w:rtl/>
        </w:rPr>
        <w:t xml:space="preserve"> סם מסוג קנבוס</w:t>
      </w:r>
    </w:p>
    <w:p w14:paraId="1DCFED62" w14:textId="77777777" w:rsidR="001D6535" w:rsidRDefault="007216B8">
      <w:pPr>
        <w:spacing w:line="360" w:lineRule="auto"/>
        <w:jc w:val="both"/>
        <w:rPr>
          <w:b/>
          <w:bCs/>
          <w:rtl/>
        </w:rPr>
      </w:pPr>
      <w:r>
        <w:rPr>
          <w:rFonts w:hint="cs"/>
          <w:b/>
          <w:bCs/>
          <w:rtl/>
        </w:rPr>
        <w:lastRenderedPageBreak/>
        <w:t xml:space="preserve">במגירה בסלון  - </w:t>
      </w:r>
      <w:smartTag w:uri="urn:schemas-microsoft-com:office:smarttags" w:element="metricconverter">
        <w:smartTagPr>
          <w:attr w:name="ProductID" w:val="0.11 גרם"/>
        </w:smartTagPr>
        <w:r>
          <w:rPr>
            <w:rFonts w:hint="cs"/>
            <w:b/>
            <w:bCs/>
            <w:rtl/>
          </w:rPr>
          <w:t>0.11 גרם</w:t>
        </w:r>
      </w:smartTag>
      <w:r>
        <w:rPr>
          <w:rFonts w:hint="cs"/>
          <w:b/>
          <w:bCs/>
          <w:rtl/>
        </w:rPr>
        <w:t xml:space="preserve"> סם מסוג קנבוס</w:t>
      </w:r>
    </w:p>
    <w:p w14:paraId="4CD28285" w14:textId="77777777" w:rsidR="001D6535" w:rsidRDefault="007216B8">
      <w:pPr>
        <w:spacing w:line="360" w:lineRule="auto"/>
        <w:jc w:val="both"/>
        <w:rPr>
          <w:b/>
          <w:bCs/>
          <w:rtl/>
        </w:rPr>
      </w:pPr>
      <w:r>
        <w:rPr>
          <w:rFonts w:hint="cs"/>
          <w:b/>
          <w:bCs/>
          <w:rtl/>
        </w:rPr>
        <w:t xml:space="preserve">במקרר - </w:t>
      </w:r>
      <w:smartTag w:uri="urn:schemas-microsoft-com:office:smarttags" w:element="metricconverter">
        <w:smartTagPr>
          <w:attr w:name="ProductID" w:val="49.19 גרם"/>
        </w:smartTagPr>
        <w:r>
          <w:rPr>
            <w:rFonts w:hint="cs"/>
            <w:b/>
            <w:bCs/>
            <w:rtl/>
          </w:rPr>
          <w:t>49.19 גרם</w:t>
        </w:r>
      </w:smartTag>
      <w:r>
        <w:rPr>
          <w:rFonts w:hint="cs"/>
          <w:b/>
          <w:bCs/>
          <w:rtl/>
        </w:rPr>
        <w:t xml:space="preserve"> סם מסוג קנבוס</w:t>
      </w:r>
    </w:p>
    <w:p w14:paraId="42E611D1" w14:textId="77777777" w:rsidR="001D6535" w:rsidRDefault="001D6535">
      <w:pPr>
        <w:spacing w:line="360" w:lineRule="auto"/>
        <w:jc w:val="both"/>
        <w:rPr>
          <w:b/>
          <w:bCs/>
          <w:rtl/>
        </w:rPr>
      </w:pPr>
    </w:p>
    <w:p w14:paraId="0F464F2D" w14:textId="77777777" w:rsidR="001D6535" w:rsidRDefault="007216B8">
      <w:pPr>
        <w:spacing w:line="360" w:lineRule="auto"/>
        <w:jc w:val="both"/>
        <w:rPr>
          <w:b/>
          <w:bCs/>
          <w:rtl/>
        </w:rPr>
      </w:pPr>
      <w:r>
        <w:rPr>
          <w:rFonts w:hint="cs"/>
          <w:b/>
          <w:bCs/>
          <w:rtl/>
        </w:rPr>
        <w:t xml:space="preserve">כמו כן גידל הנאשם בביתו שתיל של סם מסוכן מסוג קנבוס במשקל </w:t>
      </w:r>
      <w:smartTag w:uri="urn:schemas-microsoft-com:office:smarttags" w:element="metricconverter">
        <w:smartTagPr>
          <w:attr w:name="ProductID" w:val="89.07 גרם"/>
        </w:smartTagPr>
        <w:r>
          <w:rPr>
            <w:rFonts w:hint="cs"/>
            <w:b/>
            <w:bCs/>
            <w:rtl/>
          </w:rPr>
          <w:t>89.07 גרם</w:t>
        </w:r>
      </w:smartTag>
      <w:r>
        <w:rPr>
          <w:rFonts w:hint="cs"/>
          <w:b/>
          <w:bCs/>
          <w:rtl/>
        </w:rPr>
        <w:t xml:space="preserve">.  </w:t>
      </w:r>
    </w:p>
    <w:p w14:paraId="1758396E" w14:textId="77777777" w:rsidR="001D6535" w:rsidRDefault="001D6535">
      <w:pPr>
        <w:spacing w:line="360" w:lineRule="auto"/>
        <w:jc w:val="both"/>
        <w:rPr>
          <w:b/>
          <w:bCs/>
          <w:rtl/>
        </w:rPr>
      </w:pPr>
    </w:p>
    <w:p w14:paraId="2EA000C3" w14:textId="77777777" w:rsidR="001D6535" w:rsidRDefault="007216B8">
      <w:pPr>
        <w:spacing w:line="360" w:lineRule="auto"/>
        <w:jc w:val="both"/>
        <w:rPr>
          <w:b/>
          <w:bCs/>
          <w:rtl/>
        </w:rPr>
      </w:pPr>
      <w:r>
        <w:rPr>
          <w:rFonts w:hint="cs"/>
          <w:b/>
          <w:bCs/>
          <w:rtl/>
        </w:rPr>
        <w:t xml:space="preserve">התביעה ציינה כי מדובר בעבירות חמורות  וכי הפגיעה בערכים המוגנים היא משמעותית. לטעמה מתחם הענישה הראוי נע בין 6-12 חודשי מאסר בפועל . התביעה הציגה את ההסדר עם הנאשם , דהיינו, היה ותסקיר שירות המבחן בעניינו יהיה חיובי, תעתור לעונש של שישה חודשי מאסר בעבודות שירות, ומאחר שהוגש תסקיר חיובי בעניינו של הנאשם, זהו הוענש לו עותרת המאשימה, בצד עונש מאסר מותנה, , קנס ופסילת רישיון נהיגה בפועל ועל תנאי. </w:t>
      </w:r>
    </w:p>
    <w:p w14:paraId="4B49FD79" w14:textId="77777777" w:rsidR="001D6535" w:rsidRDefault="001D6535">
      <w:pPr>
        <w:spacing w:line="360" w:lineRule="auto"/>
        <w:jc w:val="both"/>
        <w:rPr>
          <w:b/>
          <w:bCs/>
          <w:rtl/>
        </w:rPr>
      </w:pPr>
    </w:p>
    <w:p w14:paraId="708DF37B" w14:textId="77777777" w:rsidR="001D6535" w:rsidRDefault="001D6535">
      <w:pPr>
        <w:spacing w:line="360" w:lineRule="auto"/>
        <w:jc w:val="both"/>
        <w:rPr>
          <w:b/>
          <w:bCs/>
          <w:rtl/>
        </w:rPr>
      </w:pPr>
    </w:p>
    <w:p w14:paraId="10C29E70" w14:textId="77777777" w:rsidR="001D6535" w:rsidRDefault="007216B8">
      <w:pPr>
        <w:spacing w:line="360" w:lineRule="auto"/>
        <w:jc w:val="both"/>
        <w:rPr>
          <w:b/>
          <w:bCs/>
          <w:rtl/>
        </w:rPr>
      </w:pPr>
      <w:r>
        <w:rPr>
          <w:rFonts w:hint="cs"/>
          <w:b/>
          <w:bCs/>
          <w:rtl/>
        </w:rPr>
        <w:t xml:space="preserve">ב"כ הנאשם הדגיש כי מדובר במעשים שבוצעו לפני כשלוש וחצי שנים ועל כן לטעמו, עתירתה של התביעה אינה עולה בקנה אחד עם עובדה זו. </w:t>
      </w:r>
    </w:p>
    <w:p w14:paraId="1544DFC5" w14:textId="77777777" w:rsidR="001D6535" w:rsidRDefault="001D6535">
      <w:pPr>
        <w:spacing w:line="360" w:lineRule="auto"/>
        <w:jc w:val="both"/>
        <w:rPr>
          <w:b/>
          <w:bCs/>
          <w:rtl/>
        </w:rPr>
      </w:pPr>
    </w:p>
    <w:p w14:paraId="0E493B12" w14:textId="77777777" w:rsidR="001D6535" w:rsidRDefault="007216B8">
      <w:pPr>
        <w:spacing w:line="360" w:lineRule="auto"/>
        <w:jc w:val="both"/>
        <w:rPr>
          <w:b/>
          <w:bCs/>
          <w:rtl/>
        </w:rPr>
      </w:pPr>
      <w:r>
        <w:rPr>
          <w:rFonts w:hint="cs"/>
          <w:b/>
          <w:bCs/>
          <w:rtl/>
        </w:rPr>
        <w:t xml:space="preserve">הנאשם, כך טען, מתפקד באורח נורמטיבי, עובד לפרנסתו ונקי מסמים.  לדברי בא כוחו של הנאשם, הרי שהטלת עונש בעבודת שירות תפגע בפרנסת המשפחה בעוד שהמלצת שירות המבחן להטלת של"צ בהיקף ניכר אך תשרת את האינטרס הציבורי. </w:t>
      </w:r>
    </w:p>
    <w:p w14:paraId="2A6BE55A" w14:textId="77777777" w:rsidR="001D6535" w:rsidRDefault="007216B8">
      <w:pPr>
        <w:spacing w:line="360" w:lineRule="auto"/>
        <w:jc w:val="both"/>
        <w:rPr>
          <w:b/>
          <w:bCs/>
          <w:rtl/>
        </w:rPr>
      </w:pPr>
      <w:r>
        <w:rPr>
          <w:rFonts w:hint="cs"/>
          <w:b/>
          <w:bCs/>
          <w:rtl/>
        </w:rPr>
        <w:t xml:space="preserve">ב"כ הנאשם הציג פסיקה מקלה, עליה סמך טיעוניו וביקש לאמץ את המלצות שירות המבחן. </w:t>
      </w:r>
    </w:p>
    <w:p w14:paraId="084A6FF0" w14:textId="77777777" w:rsidR="001D6535" w:rsidRDefault="001D6535">
      <w:pPr>
        <w:spacing w:line="360" w:lineRule="auto"/>
        <w:jc w:val="both"/>
        <w:rPr>
          <w:b/>
          <w:bCs/>
          <w:rtl/>
        </w:rPr>
      </w:pPr>
    </w:p>
    <w:p w14:paraId="2AB4ED2E" w14:textId="77777777" w:rsidR="001D6535" w:rsidRDefault="007216B8">
      <w:pPr>
        <w:spacing w:line="360" w:lineRule="auto"/>
        <w:jc w:val="both"/>
        <w:rPr>
          <w:b/>
          <w:bCs/>
          <w:rtl/>
        </w:rPr>
      </w:pPr>
      <w:r>
        <w:rPr>
          <w:rFonts w:hint="cs"/>
          <w:b/>
          <w:bCs/>
          <w:rtl/>
        </w:rPr>
        <w:t xml:space="preserve">בתסקיר שירות המבחן נסקר רקעו של הנאשם כמי ששירת שירות צבאי מלא ומאז עובד באופן רצוף לשביעות רצון מעסיקיו. הנאשם נשוי ותפקודו תקין. </w:t>
      </w:r>
    </w:p>
    <w:p w14:paraId="79FBD0E1" w14:textId="77777777" w:rsidR="001D6535" w:rsidRDefault="007216B8">
      <w:pPr>
        <w:spacing w:line="360" w:lineRule="auto"/>
        <w:jc w:val="both"/>
        <w:rPr>
          <w:b/>
          <w:bCs/>
          <w:rtl/>
        </w:rPr>
      </w:pPr>
      <w:r>
        <w:rPr>
          <w:rFonts w:hint="cs"/>
          <w:b/>
          <w:bCs/>
          <w:rtl/>
        </w:rPr>
        <w:t xml:space="preserve">הנאשם תאר שימוש בחשיש החל משחרורו מצה"ל ולאחר מכן הפך השימוש לאינטנסיבי יותר. העבירה בוצעה בתקופה בה נהג לעשות שימוש בסם מדי יום. ההחלטה לגדל סמים  נבעה משיקולים כלכליים בלבד. </w:t>
      </w:r>
    </w:p>
    <w:p w14:paraId="4C893967" w14:textId="77777777" w:rsidR="001D6535" w:rsidRDefault="007216B8">
      <w:pPr>
        <w:spacing w:line="360" w:lineRule="auto"/>
        <w:jc w:val="both"/>
        <w:rPr>
          <w:b/>
          <w:bCs/>
          <w:rtl/>
        </w:rPr>
      </w:pPr>
      <w:r>
        <w:rPr>
          <w:rFonts w:hint="cs"/>
          <w:b/>
          <w:bCs/>
          <w:rtl/>
        </w:rPr>
        <w:t xml:space="preserve">הנאשם קיבל אחריות על ביצוע העבירות ומבין המשמעות של מעשיו. הוא ציין כי מאז נפתחה החקירה אינו עושה עוד שימוש בסמים . בדיקות שתן שביצע נמצאו נקיות מסמים. הוא הביע חששו מההשלכות של הרשעה בפלילים על עתידו. </w:t>
      </w:r>
    </w:p>
    <w:p w14:paraId="476C1363" w14:textId="77777777" w:rsidR="001D6535" w:rsidRDefault="007216B8">
      <w:pPr>
        <w:spacing w:line="360" w:lineRule="auto"/>
        <w:jc w:val="both"/>
        <w:rPr>
          <w:b/>
          <w:bCs/>
          <w:rtl/>
        </w:rPr>
      </w:pPr>
      <w:r>
        <w:rPr>
          <w:rFonts w:hint="cs"/>
          <w:b/>
          <w:bCs/>
          <w:rtl/>
        </w:rPr>
        <w:t xml:space="preserve">שירות המבחן התרשם כי הסיכון הנשקף בעתיד לביצוע עבירות דומות מצד הנאשם הוא נמוך. </w:t>
      </w:r>
    </w:p>
    <w:p w14:paraId="1830972E" w14:textId="77777777" w:rsidR="001D6535" w:rsidRDefault="007216B8">
      <w:pPr>
        <w:spacing w:line="360" w:lineRule="auto"/>
        <w:jc w:val="both"/>
        <w:rPr>
          <w:b/>
          <w:bCs/>
          <w:rtl/>
        </w:rPr>
      </w:pPr>
      <w:r>
        <w:rPr>
          <w:rFonts w:hint="cs"/>
          <w:b/>
          <w:bCs/>
          <w:rtl/>
        </w:rPr>
        <w:t xml:space="preserve">שירות המבחן ער להסדר הטיעון ולעתירתה של התביעה, ברם הוא סבור כי הטלת עונש בדרך של עבודות שירות עלולה לפגוע בנאשם  ובסיכויי השיקום שלו. שירות המבחן המליץ על הטלת של"צ. </w:t>
      </w:r>
    </w:p>
    <w:p w14:paraId="1B248DDD" w14:textId="77777777" w:rsidR="001D6535" w:rsidRDefault="001D6535">
      <w:pPr>
        <w:spacing w:line="360" w:lineRule="auto"/>
        <w:jc w:val="both"/>
        <w:rPr>
          <w:b/>
          <w:bCs/>
          <w:rtl/>
        </w:rPr>
      </w:pPr>
    </w:p>
    <w:p w14:paraId="64631C11" w14:textId="77777777" w:rsidR="001D6535" w:rsidRDefault="007216B8">
      <w:pPr>
        <w:spacing w:line="360" w:lineRule="auto"/>
        <w:jc w:val="both"/>
        <w:rPr>
          <w:b/>
          <w:bCs/>
          <w:rtl/>
        </w:rPr>
      </w:pPr>
      <w:r>
        <w:rPr>
          <w:rFonts w:hint="cs"/>
          <w:b/>
          <w:bCs/>
          <w:rtl/>
        </w:rPr>
        <w:t xml:space="preserve">הפגיעה בערכים המוגנים במעשיו של הנאשם נדונה לא אחת בהלכות בתי המשפט על ערכאותיהם השונות. הנזק של תופעת הסמים, בין בשימוש בסם, בין בהחזקתו, גידולו, הפצתו, הספקתו </w:t>
      </w:r>
      <w:r>
        <w:rPr>
          <w:rFonts w:hint="cs"/>
          <w:b/>
          <w:bCs/>
          <w:rtl/>
        </w:rPr>
        <w:lastRenderedPageBreak/>
        <w:t xml:space="preserve">וכיו"ב הוא רב ביותר, הן לחברה כולה והן לפרט, הן מבחינה גופנית ואף מבחינה כלכלית, כמו גם מבחינה חברתית ותרומתה של תופעה זו לפשיעה ועוד ועוד. </w:t>
      </w:r>
    </w:p>
    <w:p w14:paraId="4938AEA3" w14:textId="77777777" w:rsidR="001D6535" w:rsidRDefault="001D6535">
      <w:pPr>
        <w:spacing w:line="360" w:lineRule="auto"/>
        <w:jc w:val="both"/>
        <w:rPr>
          <w:b/>
          <w:bCs/>
          <w:rtl/>
        </w:rPr>
      </w:pPr>
    </w:p>
    <w:p w14:paraId="1E9083BA" w14:textId="77777777" w:rsidR="001D6535" w:rsidRDefault="007216B8">
      <w:pPr>
        <w:spacing w:line="360" w:lineRule="auto"/>
        <w:jc w:val="both"/>
        <w:rPr>
          <w:b/>
          <w:bCs/>
          <w:rtl/>
        </w:rPr>
      </w:pPr>
      <w:r>
        <w:rPr>
          <w:rFonts w:hint="cs"/>
          <w:b/>
          <w:bCs/>
          <w:rtl/>
        </w:rPr>
        <w:t xml:space="preserve">על כן, נקבע לא אחת כי יש להחמיר בענישה באשר לכל חוליה וחוליה בשרשרת החזקת הסם והפצתו. </w:t>
      </w:r>
    </w:p>
    <w:p w14:paraId="291A2840" w14:textId="77777777" w:rsidR="001D6535" w:rsidRDefault="007216B8">
      <w:pPr>
        <w:spacing w:line="360" w:lineRule="auto"/>
        <w:jc w:val="both"/>
        <w:rPr>
          <w:b/>
          <w:bCs/>
          <w:rtl/>
        </w:rPr>
      </w:pPr>
      <w:r>
        <w:rPr>
          <w:rFonts w:hint="cs"/>
          <w:b/>
          <w:bCs/>
          <w:rtl/>
        </w:rPr>
        <w:t xml:space="preserve">הנאשם החזיק בכמות סמים שאינה כמות הנחשבת לצריכה עצמית ויתר על כן, אף גידל בביתו סמים בכמות שאינה מבוטלת כלל ועיקר העולה באופן ניכר על הכמות לצריכה עצמית. </w:t>
      </w:r>
    </w:p>
    <w:p w14:paraId="6B86E322" w14:textId="77777777" w:rsidR="001D6535" w:rsidRDefault="001D6535">
      <w:pPr>
        <w:spacing w:line="360" w:lineRule="auto"/>
        <w:jc w:val="both"/>
        <w:rPr>
          <w:b/>
          <w:bCs/>
          <w:rtl/>
        </w:rPr>
      </w:pPr>
    </w:p>
    <w:p w14:paraId="30C47EEC" w14:textId="77777777" w:rsidR="001D6535" w:rsidRDefault="007216B8">
      <w:pPr>
        <w:spacing w:line="360" w:lineRule="auto"/>
        <w:jc w:val="both"/>
        <w:rPr>
          <w:b/>
          <w:bCs/>
          <w:rtl/>
        </w:rPr>
      </w:pPr>
      <w:r>
        <w:rPr>
          <w:rFonts w:hint="cs"/>
          <w:b/>
          <w:bCs/>
          <w:rtl/>
        </w:rPr>
        <w:t xml:space="preserve">מתחם הענישה הראוי למעשים אלה נע בין של"צ לשמונה חודשי מאסר בפועל. </w:t>
      </w:r>
    </w:p>
    <w:p w14:paraId="7D45E90A" w14:textId="77777777" w:rsidR="001D6535" w:rsidRDefault="001D6535">
      <w:pPr>
        <w:spacing w:line="360" w:lineRule="auto"/>
        <w:jc w:val="both"/>
        <w:rPr>
          <w:b/>
          <w:bCs/>
          <w:rtl/>
        </w:rPr>
      </w:pPr>
    </w:p>
    <w:p w14:paraId="7E0A2582" w14:textId="77777777" w:rsidR="001D6535" w:rsidRDefault="007216B8">
      <w:pPr>
        <w:spacing w:line="360" w:lineRule="auto"/>
        <w:jc w:val="both"/>
        <w:rPr>
          <w:b/>
          <w:bCs/>
          <w:rtl/>
        </w:rPr>
      </w:pPr>
      <w:r>
        <w:rPr>
          <w:rFonts w:hint="cs"/>
          <w:b/>
          <w:bCs/>
          <w:rtl/>
        </w:rPr>
        <w:t xml:space="preserve">הנאשם נעדר עבר פלילי מסוג כלשהו, מתפקד לאורך השנים באורח נורמטיבי לחלוטין, למעט הסתבכותו זו. אמנם הנאשם נהג לעשות שימוש בסמים בעבר, אך אינו עושה כך עוד. המעשים בוצעו לפני למעלה משלוש שנים וחצי ויש ליתן לחלוף הזמן משקל נכבד מאוד.  הנאשם נטל אחריות על המעשים , מבין את משמעותם ונראה כי למד את לקחו והפנים את השלכות המעשים. </w:t>
      </w:r>
    </w:p>
    <w:p w14:paraId="664DD640" w14:textId="77777777" w:rsidR="001D6535" w:rsidRDefault="001D6535">
      <w:pPr>
        <w:spacing w:line="360" w:lineRule="auto"/>
        <w:jc w:val="both"/>
        <w:rPr>
          <w:b/>
          <w:bCs/>
          <w:rtl/>
        </w:rPr>
      </w:pPr>
    </w:p>
    <w:p w14:paraId="53212FFD" w14:textId="77777777" w:rsidR="001D6535" w:rsidRDefault="007216B8">
      <w:pPr>
        <w:spacing w:line="360" w:lineRule="auto"/>
        <w:jc w:val="both"/>
        <w:rPr>
          <w:b/>
          <w:bCs/>
          <w:rtl/>
        </w:rPr>
      </w:pPr>
      <w:r>
        <w:rPr>
          <w:rFonts w:hint="cs"/>
          <w:b/>
          <w:bCs/>
          <w:rtl/>
        </w:rPr>
        <w:t xml:space="preserve">בנסיבות אלה מצאתי לקבל את המלצות שירות המבחן ולהסתפק ברף הענישה הנמוך. </w:t>
      </w:r>
    </w:p>
    <w:p w14:paraId="3B3AD57A" w14:textId="77777777" w:rsidR="001D6535" w:rsidRDefault="001D6535">
      <w:pPr>
        <w:spacing w:line="360" w:lineRule="auto"/>
        <w:jc w:val="both"/>
        <w:rPr>
          <w:b/>
          <w:bCs/>
          <w:rtl/>
        </w:rPr>
      </w:pPr>
    </w:p>
    <w:p w14:paraId="5B1C779E" w14:textId="77777777" w:rsidR="001D6535" w:rsidRDefault="001D6535">
      <w:pPr>
        <w:spacing w:line="360" w:lineRule="auto"/>
        <w:jc w:val="both"/>
        <w:rPr>
          <w:b/>
          <w:bCs/>
          <w:rtl/>
        </w:rPr>
      </w:pPr>
    </w:p>
    <w:p w14:paraId="6E25E17B" w14:textId="77777777" w:rsidR="001D6535" w:rsidRDefault="007216B8">
      <w:pPr>
        <w:spacing w:line="360" w:lineRule="auto"/>
        <w:jc w:val="both"/>
        <w:rPr>
          <w:b/>
          <w:bCs/>
          <w:rtl/>
        </w:rPr>
      </w:pPr>
      <w:r>
        <w:rPr>
          <w:rFonts w:hint="cs"/>
          <w:b/>
          <w:bCs/>
          <w:rtl/>
        </w:rPr>
        <w:t xml:space="preserve">אני גוזרת על הנאשם שישה חודשי מאסר על תנאי למשך שלוש שנים לבל יעבור עבירה כלשהי לפי </w:t>
      </w:r>
      <w:hyperlink r:id="rId7" w:history="1">
        <w:r w:rsidRPr="007216B8">
          <w:rPr>
            <w:b/>
            <w:bCs/>
            <w:color w:val="0000FF"/>
            <w:u w:val="single"/>
            <w:rtl/>
          </w:rPr>
          <w:t>פקודת הסמים המסוכנים</w:t>
        </w:r>
      </w:hyperlink>
      <w:r>
        <w:rPr>
          <w:rFonts w:hint="cs"/>
          <w:b/>
          <w:bCs/>
          <w:rtl/>
        </w:rPr>
        <w:t>.</w:t>
      </w:r>
    </w:p>
    <w:p w14:paraId="3E4819E7" w14:textId="77777777" w:rsidR="001D6535" w:rsidRDefault="001D6535">
      <w:pPr>
        <w:spacing w:line="360" w:lineRule="auto"/>
        <w:jc w:val="both"/>
        <w:rPr>
          <w:b/>
          <w:bCs/>
          <w:rtl/>
        </w:rPr>
      </w:pPr>
    </w:p>
    <w:p w14:paraId="6F16943F" w14:textId="77777777" w:rsidR="001D6535" w:rsidRDefault="007216B8">
      <w:pPr>
        <w:spacing w:line="360" w:lineRule="auto"/>
        <w:jc w:val="both"/>
        <w:rPr>
          <w:b/>
          <w:bCs/>
          <w:rtl/>
        </w:rPr>
      </w:pPr>
      <w:r>
        <w:rPr>
          <w:rFonts w:hint="cs"/>
          <w:b/>
          <w:bCs/>
          <w:rtl/>
        </w:rPr>
        <w:t xml:space="preserve">אני מטילה על הנאשם צו של"צ בהיקף של 300 שעות. </w:t>
      </w:r>
    </w:p>
    <w:p w14:paraId="50423337" w14:textId="77777777" w:rsidR="001D6535" w:rsidRDefault="001D6535">
      <w:pPr>
        <w:spacing w:line="360" w:lineRule="auto"/>
        <w:jc w:val="both"/>
        <w:rPr>
          <w:b/>
          <w:bCs/>
          <w:rtl/>
        </w:rPr>
      </w:pPr>
    </w:p>
    <w:p w14:paraId="16B3A86A" w14:textId="77777777" w:rsidR="001D6535" w:rsidRDefault="007216B8">
      <w:pPr>
        <w:spacing w:line="360" w:lineRule="auto"/>
        <w:jc w:val="both"/>
        <w:rPr>
          <w:b/>
          <w:bCs/>
          <w:rtl/>
        </w:rPr>
      </w:pPr>
      <w:r>
        <w:rPr>
          <w:rFonts w:hint="cs"/>
          <w:b/>
          <w:bCs/>
          <w:rtl/>
        </w:rPr>
        <w:t>אני מטילה על הנאשם קנס בסכום של 1,500 ₪ או 10 ימי מאסר תמורתו.</w:t>
      </w:r>
    </w:p>
    <w:p w14:paraId="05509F69" w14:textId="77777777" w:rsidR="001D6535" w:rsidRDefault="007216B8">
      <w:pPr>
        <w:spacing w:line="360" w:lineRule="auto"/>
        <w:jc w:val="both"/>
        <w:rPr>
          <w:b/>
          <w:bCs/>
          <w:rtl/>
        </w:rPr>
      </w:pPr>
      <w:r>
        <w:rPr>
          <w:rFonts w:hint="cs"/>
          <w:b/>
          <w:bCs/>
          <w:rtl/>
        </w:rPr>
        <w:t>הקנס ישולם בשלושה תשלומים חודשיים שווים ורצופים שהראשון בהם ביום 1/3/15 והבאים אחריו בכל ראשון לחודש שלאחר מכן. לא ישולם תשלום במועדו, יעמוד כל הסכום לפרעון מיידי.</w:t>
      </w:r>
    </w:p>
    <w:p w14:paraId="01003BC4" w14:textId="77777777" w:rsidR="001D6535" w:rsidRDefault="001D6535">
      <w:pPr>
        <w:spacing w:line="360" w:lineRule="auto"/>
        <w:jc w:val="both"/>
        <w:rPr>
          <w:b/>
          <w:bCs/>
          <w:rtl/>
        </w:rPr>
      </w:pPr>
    </w:p>
    <w:p w14:paraId="01017FA9" w14:textId="77777777" w:rsidR="001D6535" w:rsidRDefault="007216B8">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w:t>
      </w:r>
    </w:p>
    <w:p w14:paraId="318B2561" w14:textId="77777777" w:rsidR="001D6535" w:rsidRDefault="007216B8">
      <w:pPr>
        <w:spacing w:line="360" w:lineRule="auto"/>
        <w:jc w:val="both"/>
        <w:rPr>
          <w:b/>
          <w:bCs/>
          <w:rtl/>
        </w:rPr>
      </w:pPr>
      <w:r>
        <w:rPr>
          <w:rFonts w:hint="cs"/>
          <w:b/>
          <w:bCs/>
          <w:rtl/>
        </w:rPr>
        <w:t>זכות ערעור כחוק.</w:t>
      </w:r>
    </w:p>
    <w:p w14:paraId="4225B4F1" w14:textId="77777777" w:rsidR="001D6535" w:rsidRPr="007216B8" w:rsidRDefault="007216B8">
      <w:pPr>
        <w:spacing w:line="360" w:lineRule="auto"/>
        <w:rPr>
          <w:b/>
          <w:bCs/>
          <w:color w:val="FFFFFF"/>
          <w:sz w:val="2"/>
          <w:szCs w:val="2"/>
          <w:rtl/>
        </w:rPr>
      </w:pPr>
      <w:r w:rsidRPr="007216B8">
        <w:rPr>
          <w:b/>
          <w:bCs/>
          <w:color w:val="FFFFFF"/>
          <w:sz w:val="2"/>
          <w:szCs w:val="2"/>
          <w:rtl/>
        </w:rPr>
        <w:t>5129371</w:t>
      </w:r>
    </w:p>
    <w:p w14:paraId="3B9B63AC" w14:textId="77777777" w:rsidR="001D6535" w:rsidRDefault="007216B8">
      <w:pPr>
        <w:spacing w:line="360" w:lineRule="auto"/>
        <w:rPr>
          <w:rFonts w:cs="FrankRuehl"/>
          <w:b/>
          <w:bCs/>
          <w:sz w:val="28"/>
          <w:szCs w:val="28"/>
          <w:rtl/>
        </w:rPr>
      </w:pPr>
      <w:r w:rsidRPr="007216B8">
        <w:rPr>
          <w:rFonts w:ascii="Arial" w:hAnsi="Arial"/>
          <w:b/>
          <w:bCs/>
          <w:color w:val="FFFFFF"/>
          <w:sz w:val="2"/>
          <w:szCs w:val="2"/>
          <w:rtl/>
        </w:rPr>
        <w:t>54678313</w:t>
      </w:r>
      <w:r>
        <w:rPr>
          <w:rFonts w:ascii="Arial" w:hAnsi="Arial"/>
          <w:b/>
          <w:bCs/>
          <w:rtl/>
        </w:rPr>
        <w:t xml:space="preserve">ניתן היום,  ו' שבט תשע"ה, 26 ינואר 2015, במעמד הצדדים. </w:t>
      </w:r>
    </w:p>
    <w:p w14:paraId="534B7EAC" w14:textId="77777777" w:rsidR="001D6535" w:rsidRPr="00EF11A6" w:rsidRDefault="00EF11A6">
      <w:pPr>
        <w:spacing w:line="360" w:lineRule="auto"/>
        <w:jc w:val="center"/>
        <w:rPr>
          <w:color w:val="FFFFFF"/>
          <w:sz w:val="2"/>
          <w:szCs w:val="2"/>
        </w:rPr>
      </w:pPr>
      <w:r w:rsidRPr="00EF11A6">
        <w:rPr>
          <w:b/>
          <w:bCs/>
          <w:color w:val="FFFFFF"/>
          <w:sz w:val="2"/>
          <w:szCs w:val="2"/>
          <w:rtl/>
        </w:rPr>
        <w:t>5129371</w:t>
      </w:r>
      <w:r w:rsidR="007216B8" w:rsidRPr="00EF11A6">
        <w:rPr>
          <w:rFonts w:hint="cs"/>
          <w:b/>
          <w:bCs/>
          <w:color w:val="FFFFFF"/>
          <w:sz w:val="2"/>
          <w:szCs w:val="2"/>
          <w:rtl/>
        </w:rPr>
        <w:t xml:space="preserve">   </w:t>
      </w:r>
      <w:r w:rsidR="007216B8" w:rsidRPr="00EF11A6">
        <w:rPr>
          <w:rFonts w:hint="cs"/>
          <w:b/>
          <w:bCs/>
          <w:color w:val="FFFFFF"/>
          <w:sz w:val="2"/>
          <w:szCs w:val="2"/>
          <w:rtl/>
        </w:rPr>
        <w:tab/>
      </w:r>
      <w:r w:rsidR="007216B8" w:rsidRPr="00EF11A6">
        <w:rPr>
          <w:rFonts w:hint="cs"/>
          <w:b/>
          <w:bCs/>
          <w:color w:val="FFFFFF"/>
          <w:sz w:val="2"/>
          <w:szCs w:val="2"/>
          <w:rtl/>
        </w:rPr>
        <w:tab/>
      </w:r>
      <w:r w:rsidR="007216B8" w:rsidRPr="00EF11A6">
        <w:rPr>
          <w:rFonts w:hint="cs"/>
          <w:b/>
          <w:bCs/>
          <w:color w:val="FFFFFF"/>
          <w:sz w:val="2"/>
          <w:szCs w:val="2"/>
          <w:rtl/>
        </w:rPr>
        <w:tab/>
      </w:r>
      <w:r w:rsidR="007216B8" w:rsidRPr="00EF11A6">
        <w:rPr>
          <w:rFonts w:hint="cs"/>
          <w:b/>
          <w:bCs/>
          <w:color w:val="FFFFFF"/>
          <w:sz w:val="2"/>
          <w:szCs w:val="2"/>
          <w:rtl/>
        </w:rPr>
        <w:tab/>
      </w:r>
      <w:r w:rsidR="007216B8" w:rsidRPr="00EF11A6">
        <w:rPr>
          <w:rFonts w:hint="cs"/>
          <w:b/>
          <w:bCs/>
          <w:color w:val="FFFFFF"/>
          <w:sz w:val="2"/>
          <w:szCs w:val="2"/>
          <w:rtl/>
        </w:rPr>
        <w:tab/>
      </w:r>
    </w:p>
    <w:p w14:paraId="12476760" w14:textId="77777777" w:rsidR="007216B8" w:rsidRPr="00EF11A6" w:rsidRDefault="00EF11A6" w:rsidP="007216B8">
      <w:pPr>
        <w:keepNext/>
        <w:rPr>
          <w:rFonts w:ascii="David" w:hAnsi="David"/>
          <w:color w:val="FFFFFF"/>
          <w:sz w:val="2"/>
          <w:szCs w:val="2"/>
          <w:rtl/>
        </w:rPr>
      </w:pPr>
      <w:r w:rsidRPr="00EF11A6">
        <w:rPr>
          <w:rFonts w:ascii="David" w:hAnsi="David"/>
          <w:color w:val="FFFFFF"/>
          <w:sz w:val="2"/>
          <w:szCs w:val="2"/>
          <w:rtl/>
        </w:rPr>
        <w:t>54678313</w:t>
      </w:r>
    </w:p>
    <w:p w14:paraId="58558E03" w14:textId="77777777" w:rsidR="00EF11A6" w:rsidRDefault="00EF11A6" w:rsidP="00EF11A6">
      <w:pPr>
        <w:keepNext/>
        <w:rPr>
          <w:rFonts w:hint="cs"/>
          <w:color w:val="0000FF"/>
          <w:u w:val="single"/>
          <w:rtl/>
        </w:rPr>
      </w:pPr>
    </w:p>
    <w:p w14:paraId="6535F582" w14:textId="77777777" w:rsidR="00EF11A6" w:rsidRPr="00EF11A6" w:rsidRDefault="007216B8" w:rsidP="00EF11A6">
      <w:pPr>
        <w:keepNext/>
        <w:rPr>
          <w:rFonts w:ascii="David" w:hAnsi="David"/>
          <w:color w:val="000000"/>
          <w:sz w:val="22"/>
          <w:szCs w:val="22"/>
          <w:rtl/>
        </w:rPr>
      </w:pPr>
      <w:hyperlink r:id="rId8" w:history="1">
        <w:r>
          <w:rPr>
            <w:color w:val="0000FF"/>
            <w:u w:val="single"/>
            <w:rtl/>
          </w:rPr>
          <w:t>בעניין עריכה ושינויים במסמכי פסיקה, חקיקה ועוד באתר נבו – הקש כאן</w:t>
        </w:r>
      </w:hyperlink>
    </w:p>
    <w:p w14:paraId="6218760F" w14:textId="77777777" w:rsidR="00EF11A6" w:rsidRPr="00EF11A6" w:rsidRDefault="00EF11A6" w:rsidP="00EF11A6">
      <w:pPr>
        <w:keepNext/>
        <w:rPr>
          <w:rFonts w:ascii="David" w:hAnsi="David"/>
          <w:color w:val="000000"/>
          <w:sz w:val="22"/>
          <w:szCs w:val="22"/>
          <w:rtl/>
        </w:rPr>
      </w:pPr>
      <w:r w:rsidRPr="00EF11A6">
        <w:rPr>
          <w:rFonts w:ascii="David" w:hAnsi="David"/>
          <w:color w:val="000000"/>
          <w:sz w:val="22"/>
          <w:szCs w:val="22"/>
          <w:rtl/>
        </w:rPr>
        <w:t>עינת רון 54678313-/</w:t>
      </w:r>
    </w:p>
    <w:p w14:paraId="5F7604A0" w14:textId="77777777" w:rsidR="001D6535" w:rsidRPr="007216B8" w:rsidRDefault="00EF11A6" w:rsidP="00EF11A6">
      <w:pPr>
        <w:rPr>
          <w:rFonts w:hint="cs"/>
          <w:color w:val="0000FF"/>
          <w:u w:val="single"/>
        </w:rPr>
      </w:pPr>
      <w:r w:rsidRPr="00EF11A6">
        <w:rPr>
          <w:color w:val="000000"/>
          <w:u w:val="single"/>
          <w:rtl/>
        </w:rPr>
        <w:t>נוסח מסמך זה כפוף לשינויי ניסוח ועריכה</w:t>
      </w:r>
    </w:p>
    <w:sectPr w:rsidR="001D6535" w:rsidRPr="007216B8" w:rsidSect="00EF11A6">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EB101" w14:textId="77777777" w:rsidR="00CE7FB3" w:rsidRPr="00C46544" w:rsidRDefault="00CE7FB3">
      <w:pPr>
        <w:rPr>
          <w:rFonts w:cs="Arial"/>
          <w:szCs w:val="20"/>
        </w:rPr>
      </w:pPr>
      <w:r>
        <w:separator/>
      </w:r>
    </w:p>
  </w:endnote>
  <w:endnote w:type="continuationSeparator" w:id="0">
    <w:p w14:paraId="5BBBF91C" w14:textId="77777777" w:rsidR="00CE7FB3" w:rsidRPr="00C46544" w:rsidRDefault="00CE7FB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4E97E" w14:textId="77777777" w:rsidR="00CE7FB3" w:rsidRDefault="00CE7FB3" w:rsidP="00EF11A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315E816F" w14:textId="77777777" w:rsidR="00CE7FB3" w:rsidRPr="00EF11A6" w:rsidRDefault="00CE7FB3" w:rsidP="00EF11A6">
    <w:pPr>
      <w:pStyle w:val="a4"/>
      <w:pBdr>
        <w:top w:val="single" w:sz="4" w:space="1" w:color="auto"/>
        <w:between w:val="single" w:sz="4" w:space="0" w:color="auto"/>
      </w:pBdr>
      <w:spacing w:after="60"/>
      <w:jc w:val="center"/>
      <w:rPr>
        <w:rFonts w:ascii="FrankRuehl" w:hAnsi="FrankRuehl" w:cs="FrankRuehl"/>
        <w:color w:val="000000"/>
      </w:rPr>
    </w:pPr>
    <w:r w:rsidRPr="00EF11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E7D42" w14:textId="77777777" w:rsidR="00CE7FB3" w:rsidRDefault="00CE7FB3" w:rsidP="00EF11A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4DB6">
      <w:rPr>
        <w:rFonts w:ascii="FrankRuehl" w:hAnsi="FrankRuehl" w:cs="FrankRuehl"/>
        <w:noProof/>
        <w:rtl/>
      </w:rPr>
      <w:t>1</w:t>
    </w:r>
    <w:r>
      <w:rPr>
        <w:rFonts w:ascii="FrankRuehl" w:hAnsi="FrankRuehl" w:cs="FrankRuehl"/>
        <w:rtl/>
      </w:rPr>
      <w:fldChar w:fldCharType="end"/>
    </w:r>
  </w:p>
  <w:p w14:paraId="2A77FF7B" w14:textId="77777777" w:rsidR="00CE7FB3" w:rsidRPr="00EF11A6" w:rsidRDefault="00CE7FB3" w:rsidP="00EF11A6">
    <w:pPr>
      <w:pStyle w:val="a4"/>
      <w:pBdr>
        <w:top w:val="single" w:sz="4" w:space="1" w:color="auto"/>
        <w:between w:val="single" w:sz="4" w:space="0" w:color="auto"/>
      </w:pBdr>
      <w:spacing w:after="60"/>
      <w:jc w:val="center"/>
      <w:rPr>
        <w:rFonts w:ascii="FrankRuehl" w:hAnsi="FrankRuehl" w:cs="FrankRuehl"/>
        <w:color w:val="000000"/>
      </w:rPr>
    </w:pPr>
    <w:r w:rsidRPr="00EF11A6">
      <w:rPr>
        <w:rFonts w:ascii="FrankRuehl" w:hAnsi="FrankRuehl" w:cs="FrankRuehl"/>
        <w:color w:val="000000"/>
      </w:rPr>
      <w:pict w14:anchorId="0F9BC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0F885" w14:textId="77777777" w:rsidR="00CE7FB3" w:rsidRPr="00C46544" w:rsidRDefault="00CE7FB3">
      <w:pPr>
        <w:rPr>
          <w:rFonts w:cs="Arial"/>
          <w:szCs w:val="20"/>
        </w:rPr>
      </w:pPr>
      <w:r>
        <w:separator/>
      </w:r>
    </w:p>
  </w:footnote>
  <w:footnote w:type="continuationSeparator" w:id="0">
    <w:p w14:paraId="2037B7CC" w14:textId="77777777" w:rsidR="00CE7FB3" w:rsidRPr="00C46544" w:rsidRDefault="00CE7FB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4A3A" w14:textId="77777777" w:rsidR="00CE7FB3" w:rsidRPr="00EF11A6" w:rsidRDefault="00CE7FB3" w:rsidP="00EF11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20615-02-13</w:t>
    </w:r>
    <w:r>
      <w:rPr>
        <w:rFonts w:ascii="David" w:hAnsi="David"/>
        <w:color w:val="000000"/>
        <w:sz w:val="22"/>
        <w:szCs w:val="22"/>
        <w:rtl/>
      </w:rPr>
      <w:tab/>
      <w:t xml:space="preserve"> מדינת ישראל נ' גנדי לרמן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41D90" w14:textId="77777777" w:rsidR="00CE7FB3" w:rsidRPr="00EF11A6" w:rsidRDefault="00CE7FB3" w:rsidP="00EF11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20615-02-13</w:t>
    </w:r>
    <w:r>
      <w:rPr>
        <w:rFonts w:ascii="David" w:hAnsi="David"/>
        <w:color w:val="000000"/>
        <w:sz w:val="22"/>
        <w:szCs w:val="22"/>
        <w:rtl/>
      </w:rPr>
      <w:tab/>
      <w:t xml:space="preserve"> מדינת ישראל נ' גנדי לרמן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6535"/>
    <w:rsid w:val="00060A05"/>
    <w:rsid w:val="001D6535"/>
    <w:rsid w:val="007216B8"/>
    <w:rsid w:val="00725EB4"/>
    <w:rsid w:val="008F0FC7"/>
    <w:rsid w:val="00B425ED"/>
    <w:rsid w:val="00CE7FB3"/>
    <w:rsid w:val="00D14DB6"/>
    <w:rsid w:val="00EF1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4702A9C"/>
  <w15:chartTrackingRefBased/>
  <w15:docId w15:val="{1EC8726B-01DC-450D-A582-13DCA2B1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653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D6535"/>
    <w:pPr>
      <w:tabs>
        <w:tab w:val="center" w:pos="4153"/>
        <w:tab w:val="right" w:pos="8306"/>
      </w:tabs>
    </w:pPr>
  </w:style>
  <w:style w:type="paragraph" w:styleId="a4">
    <w:name w:val="footer"/>
    <w:basedOn w:val="a"/>
    <w:rsid w:val="001D6535"/>
    <w:pPr>
      <w:tabs>
        <w:tab w:val="center" w:pos="4153"/>
        <w:tab w:val="right" w:pos="8306"/>
      </w:tabs>
    </w:pPr>
  </w:style>
  <w:style w:type="character" w:styleId="a5">
    <w:name w:val="page number"/>
    <w:basedOn w:val="a0"/>
    <w:rsid w:val="001D6535"/>
  </w:style>
  <w:style w:type="character" w:styleId="Hyperlink">
    <w:name w:val="Hyperlink"/>
    <w:basedOn w:val="a0"/>
    <w:rsid w:val="00721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3389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4058</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2025-04-22T21:56:00Z</dcterms:created>
  <dcterms:modified xsi:type="dcterms:W3CDTF">2025-04-22T21:56:00Z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20615</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גנדי לרמן</vt:lpwstr>
  </property>
  <property fmtid="{D5CDD505-2E9C-101B-9397-08002B2CF9AE}" pid="10" name="LAWYER">
    <vt:lpwstr>מיקי ברגר;זאב וישניא</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20150126</vt:lpwstr>
  </property>
  <property fmtid="{D5CDD505-2E9C-101B-9397-08002B2CF9AE}" pid="14" name="TYPE_N_DATE">
    <vt:lpwstr>38020150126</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380020150126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