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4267E" w:rsidRPr="002D770C" w14:paraId="6E42B8A0" w14:textId="77777777">
        <w:trPr>
          <w:trHeight w:hRule="exact" w:val="418"/>
          <w:jc w:val="center"/>
        </w:trPr>
        <w:tc>
          <w:tcPr>
            <w:tcW w:w="8720" w:type="dxa"/>
            <w:gridSpan w:val="3"/>
          </w:tcPr>
          <w:p w14:paraId="66087A25" w14:textId="77777777" w:rsidR="0034267E" w:rsidRPr="002D770C" w:rsidRDefault="002D770C">
            <w:pPr>
              <w:pStyle w:val="a3"/>
              <w:tabs>
                <w:tab w:val="clear" w:pos="8306"/>
              </w:tabs>
              <w:jc w:val="center"/>
              <w:rPr>
                <w:rFonts w:ascii="Tahoma" w:hAnsi="Tahoma" w:cs="Tahoma"/>
                <w:b/>
                <w:bCs/>
                <w:color w:val="000080"/>
                <w:sz w:val="20"/>
                <w:szCs w:val="20"/>
                <w:rtl/>
              </w:rPr>
            </w:pPr>
            <w:bookmarkStart w:id="0" w:name="LastJudge"/>
            <w:r w:rsidRPr="002D770C">
              <w:rPr>
                <w:rFonts w:ascii="Tahoma" w:hAnsi="Tahoma" w:cs="Tahoma"/>
                <w:b/>
                <w:bCs/>
                <w:color w:val="000080"/>
                <w:sz w:val="20"/>
                <w:szCs w:val="20"/>
                <w:rtl/>
              </w:rPr>
              <w:t>בית משפט השלום בעכו</w:t>
            </w:r>
          </w:p>
        </w:tc>
      </w:tr>
      <w:tr w:rsidR="0034267E" w:rsidRPr="002D770C" w14:paraId="61D936FA" w14:textId="77777777">
        <w:trPr>
          <w:trHeight w:val="337"/>
          <w:jc w:val="center"/>
        </w:trPr>
        <w:tc>
          <w:tcPr>
            <w:tcW w:w="6396" w:type="dxa"/>
          </w:tcPr>
          <w:p w14:paraId="10B1D481" w14:textId="77777777" w:rsidR="0034267E" w:rsidRPr="002D770C" w:rsidRDefault="002D770C">
            <w:pPr>
              <w:rPr>
                <w:b/>
                <w:bCs/>
                <w:sz w:val="26"/>
                <w:szCs w:val="26"/>
                <w:rtl/>
              </w:rPr>
            </w:pPr>
            <w:r w:rsidRPr="002D770C">
              <w:rPr>
                <w:b/>
                <w:bCs/>
                <w:sz w:val="26"/>
                <w:szCs w:val="26"/>
                <w:rtl/>
              </w:rPr>
              <w:t>ת"פ</w:t>
            </w:r>
            <w:r w:rsidRPr="002D770C">
              <w:rPr>
                <w:rFonts w:hint="cs"/>
                <w:b/>
                <w:bCs/>
                <w:sz w:val="26"/>
                <w:szCs w:val="26"/>
                <w:rtl/>
              </w:rPr>
              <w:t xml:space="preserve"> </w:t>
            </w:r>
            <w:r w:rsidRPr="002D770C">
              <w:rPr>
                <w:b/>
                <w:bCs/>
                <w:sz w:val="26"/>
                <w:szCs w:val="26"/>
                <w:rtl/>
              </w:rPr>
              <w:t>3798-02-13</w:t>
            </w:r>
            <w:r w:rsidRPr="002D770C">
              <w:rPr>
                <w:rFonts w:hint="cs"/>
                <w:b/>
                <w:bCs/>
                <w:sz w:val="26"/>
                <w:szCs w:val="26"/>
                <w:rtl/>
              </w:rPr>
              <w:t xml:space="preserve"> </w:t>
            </w:r>
            <w:r w:rsidRPr="002D770C">
              <w:rPr>
                <w:b/>
                <w:bCs/>
                <w:sz w:val="26"/>
                <w:szCs w:val="26"/>
                <w:rtl/>
              </w:rPr>
              <w:t>מדינת ישראל נ' אדרי</w:t>
            </w:r>
          </w:p>
          <w:p w14:paraId="11320E71" w14:textId="77777777" w:rsidR="0034267E" w:rsidRPr="002D770C" w:rsidRDefault="0034267E">
            <w:pPr>
              <w:rPr>
                <w:b/>
                <w:bCs/>
                <w:sz w:val="26"/>
                <w:szCs w:val="26"/>
                <w:rtl/>
              </w:rPr>
            </w:pPr>
          </w:p>
        </w:tc>
        <w:tc>
          <w:tcPr>
            <w:tcW w:w="236" w:type="dxa"/>
          </w:tcPr>
          <w:p w14:paraId="4860B3A8" w14:textId="77777777" w:rsidR="0034267E" w:rsidRPr="002D770C" w:rsidRDefault="0034267E">
            <w:pPr>
              <w:pStyle w:val="a3"/>
              <w:jc w:val="right"/>
              <w:rPr>
                <w:b/>
                <w:bCs/>
                <w:sz w:val="26"/>
                <w:szCs w:val="26"/>
                <w:rtl/>
              </w:rPr>
            </w:pPr>
          </w:p>
        </w:tc>
        <w:tc>
          <w:tcPr>
            <w:tcW w:w="2088" w:type="dxa"/>
          </w:tcPr>
          <w:p w14:paraId="40D90D1F" w14:textId="77777777" w:rsidR="0034267E" w:rsidRPr="002D770C" w:rsidRDefault="002D770C">
            <w:pPr>
              <w:pStyle w:val="a3"/>
              <w:tabs>
                <w:tab w:val="clear" w:pos="4153"/>
              </w:tabs>
              <w:jc w:val="right"/>
              <w:rPr>
                <w:b/>
                <w:bCs/>
                <w:sz w:val="26"/>
                <w:szCs w:val="26"/>
                <w:rtl/>
              </w:rPr>
            </w:pPr>
            <w:r w:rsidRPr="002D770C">
              <w:rPr>
                <w:b/>
                <w:bCs/>
                <w:sz w:val="26"/>
                <w:szCs w:val="26"/>
                <w:rtl/>
              </w:rPr>
              <w:t>10 יולי 2014</w:t>
            </w:r>
          </w:p>
        </w:tc>
      </w:tr>
    </w:tbl>
    <w:p w14:paraId="651EF10E" w14:textId="77777777" w:rsidR="0034267E" w:rsidRPr="002D770C" w:rsidRDefault="0034267E">
      <w:pPr>
        <w:pStyle w:val="a3"/>
        <w:jc w:val="center"/>
        <w:rPr>
          <w:rFonts w:ascii="Tahoma" w:hAnsi="Tahoma" w:cs="Tahoma"/>
          <w:b/>
          <w:bCs/>
          <w:color w:val="000080"/>
          <w:sz w:val="20"/>
          <w:szCs w:val="20"/>
          <w:rtl/>
        </w:rPr>
      </w:pPr>
    </w:p>
    <w:p w14:paraId="6F1296ED" w14:textId="77777777" w:rsidR="0034267E" w:rsidRPr="002D770C" w:rsidRDefault="0034267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4267E" w:rsidRPr="002D770C" w14:paraId="0510F378" w14:textId="77777777">
        <w:trPr>
          <w:gridAfter w:val="1"/>
          <w:wAfter w:w="55" w:type="dxa"/>
        </w:trPr>
        <w:tc>
          <w:tcPr>
            <w:tcW w:w="8719" w:type="dxa"/>
            <w:gridSpan w:val="2"/>
          </w:tcPr>
          <w:p w14:paraId="3734F111" w14:textId="77777777" w:rsidR="0034267E" w:rsidRPr="002D770C" w:rsidRDefault="002D770C">
            <w:pPr>
              <w:spacing w:line="360" w:lineRule="auto"/>
              <w:rPr>
                <w:rFonts w:ascii="Times New Roman" w:eastAsia="Times New Roman" w:hAnsi="Times New Roman"/>
                <w:b/>
                <w:bCs/>
                <w:sz w:val="26"/>
                <w:szCs w:val="26"/>
                <w:rtl/>
              </w:rPr>
            </w:pPr>
            <w:r w:rsidRPr="002D770C">
              <w:rPr>
                <w:rFonts w:ascii="Times New Roman" w:eastAsia="Times New Roman" w:hAnsi="Times New Roman" w:hint="cs"/>
                <w:b/>
                <w:bCs/>
                <w:sz w:val="26"/>
                <w:szCs w:val="26"/>
                <w:rtl/>
              </w:rPr>
              <w:t>בפני כב' ה</w:t>
            </w:r>
            <w:r w:rsidRPr="002D770C">
              <w:rPr>
                <w:rFonts w:ascii="Times New Roman" w:eastAsia="Times New Roman" w:hAnsi="Times New Roman" w:hint="cs"/>
                <w:rtl/>
              </w:rPr>
              <w:t>שופטת שושנה פיינסוד-כהן</w:t>
            </w:r>
            <w:r w:rsidRPr="002D770C">
              <w:rPr>
                <w:rStyle w:val="TimesNewRomanTimesNewRoman"/>
                <w:rFonts w:eastAsia="Times New Roman"/>
                <w:rtl/>
              </w:rPr>
              <w:t xml:space="preserve"> </w:t>
            </w:r>
          </w:p>
        </w:tc>
      </w:tr>
      <w:tr w:rsidR="0034267E" w:rsidRPr="002D770C" w14:paraId="7F393D0B" w14:textId="77777777">
        <w:tc>
          <w:tcPr>
            <w:tcW w:w="2880" w:type="dxa"/>
          </w:tcPr>
          <w:p w14:paraId="7658F159" w14:textId="77777777" w:rsidR="0034267E" w:rsidRPr="002D770C" w:rsidRDefault="002D770C">
            <w:pPr>
              <w:ind w:left="26"/>
              <w:rPr>
                <w:rFonts w:ascii="Times New Roman" w:eastAsia="Times New Roman" w:hAnsi="Times New Roman"/>
                <w:b/>
                <w:bCs/>
                <w:sz w:val="26"/>
                <w:szCs w:val="26"/>
                <w:rtl/>
              </w:rPr>
            </w:pPr>
            <w:bookmarkStart w:id="1" w:name="FirstAppellant"/>
            <w:r w:rsidRPr="002D770C">
              <w:rPr>
                <w:rFonts w:ascii="Times New Roman" w:eastAsia="Times New Roman" w:hAnsi="Times New Roman" w:hint="cs"/>
                <w:b/>
                <w:bCs/>
                <w:sz w:val="26"/>
                <w:szCs w:val="26"/>
                <w:rtl/>
              </w:rPr>
              <w:t>ה</w:t>
            </w:r>
            <w:r w:rsidRPr="002D770C">
              <w:rPr>
                <w:rFonts w:ascii="Times New Roman" w:eastAsia="Times New Roman" w:hAnsi="Times New Roman" w:hint="cs"/>
                <w:rtl/>
              </w:rPr>
              <w:t>מאשימה</w:t>
            </w:r>
          </w:p>
        </w:tc>
        <w:tc>
          <w:tcPr>
            <w:tcW w:w="5922" w:type="dxa"/>
            <w:gridSpan w:val="2"/>
          </w:tcPr>
          <w:p w14:paraId="4D2FCA5C" w14:textId="77777777" w:rsidR="0034267E" w:rsidRPr="002D770C" w:rsidRDefault="002D770C">
            <w:pPr>
              <w:rPr>
                <w:rFonts w:ascii="Times New Roman" w:eastAsia="Times New Roman" w:hAnsi="Times New Roman"/>
                <w:b/>
                <w:bCs/>
                <w:sz w:val="26"/>
                <w:szCs w:val="26"/>
                <w:rtl/>
              </w:rPr>
            </w:pPr>
            <w:r w:rsidRPr="002D770C">
              <w:rPr>
                <w:rFonts w:ascii="Times New Roman" w:eastAsia="Times New Roman" w:hAnsi="Times New Roman" w:hint="cs"/>
                <w:rtl/>
              </w:rPr>
              <w:t>מדינת ישראל</w:t>
            </w:r>
          </w:p>
          <w:p w14:paraId="3D72FBF8" w14:textId="77777777" w:rsidR="0034267E" w:rsidRPr="002D770C" w:rsidRDefault="0034267E">
            <w:pPr>
              <w:rPr>
                <w:rFonts w:ascii="Times New Roman" w:eastAsia="Times New Roman" w:hAnsi="Times New Roman"/>
                <w:b/>
                <w:bCs/>
                <w:sz w:val="26"/>
                <w:szCs w:val="26"/>
                <w:rtl/>
              </w:rPr>
            </w:pPr>
          </w:p>
        </w:tc>
      </w:tr>
      <w:bookmarkEnd w:id="1"/>
      <w:tr w:rsidR="0034267E" w:rsidRPr="002D770C" w14:paraId="6E541D82" w14:textId="77777777">
        <w:tc>
          <w:tcPr>
            <w:tcW w:w="8802" w:type="dxa"/>
            <w:gridSpan w:val="3"/>
          </w:tcPr>
          <w:p w14:paraId="51E7DB09" w14:textId="77777777" w:rsidR="0034267E" w:rsidRPr="002D770C" w:rsidRDefault="002D770C">
            <w:pPr>
              <w:jc w:val="center"/>
              <w:rPr>
                <w:rFonts w:ascii="Arial" w:eastAsia="Times New Roman" w:hAnsi="Arial"/>
                <w:b/>
                <w:bCs/>
                <w:sz w:val="26"/>
                <w:szCs w:val="26"/>
                <w:rtl/>
              </w:rPr>
            </w:pPr>
            <w:r w:rsidRPr="002D770C">
              <w:rPr>
                <w:rFonts w:ascii="Arial" w:eastAsia="Times New Roman" w:hAnsi="Arial"/>
                <w:b/>
                <w:bCs/>
                <w:sz w:val="26"/>
                <w:szCs w:val="26"/>
                <w:rtl/>
              </w:rPr>
              <w:t>נגד</w:t>
            </w:r>
          </w:p>
          <w:p w14:paraId="46CAD4D7" w14:textId="77777777" w:rsidR="0034267E" w:rsidRPr="002D770C" w:rsidRDefault="0034267E">
            <w:pPr>
              <w:jc w:val="center"/>
              <w:rPr>
                <w:rFonts w:ascii="Arial" w:eastAsia="Times New Roman" w:hAnsi="Arial"/>
                <w:b/>
                <w:bCs/>
                <w:sz w:val="26"/>
                <w:szCs w:val="26"/>
              </w:rPr>
            </w:pPr>
          </w:p>
        </w:tc>
      </w:tr>
      <w:tr w:rsidR="0034267E" w:rsidRPr="002D770C" w14:paraId="7AC9F96D" w14:textId="77777777">
        <w:tc>
          <w:tcPr>
            <w:tcW w:w="2880" w:type="dxa"/>
          </w:tcPr>
          <w:p w14:paraId="2BFD0987" w14:textId="77777777" w:rsidR="0034267E" w:rsidRPr="002D770C" w:rsidRDefault="002D770C">
            <w:pPr>
              <w:ind w:left="26"/>
              <w:rPr>
                <w:rFonts w:ascii="Times New Roman" w:eastAsia="Times New Roman" w:hAnsi="Times New Roman"/>
                <w:b/>
                <w:bCs/>
                <w:sz w:val="26"/>
                <w:szCs w:val="26"/>
                <w:rtl/>
              </w:rPr>
            </w:pPr>
            <w:r w:rsidRPr="002D770C">
              <w:rPr>
                <w:rFonts w:ascii="Times New Roman" w:eastAsia="Times New Roman" w:hAnsi="Times New Roman" w:hint="cs"/>
                <w:b/>
                <w:bCs/>
                <w:sz w:val="26"/>
                <w:szCs w:val="26"/>
                <w:rtl/>
              </w:rPr>
              <w:t>ה</w:t>
            </w:r>
            <w:r w:rsidRPr="002D770C">
              <w:rPr>
                <w:rFonts w:ascii="Times New Roman" w:eastAsia="Times New Roman" w:hAnsi="Times New Roman" w:hint="cs"/>
                <w:rtl/>
              </w:rPr>
              <w:t>נאשם</w:t>
            </w:r>
          </w:p>
        </w:tc>
        <w:tc>
          <w:tcPr>
            <w:tcW w:w="5922" w:type="dxa"/>
            <w:gridSpan w:val="2"/>
          </w:tcPr>
          <w:p w14:paraId="256338EA" w14:textId="77777777" w:rsidR="0034267E" w:rsidRPr="002D770C" w:rsidRDefault="002D770C">
            <w:pPr>
              <w:rPr>
                <w:rFonts w:ascii="Times New Roman" w:eastAsia="Times New Roman" w:hAnsi="Times New Roman"/>
                <w:b/>
                <w:bCs/>
                <w:sz w:val="26"/>
                <w:szCs w:val="26"/>
                <w:rtl/>
              </w:rPr>
            </w:pPr>
            <w:r w:rsidRPr="002D770C">
              <w:rPr>
                <w:rFonts w:ascii="Times New Roman" w:eastAsia="Times New Roman" w:hAnsi="Times New Roman" w:hint="cs"/>
                <w:rtl/>
              </w:rPr>
              <w:t>שמעון אדרי</w:t>
            </w:r>
          </w:p>
          <w:p w14:paraId="6A8B3DAD" w14:textId="77777777" w:rsidR="0034267E" w:rsidRPr="002D770C" w:rsidRDefault="0034267E">
            <w:pPr>
              <w:rPr>
                <w:rFonts w:ascii="Times New Roman" w:eastAsia="Times New Roman" w:hAnsi="Times New Roman"/>
                <w:b/>
                <w:bCs/>
                <w:sz w:val="26"/>
                <w:szCs w:val="26"/>
                <w:rtl/>
              </w:rPr>
            </w:pPr>
          </w:p>
        </w:tc>
      </w:tr>
    </w:tbl>
    <w:p w14:paraId="3172B3CC" w14:textId="77777777" w:rsidR="0034267E" w:rsidRPr="002D770C" w:rsidRDefault="002D770C">
      <w:pPr>
        <w:spacing w:line="360" w:lineRule="auto"/>
        <w:jc w:val="both"/>
        <w:rPr>
          <w:sz w:val="6"/>
          <w:szCs w:val="6"/>
          <w:rtl/>
        </w:rPr>
      </w:pPr>
      <w:r w:rsidRPr="002D770C">
        <w:rPr>
          <w:sz w:val="6"/>
          <w:szCs w:val="6"/>
          <w:rtl/>
        </w:rPr>
        <w:t>&lt;#2#&gt;</w:t>
      </w:r>
    </w:p>
    <w:p w14:paraId="186873DA" w14:textId="77777777" w:rsidR="0034267E" w:rsidRPr="002D770C" w:rsidRDefault="002D770C">
      <w:pPr>
        <w:pStyle w:val="12"/>
        <w:rPr>
          <w:u w:val="none"/>
          <w:rtl/>
        </w:rPr>
      </w:pPr>
      <w:r w:rsidRPr="002D770C">
        <w:rPr>
          <w:rFonts w:hint="cs"/>
          <w:u w:val="none"/>
          <w:rtl/>
        </w:rPr>
        <w:t>נוכחים:</w:t>
      </w:r>
    </w:p>
    <w:p w14:paraId="7A312465" w14:textId="77777777" w:rsidR="0034267E" w:rsidRPr="002D770C" w:rsidRDefault="0034267E">
      <w:pPr>
        <w:pStyle w:val="12"/>
        <w:rPr>
          <w:b w:val="0"/>
          <w:bCs w:val="0"/>
          <w:u w:val="none"/>
          <w:rtl/>
        </w:rPr>
      </w:pPr>
    </w:p>
    <w:p w14:paraId="4A4E2B5B" w14:textId="77777777" w:rsidR="0034267E" w:rsidRPr="002D770C" w:rsidRDefault="002D770C">
      <w:pPr>
        <w:pStyle w:val="12"/>
        <w:rPr>
          <w:b w:val="0"/>
          <w:bCs w:val="0"/>
          <w:u w:val="none"/>
          <w:rtl/>
        </w:rPr>
      </w:pPr>
      <w:bookmarkStart w:id="2" w:name="FirstLawyer"/>
      <w:r w:rsidRPr="002D770C">
        <w:rPr>
          <w:rFonts w:hint="cs"/>
          <w:b w:val="0"/>
          <w:bCs w:val="0"/>
          <w:u w:val="none"/>
          <w:rtl/>
        </w:rPr>
        <w:t>ב"כ</w:t>
      </w:r>
      <w:bookmarkEnd w:id="2"/>
      <w:r w:rsidRPr="002D770C">
        <w:rPr>
          <w:rFonts w:hint="cs"/>
          <w:b w:val="0"/>
          <w:bCs w:val="0"/>
          <w:u w:val="none"/>
          <w:rtl/>
        </w:rPr>
        <w:t xml:space="preserve"> המאשימה </w:t>
      </w:r>
      <w:r w:rsidRPr="002D770C">
        <w:rPr>
          <w:b w:val="0"/>
          <w:bCs w:val="0"/>
          <w:u w:val="none"/>
          <w:rtl/>
        </w:rPr>
        <w:t>–</w:t>
      </w:r>
      <w:r w:rsidRPr="002D770C">
        <w:rPr>
          <w:rFonts w:hint="cs"/>
          <w:b w:val="0"/>
          <w:bCs w:val="0"/>
          <w:u w:val="none"/>
          <w:rtl/>
        </w:rPr>
        <w:t>עו"ד אינאס סמוחה</w:t>
      </w:r>
    </w:p>
    <w:p w14:paraId="33E214DB" w14:textId="77777777" w:rsidR="0034267E" w:rsidRPr="002D770C" w:rsidRDefault="002D770C">
      <w:pPr>
        <w:pStyle w:val="12"/>
        <w:rPr>
          <w:b w:val="0"/>
          <w:bCs w:val="0"/>
          <w:u w:val="none"/>
          <w:rtl/>
        </w:rPr>
      </w:pPr>
      <w:r w:rsidRPr="002D770C">
        <w:rPr>
          <w:rFonts w:hint="cs"/>
          <w:b w:val="0"/>
          <w:bCs w:val="0"/>
          <w:u w:val="none"/>
          <w:rtl/>
        </w:rPr>
        <w:t xml:space="preserve">הנאשם </w:t>
      </w:r>
      <w:r w:rsidRPr="002D770C">
        <w:rPr>
          <w:b w:val="0"/>
          <w:bCs w:val="0"/>
          <w:u w:val="none"/>
          <w:rtl/>
        </w:rPr>
        <w:t>–</w:t>
      </w:r>
      <w:r w:rsidRPr="002D770C">
        <w:rPr>
          <w:rFonts w:hint="cs"/>
          <w:b w:val="0"/>
          <w:bCs w:val="0"/>
          <w:u w:val="none"/>
          <w:rtl/>
        </w:rPr>
        <w:t>נוכח</w:t>
      </w:r>
    </w:p>
    <w:p w14:paraId="0346E463" w14:textId="77777777" w:rsidR="0034267E" w:rsidRPr="002D770C" w:rsidRDefault="002D770C">
      <w:pPr>
        <w:pStyle w:val="12"/>
        <w:rPr>
          <w:b w:val="0"/>
          <w:bCs w:val="0"/>
          <w:u w:val="none"/>
          <w:rtl/>
        </w:rPr>
      </w:pPr>
      <w:r w:rsidRPr="002D770C">
        <w:rPr>
          <w:rFonts w:hint="cs"/>
          <w:b w:val="0"/>
          <w:bCs w:val="0"/>
          <w:u w:val="none"/>
          <w:rtl/>
        </w:rPr>
        <w:t xml:space="preserve">הסניגור </w:t>
      </w:r>
      <w:r w:rsidRPr="002D770C">
        <w:rPr>
          <w:b w:val="0"/>
          <w:bCs w:val="0"/>
          <w:u w:val="none"/>
          <w:rtl/>
        </w:rPr>
        <w:t>–</w:t>
      </w:r>
      <w:r w:rsidRPr="002D770C">
        <w:rPr>
          <w:rFonts w:hint="cs"/>
          <w:b w:val="0"/>
          <w:bCs w:val="0"/>
          <w:u w:val="none"/>
          <w:rtl/>
        </w:rPr>
        <w:t>עו"ד אסי בוחבוט, ס.ציבורי</w:t>
      </w:r>
    </w:p>
    <w:p w14:paraId="51B460BD" w14:textId="77777777" w:rsidR="0034267E" w:rsidRPr="002D770C" w:rsidRDefault="0034267E">
      <w:pPr>
        <w:pStyle w:val="12"/>
        <w:rPr>
          <w:b w:val="0"/>
          <w:bCs w:val="0"/>
          <w:u w:val="none"/>
          <w:rtl/>
        </w:rPr>
      </w:pPr>
    </w:p>
    <w:p w14:paraId="0FF0040A" w14:textId="77777777" w:rsidR="000E1FA4" w:rsidRDefault="002D770C">
      <w:pPr>
        <w:pStyle w:val="a6"/>
        <w:spacing w:line="360" w:lineRule="auto"/>
        <w:jc w:val="center"/>
        <w:rPr>
          <w:rFonts w:ascii="Arial" w:eastAsia="David" w:hAnsi="Arial"/>
          <w:bCs w:val="0"/>
          <w:snapToGrid/>
          <w:sz w:val="28"/>
          <w:szCs w:val="28"/>
          <w:rtl/>
          <w:lang w:eastAsia="en-US"/>
        </w:rPr>
      </w:pPr>
      <w:r w:rsidRPr="002D770C">
        <w:rPr>
          <w:rFonts w:ascii="Arial" w:eastAsia="David" w:hAnsi="Arial"/>
          <w:b/>
          <w:bCs w:val="0"/>
          <w:snapToGrid/>
          <w:color w:val="FF0000"/>
          <w:sz w:val="28"/>
          <w:rtl/>
          <w:lang w:eastAsia="en-US"/>
        </w:rPr>
        <w:t>במסמך זה הושמטו פרוטוקולים</w:t>
      </w:r>
      <w:bookmarkStart w:id="3" w:name="LawTable"/>
      <w:bookmarkEnd w:id="3"/>
    </w:p>
    <w:p w14:paraId="05D7A1CB" w14:textId="77777777" w:rsidR="000E1FA4" w:rsidRPr="000E1FA4" w:rsidRDefault="000E1FA4" w:rsidP="000E1FA4">
      <w:pPr>
        <w:pStyle w:val="a6"/>
        <w:spacing w:after="120" w:line="240" w:lineRule="exact"/>
        <w:ind w:left="283" w:hanging="283"/>
        <w:jc w:val="both"/>
        <w:rPr>
          <w:rFonts w:ascii="FrankRuehl" w:eastAsia="David" w:hAnsi="FrankRuehl" w:cs="FrankRuehl"/>
          <w:bCs w:val="0"/>
          <w:snapToGrid/>
          <w:sz w:val="24"/>
          <w:rtl/>
          <w:lang w:eastAsia="en-US"/>
        </w:rPr>
      </w:pPr>
    </w:p>
    <w:p w14:paraId="3C669807" w14:textId="77777777" w:rsidR="000E1FA4" w:rsidRPr="000E1FA4" w:rsidRDefault="000E1FA4" w:rsidP="000E1FA4">
      <w:pPr>
        <w:pStyle w:val="a6"/>
        <w:spacing w:after="120" w:line="240" w:lineRule="exact"/>
        <w:ind w:left="283" w:hanging="283"/>
        <w:jc w:val="both"/>
        <w:rPr>
          <w:rFonts w:ascii="FrankRuehl" w:eastAsia="David" w:hAnsi="FrankRuehl" w:cs="FrankRuehl"/>
          <w:bCs w:val="0"/>
          <w:snapToGrid/>
          <w:sz w:val="24"/>
          <w:rtl/>
          <w:lang w:eastAsia="en-US"/>
        </w:rPr>
      </w:pPr>
      <w:r w:rsidRPr="000E1FA4">
        <w:rPr>
          <w:rFonts w:ascii="FrankRuehl" w:eastAsia="David" w:hAnsi="FrankRuehl" w:cs="FrankRuehl"/>
          <w:bCs w:val="0"/>
          <w:snapToGrid/>
          <w:sz w:val="24"/>
          <w:rtl/>
          <w:lang w:eastAsia="en-US"/>
        </w:rPr>
        <w:t xml:space="preserve">חקיקה שאוזכרה: </w:t>
      </w:r>
    </w:p>
    <w:p w14:paraId="46E30F9F" w14:textId="77777777" w:rsidR="000E1FA4" w:rsidRPr="000E1FA4" w:rsidRDefault="000E1FA4" w:rsidP="000E1FA4">
      <w:pPr>
        <w:pStyle w:val="a6"/>
        <w:spacing w:after="120" w:line="240" w:lineRule="exact"/>
        <w:ind w:left="283" w:hanging="283"/>
        <w:jc w:val="both"/>
        <w:rPr>
          <w:rFonts w:ascii="FrankRuehl" w:eastAsia="David" w:hAnsi="FrankRuehl" w:cs="FrankRuehl"/>
          <w:bCs w:val="0"/>
          <w:snapToGrid/>
          <w:sz w:val="24"/>
          <w:rtl/>
          <w:lang w:eastAsia="en-US"/>
        </w:rPr>
      </w:pPr>
      <w:hyperlink r:id="rId6" w:history="1">
        <w:r w:rsidRPr="000E1FA4">
          <w:rPr>
            <w:rFonts w:ascii="FrankRuehl" w:eastAsia="David" w:hAnsi="FrankRuehl" w:cs="FrankRuehl"/>
            <w:bCs w:val="0"/>
            <w:snapToGrid/>
            <w:color w:val="0000FF"/>
            <w:sz w:val="24"/>
            <w:u w:val="single"/>
            <w:rtl/>
            <w:lang w:eastAsia="en-US"/>
          </w:rPr>
          <w:t>פקודת הסמים המסוכנים [נוסח חדש], תשל"ג-1973</w:t>
        </w:r>
      </w:hyperlink>
      <w:r w:rsidRPr="000E1FA4">
        <w:rPr>
          <w:rFonts w:ascii="FrankRuehl" w:eastAsia="David" w:hAnsi="FrankRuehl" w:cs="FrankRuehl"/>
          <w:bCs w:val="0"/>
          <w:snapToGrid/>
          <w:sz w:val="24"/>
          <w:rtl/>
          <w:lang w:eastAsia="en-US"/>
        </w:rPr>
        <w:t xml:space="preserve">: סע'  </w:t>
      </w:r>
      <w:hyperlink r:id="rId7" w:history="1">
        <w:r w:rsidRPr="000E1FA4">
          <w:rPr>
            <w:rFonts w:ascii="FrankRuehl" w:eastAsia="David" w:hAnsi="FrankRuehl" w:cs="FrankRuehl"/>
            <w:bCs w:val="0"/>
            <w:snapToGrid/>
            <w:color w:val="0000FF"/>
            <w:sz w:val="24"/>
            <w:u w:val="single"/>
            <w:rtl/>
            <w:lang w:eastAsia="en-US"/>
          </w:rPr>
          <w:t>7(א)(ג)</w:t>
        </w:r>
      </w:hyperlink>
    </w:p>
    <w:p w14:paraId="0FDB20C1" w14:textId="77777777" w:rsidR="000E1FA4" w:rsidRPr="000E1FA4" w:rsidRDefault="000E1FA4" w:rsidP="000E1FA4">
      <w:pPr>
        <w:pStyle w:val="a6"/>
        <w:spacing w:after="120" w:line="240" w:lineRule="exact"/>
        <w:ind w:left="283" w:hanging="283"/>
        <w:jc w:val="both"/>
        <w:rPr>
          <w:rFonts w:ascii="FrankRuehl" w:eastAsia="David" w:hAnsi="FrankRuehl" w:cs="FrankRuehl"/>
          <w:bCs w:val="0"/>
          <w:snapToGrid/>
          <w:sz w:val="24"/>
          <w:rtl/>
          <w:lang w:eastAsia="en-US"/>
        </w:rPr>
      </w:pPr>
      <w:hyperlink r:id="rId8" w:history="1">
        <w:r w:rsidRPr="000E1FA4">
          <w:rPr>
            <w:rFonts w:ascii="FrankRuehl" w:eastAsia="David" w:hAnsi="FrankRuehl" w:cs="FrankRuehl"/>
            <w:bCs w:val="0"/>
            <w:snapToGrid/>
            <w:color w:val="0000FF"/>
            <w:sz w:val="24"/>
            <w:u w:val="single"/>
            <w:rtl/>
            <w:lang w:eastAsia="en-US"/>
          </w:rPr>
          <w:t>חוק העונשין, תשל"ז-1977</w:t>
        </w:r>
      </w:hyperlink>
      <w:r w:rsidRPr="000E1FA4">
        <w:rPr>
          <w:rFonts w:ascii="FrankRuehl" w:eastAsia="David" w:hAnsi="FrankRuehl" w:cs="FrankRuehl"/>
          <w:bCs w:val="0"/>
          <w:snapToGrid/>
          <w:sz w:val="24"/>
          <w:rtl/>
          <w:lang w:eastAsia="en-US"/>
        </w:rPr>
        <w:t xml:space="preserve">: סע'  </w:t>
      </w:r>
      <w:hyperlink r:id="rId9" w:history="1">
        <w:r w:rsidRPr="000E1FA4">
          <w:rPr>
            <w:rFonts w:ascii="FrankRuehl" w:eastAsia="David" w:hAnsi="FrankRuehl" w:cs="FrankRuehl"/>
            <w:bCs w:val="0"/>
            <w:snapToGrid/>
            <w:color w:val="0000FF"/>
            <w:sz w:val="24"/>
            <w:u w:val="single"/>
            <w:rtl/>
            <w:lang w:eastAsia="en-US"/>
          </w:rPr>
          <w:t>40ד</w:t>
        </w:r>
      </w:hyperlink>
    </w:p>
    <w:p w14:paraId="6484455B" w14:textId="77777777" w:rsidR="000E1FA4" w:rsidRPr="000E1FA4" w:rsidRDefault="000E1FA4" w:rsidP="000E1FA4">
      <w:pPr>
        <w:pStyle w:val="a6"/>
        <w:spacing w:after="120" w:line="240" w:lineRule="exact"/>
        <w:ind w:left="283" w:hanging="283"/>
        <w:jc w:val="both"/>
        <w:rPr>
          <w:rFonts w:ascii="FrankRuehl" w:eastAsia="David" w:hAnsi="FrankRuehl" w:cs="FrankRuehl"/>
          <w:bCs w:val="0"/>
          <w:snapToGrid/>
          <w:sz w:val="24"/>
          <w:rtl/>
          <w:lang w:eastAsia="en-US"/>
        </w:rPr>
      </w:pPr>
    </w:p>
    <w:p w14:paraId="4165AB92" w14:textId="77777777" w:rsidR="002D770C" w:rsidRPr="002D770C" w:rsidRDefault="002D770C" w:rsidP="002D770C">
      <w:pPr>
        <w:pStyle w:val="a6"/>
        <w:spacing w:line="360" w:lineRule="auto"/>
        <w:jc w:val="center"/>
        <w:rPr>
          <w:rFonts w:ascii="Arial" w:eastAsia="David" w:hAnsi="Arial"/>
          <w:b/>
          <w:snapToGrid/>
          <w:sz w:val="28"/>
          <w:szCs w:val="28"/>
          <w:u w:val="single"/>
          <w:rtl/>
          <w:lang w:eastAsia="en-US"/>
        </w:rPr>
      </w:pPr>
      <w:bookmarkStart w:id="4" w:name="LawTable_End"/>
      <w:bookmarkStart w:id="5" w:name="PsakDin"/>
      <w:bookmarkEnd w:id="0"/>
      <w:bookmarkEnd w:id="4"/>
      <w:r w:rsidRPr="002D770C">
        <w:rPr>
          <w:rFonts w:ascii="Arial" w:eastAsia="David" w:hAnsi="Arial"/>
          <w:b/>
          <w:snapToGrid/>
          <w:sz w:val="28"/>
          <w:szCs w:val="28"/>
          <w:u w:val="single"/>
          <w:rtl/>
          <w:lang w:eastAsia="en-US"/>
        </w:rPr>
        <w:t>גזר דין</w:t>
      </w:r>
    </w:p>
    <w:bookmarkEnd w:id="5"/>
    <w:p w14:paraId="7473CF03" w14:textId="77777777" w:rsidR="0034267E" w:rsidRDefault="0034267E">
      <w:pPr>
        <w:pStyle w:val="a6"/>
        <w:spacing w:line="360" w:lineRule="auto"/>
        <w:jc w:val="both"/>
        <w:rPr>
          <w:rFonts w:ascii="David" w:hAnsi="David"/>
          <w:bCs w:val="0"/>
          <w:sz w:val="24"/>
          <w:rtl/>
        </w:rPr>
      </w:pPr>
    </w:p>
    <w:p w14:paraId="19D9912A"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1.</w:t>
      </w:r>
      <w:r>
        <w:rPr>
          <w:rFonts w:ascii="David" w:hAnsi="David" w:hint="cs"/>
          <w:bCs w:val="0"/>
          <w:sz w:val="24"/>
          <w:rtl/>
        </w:rPr>
        <w:tab/>
      </w:r>
      <w:bookmarkStart w:id="6" w:name="ABSTRACT_START"/>
      <w:bookmarkEnd w:id="6"/>
      <w:r>
        <w:rPr>
          <w:rFonts w:ascii="David" w:hAnsi="David" w:hint="cs"/>
          <w:bCs w:val="0"/>
          <w:sz w:val="24"/>
          <w:rtl/>
        </w:rPr>
        <w:t xml:space="preserve">הנאשם הורשע על פי הודאתו בעבירה מלפני למעלה משמונה שנים, עבירה אשר בוצעה כשבע שנים לפני הגשת כתב האישום. המדובר בהחזקת סם מסוכן מסוג הירואין במשקל של כמעט 4.9 גר' נטו המהווה עבירת סם מסוכן שלא לצריכה עצמית, עבירה לפי </w:t>
      </w:r>
      <w:hyperlink r:id="rId10" w:history="1">
        <w:r w:rsidR="000E1FA4" w:rsidRPr="000E1FA4">
          <w:rPr>
            <w:rFonts w:ascii="David" w:hAnsi="David"/>
            <w:bCs w:val="0"/>
            <w:color w:val="0000FF"/>
            <w:sz w:val="24"/>
            <w:u w:val="single"/>
            <w:rtl/>
          </w:rPr>
          <w:t>סעיף 7(א)(ג)</w:t>
        </w:r>
      </w:hyperlink>
      <w:r>
        <w:rPr>
          <w:rFonts w:ascii="David" w:hAnsi="David" w:hint="cs"/>
          <w:bCs w:val="0"/>
          <w:sz w:val="24"/>
          <w:rtl/>
        </w:rPr>
        <w:t xml:space="preserve"> ריישא ל</w:t>
      </w:r>
      <w:hyperlink r:id="rId11" w:history="1">
        <w:r w:rsidRPr="002D770C">
          <w:rPr>
            <w:rStyle w:val="Hyperlink"/>
            <w:rFonts w:ascii="David" w:hAnsi="David" w:hint="eastAsia"/>
            <w:bCs w:val="0"/>
            <w:sz w:val="24"/>
            <w:rtl/>
          </w:rPr>
          <w:t>פקודת</w:t>
        </w:r>
        <w:r w:rsidRPr="002D770C">
          <w:rPr>
            <w:rStyle w:val="Hyperlink"/>
            <w:rFonts w:ascii="David" w:hAnsi="David"/>
            <w:bCs w:val="0"/>
            <w:sz w:val="24"/>
            <w:rtl/>
          </w:rPr>
          <w:t xml:space="preserve"> הסמים המסוכנים</w:t>
        </w:r>
      </w:hyperlink>
      <w:r>
        <w:rPr>
          <w:rFonts w:ascii="David" w:hAnsi="David" w:hint="cs"/>
          <w:bCs w:val="0"/>
          <w:sz w:val="24"/>
          <w:rtl/>
        </w:rPr>
        <w:t xml:space="preserve"> (נוסח חדש) תשל"ג- 1973.</w:t>
      </w:r>
    </w:p>
    <w:p w14:paraId="4AA2C176" w14:textId="77777777" w:rsidR="0034267E" w:rsidRDefault="0034267E">
      <w:pPr>
        <w:pStyle w:val="a6"/>
        <w:spacing w:line="360" w:lineRule="auto"/>
        <w:ind w:left="720" w:hanging="720"/>
        <w:jc w:val="both"/>
        <w:rPr>
          <w:rFonts w:ascii="David" w:hAnsi="David"/>
          <w:bCs w:val="0"/>
          <w:sz w:val="24"/>
          <w:rtl/>
        </w:rPr>
      </w:pPr>
      <w:bookmarkStart w:id="7" w:name="ABSTRACT_END"/>
      <w:bookmarkEnd w:id="7"/>
    </w:p>
    <w:p w14:paraId="60E4B776"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2.</w:t>
      </w:r>
      <w:r>
        <w:rPr>
          <w:rFonts w:ascii="David" w:hAnsi="David" w:hint="cs"/>
          <w:bCs w:val="0"/>
          <w:sz w:val="24"/>
          <w:rtl/>
        </w:rPr>
        <w:tab/>
        <w:t xml:space="preserve">הנאשם נשלח לתסקיר שירות המבחן אשר עקב אחריו במשך תקופה של מס' חודשים והגיש תסקירו. במסגרת התסקיר, מציין שירות המבחן שינוי משמעותי שעשה הנאשם בחייו בכך שעבר עם בת זוגו לעיר מרוחקת ממקום מגוריו הקודם במטרה להתנתק מהעולם העברייני בו חי. הנאשם מנהל אורח חיים כמעט נורמטיבי. הנאשם עובד בעבודה מסודרת, חי עם בת זוג. </w:t>
      </w:r>
    </w:p>
    <w:p w14:paraId="415F23C7" w14:textId="77777777" w:rsidR="0034267E" w:rsidRDefault="0034267E">
      <w:pPr>
        <w:pStyle w:val="a6"/>
        <w:spacing w:line="360" w:lineRule="auto"/>
        <w:ind w:left="720" w:hanging="720"/>
        <w:jc w:val="both"/>
        <w:rPr>
          <w:rFonts w:ascii="David" w:hAnsi="David"/>
          <w:bCs w:val="0"/>
          <w:sz w:val="24"/>
          <w:rtl/>
        </w:rPr>
      </w:pPr>
    </w:p>
    <w:p w14:paraId="79EC5112"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3.</w:t>
      </w:r>
      <w:r>
        <w:rPr>
          <w:rFonts w:ascii="David" w:hAnsi="David" w:hint="cs"/>
          <w:bCs w:val="0"/>
          <w:sz w:val="24"/>
          <w:rtl/>
        </w:rPr>
        <w:tab/>
        <w:t xml:space="preserve">יחד עם זאת, כפי שהתגלה בבדיקות סם וכן בדבריו של הנאשם לשירות המבחן, הנאשם צורך באופן מזדמן או קבוע, סם קל יותר מסוג חשיש אשר לטענתו משמש אותו להתמודדות עם מצבו הרפואי. </w:t>
      </w:r>
    </w:p>
    <w:p w14:paraId="79EF2030" w14:textId="77777777" w:rsidR="0034267E" w:rsidRDefault="0034267E">
      <w:pPr>
        <w:pStyle w:val="a6"/>
        <w:spacing w:line="360" w:lineRule="auto"/>
        <w:ind w:left="720" w:hanging="720"/>
        <w:jc w:val="both"/>
        <w:rPr>
          <w:rFonts w:ascii="David" w:hAnsi="David"/>
          <w:bCs w:val="0"/>
          <w:sz w:val="24"/>
          <w:rtl/>
        </w:rPr>
      </w:pPr>
    </w:p>
    <w:p w14:paraId="65B2CCFE"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lastRenderedPageBreak/>
        <w:t>4.</w:t>
      </w:r>
      <w:r>
        <w:rPr>
          <w:rFonts w:ascii="David" w:hAnsi="David" w:hint="cs"/>
          <w:bCs w:val="0"/>
          <w:sz w:val="24"/>
          <w:rtl/>
        </w:rPr>
        <w:tab/>
        <w:t xml:space="preserve">מסכימה אני עם המאשימה כי העונש ההולם בעבירה מן הסוג בה הודה הנאשם, הינו מאסר בפועל ואף מאחורי סורג ובריח וזאת בהתחשב בכמות ובסוג הסם. אין צורך להכביר מילים בדבר הפגיעה של עבירות הסם במרקם החברתי ובשלום הציבור ודי לעיין בעברו הפלילי העשיר של הנאשם הכולל עבירות רכוש, סמים ואלימות. </w:t>
      </w:r>
    </w:p>
    <w:p w14:paraId="176F1A59" w14:textId="77777777" w:rsidR="0034267E" w:rsidRDefault="0034267E">
      <w:pPr>
        <w:pStyle w:val="a6"/>
        <w:spacing w:line="360" w:lineRule="auto"/>
        <w:ind w:left="720" w:hanging="720"/>
        <w:jc w:val="both"/>
        <w:rPr>
          <w:rFonts w:ascii="David" w:hAnsi="David"/>
          <w:bCs w:val="0"/>
          <w:sz w:val="24"/>
          <w:rtl/>
        </w:rPr>
      </w:pPr>
    </w:p>
    <w:p w14:paraId="1C52754B"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5.</w:t>
      </w:r>
      <w:r>
        <w:rPr>
          <w:rFonts w:ascii="David" w:hAnsi="David" w:hint="cs"/>
          <w:bCs w:val="0"/>
          <w:sz w:val="24"/>
          <w:rtl/>
        </w:rPr>
        <w:tab/>
        <w:t xml:space="preserve">בהתאם להוראות </w:t>
      </w:r>
      <w:hyperlink r:id="rId12" w:history="1">
        <w:r w:rsidR="000E1FA4" w:rsidRPr="000E1FA4">
          <w:rPr>
            <w:rFonts w:ascii="David" w:hAnsi="David"/>
            <w:bCs w:val="0"/>
            <w:color w:val="0000FF"/>
            <w:sz w:val="24"/>
            <w:u w:val="single"/>
            <w:rtl/>
          </w:rPr>
          <w:t>סעיף 40ד</w:t>
        </w:r>
      </w:hyperlink>
      <w:r>
        <w:rPr>
          <w:rFonts w:ascii="David" w:hAnsi="David" w:hint="cs"/>
          <w:bCs w:val="0"/>
          <w:sz w:val="24"/>
          <w:rtl/>
        </w:rPr>
        <w:t xml:space="preserve"> ל</w:t>
      </w:r>
      <w:hyperlink r:id="rId13" w:history="1">
        <w:r w:rsidRPr="002D770C">
          <w:rPr>
            <w:rStyle w:val="Hyperlink"/>
            <w:rFonts w:ascii="David" w:hAnsi="David" w:hint="eastAsia"/>
            <w:bCs w:val="0"/>
            <w:sz w:val="24"/>
            <w:rtl/>
          </w:rPr>
          <w:t>חוק</w:t>
        </w:r>
        <w:r w:rsidRPr="002D770C">
          <w:rPr>
            <w:rStyle w:val="Hyperlink"/>
            <w:rFonts w:ascii="David" w:hAnsi="David"/>
            <w:bCs w:val="0"/>
            <w:sz w:val="24"/>
            <w:rtl/>
          </w:rPr>
          <w:t xml:space="preserve"> העונשין</w:t>
        </w:r>
      </w:hyperlink>
      <w:r>
        <w:rPr>
          <w:rFonts w:ascii="David" w:hAnsi="David" w:hint="cs"/>
          <w:bCs w:val="0"/>
          <w:sz w:val="24"/>
          <w:rtl/>
        </w:rPr>
        <w:t xml:space="preserve">, על ביהמ"ש לשקול לצד שיקולי העלימה שיקולי שיקום. עיון בת/1, עברו הפלילי של הנאשם מלמד כי מאז שנת 2006 לא הורשע הנאשם בכל עבירה שהיא. קיימת התאמה בין שנה זו לשנה בה בוצעה העבירה נשוא תיק זה. לוח זמנים זה הולם גם את השינוי המשמעותי שעשה הנאשם בחייו. דומה בעיני וטוב בעיני שישים לבו לכך הנאשם כי אכן ביצע הליך שיקום משמעותי בחייו אך הליך זה לא הסתיים. העובדה כי הנאשם לא הורשע בכל עבירה משנת 2006, עובד בצורה מסודרת, הינה הישג משמעותי שהשיג בחייו. לעניין זה דומה בעיני כי נכון לומר כי צדיקים גמורים אינם עומדים במקום בו עומדים חוזרים בתשובה. במעמד של חזרה בתשובה הינו גדול הרבה יותר מהמאמץ להיוולד לתוך חברה נומרטיבית ולהתמיד.  לא ניתן להתעלם מכך כי הנאשם לא השלים את המהלך, הנאשם לא התנתק לחלוטין מעולם הסם ועוד לא הפנים את הצורך בניהול חיים נורמטיביים המכבדים את כלל הוראות החוק. כמו כן, אין להתעלם מהתרשמות שירות המבחן כי הנאשם עוד לא השכיל לעשות שימוש בגורמים טיפוליים עוזרים ועל כן, החשש למעידה חוזרת קיים. </w:t>
      </w:r>
    </w:p>
    <w:p w14:paraId="226A7120" w14:textId="77777777" w:rsidR="0034267E" w:rsidRDefault="0034267E">
      <w:pPr>
        <w:pStyle w:val="a6"/>
        <w:spacing w:line="360" w:lineRule="auto"/>
        <w:ind w:left="720" w:hanging="720"/>
        <w:jc w:val="both"/>
        <w:rPr>
          <w:rFonts w:ascii="David" w:hAnsi="David"/>
          <w:bCs w:val="0"/>
          <w:sz w:val="24"/>
          <w:rtl/>
        </w:rPr>
      </w:pPr>
    </w:p>
    <w:p w14:paraId="688298E9"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6.</w:t>
      </w:r>
      <w:r>
        <w:rPr>
          <w:rFonts w:ascii="David" w:hAnsi="David" w:hint="cs"/>
          <w:bCs w:val="0"/>
          <w:sz w:val="24"/>
          <w:rtl/>
        </w:rPr>
        <w:tab/>
        <w:t xml:space="preserve">באשר לנסיבות הקשורות לסיבות העבירה, כפי שהזכרתי יש להתחשב במועד ביצוע העבירה תוך שים לב למועד בה הובא לדין. לא הוצגו בפניי ראיות של המאשימה לטיעוניה כי בשל התנהגות הנאשם, לא הצליחה המאשימה לאתרו. לעניין זה, מעבר דירה אין בו כדי להטיל את האחריות על הנאשם, אלא זו זכותו של כל אזרח. </w:t>
      </w:r>
    </w:p>
    <w:p w14:paraId="75311D00" w14:textId="77777777" w:rsidR="0034267E" w:rsidRDefault="0034267E">
      <w:pPr>
        <w:pStyle w:val="a6"/>
        <w:spacing w:line="360" w:lineRule="auto"/>
        <w:ind w:left="720" w:hanging="720"/>
        <w:jc w:val="both"/>
        <w:rPr>
          <w:rFonts w:ascii="David" w:hAnsi="David"/>
          <w:bCs w:val="0"/>
          <w:sz w:val="24"/>
          <w:rtl/>
        </w:rPr>
      </w:pPr>
    </w:p>
    <w:p w14:paraId="78327A97"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7.</w:t>
      </w:r>
      <w:r>
        <w:rPr>
          <w:rFonts w:ascii="David" w:hAnsi="David" w:hint="cs"/>
          <w:bCs w:val="0"/>
          <w:sz w:val="24"/>
          <w:rtl/>
        </w:rPr>
        <w:tab/>
        <w:t xml:space="preserve">לעניין נסיבות הקשורות בנאשם עצמו, דומה בעיני כי הרחבתי לעיל. </w:t>
      </w:r>
    </w:p>
    <w:p w14:paraId="4395DAC8" w14:textId="77777777" w:rsidR="0034267E" w:rsidRDefault="0034267E">
      <w:pPr>
        <w:pStyle w:val="a6"/>
        <w:spacing w:line="360" w:lineRule="auto"/>
        <w:ind w:left="720" w:hanging="720"/>
        <w:jc w:val="both"/>
        <w:rPr>
          <w:rFonts w:ascii="David" w:hAnsi="David"/>
          <w:bCs w:val="0"/>
          <w:sz w:val="24"/>
          <w:rtl/>
        </w:rPr>
      </w:pPr>
    </w:p>
    <w:p w14:paraId="66F70218" w14:textId="77777777" w:rsidR="0034267E" w:rsidRDefault="002D770C">
      <w:pPr>
        <w:pStyle w:val="a6"/>
        <w:spacing w:line="360" w:lineRule="auto"/>
        <w:ind w:left="720" w:hanging="720"/>
        <w:jc w:val="both"/>
        <w:rPr>
          <w:rFonts w:ascii="David" w:hAnsi="David"/>
          <w:bCs w:val="0"/>
          <w:sz w:val="24"/>
          <w:rtl/>
        </w:rPr>
      </w:pPr>
      <w:r>
        <w:rPr>
          <w:rFonts w:ascii="David" w:hAnsi="David" w:hint="cs"/>
          <w:bCs w:val="0"/>
          <w:sz w:val="24"/>
          <w:rtl/>
        </w:rPr>
        <w:t>8.</w:t>
      </w:r>
      <w:r>
        <w:rPr>
          <w:rFonts w:ascii="David" w:hAnsi="David" w:hint="cs"/>
          <w:bCs w:val="0"/>
          <w:sz w:val="24"/>
          <w:rtl/>
        </w:rPr>
        <w:tab/>
        <w:t xml:space="preserve">באיזון בין מועד ביצוע העבירה, בידיעה כי השתת מאסר ולו גם אם ירוצה בעבודות שירות, יהיה בו כדי  להפחית מן ההישגים שהשיג הנאשם מאז ביצוע עבירה זו, ולהפילו חזרה, מוצאת אני כי עונש מרתיע יהיה בו לא רק כדי להוות הלימה למצבו היום, אלא אולי אף כדי לסייע לו להמשיך בכיוון בו בחר. </w:t>
      </w:r>
    </w:p>
    <w:p w14:paraId="2D1851F3" w14:textId="77777777" w:rsidR="0034267E" w:rsidRDefault="0034267E">
      <w:pPr>
        <w:pStyle w:val="a6"/>
        <w:rPr>
          <w:b/>
          <w:bCs w:val="0"/>
          <w:rtl/>
        </w:rPr>
      </w:pPr>
    </w:p>
    <w:p w14:paraId="190C9B17" w14:textId="77777777" w:rsidR="0034267E" w:rsidRDefault="0034267E">
      <w:pPr>
        <w:pStyle w:val="a6"/>
        <w:rPr>
          <w:b/>
          <w:bCs w:val="0"/>
          <w:rtl/>
        </w:rPr>
      </w:pPr>
    </w:p>
    <w:p w14:paraId="13A68398" w14:textId="77777777" w:rsidR="0034267E" w:rsidRDefault="002D770C">
      <w:pPr>
        <w:pStyle w:val="a6"/>
        <w:rPr>
          <w:b/>
          <w:bCs w:val="0"/>
          <w:rtl/>
        </w:rPr>
      </w:pPr>
      <w:r>
        <w:rPr>
          <w:rFonts w:hint="cs"/>
          <w:b/>
          <w:bCs w:val="0"/>
          <w:rtl/>
        </w:rPr>
        <w:t>9.</w:t>
      </w:r>
      <w:r>
        <w:rPr>
          <w:rFonts w:hint="cs"/>
          <w:b/>
          <w:bCs w:val="0"/>
          <w:rtl/>
        </w:rPr>
        <w:tab/>
        <w:t>לפיכך, הנני גוזרת על הנאשם את העונשים הבאים:</w:t>
      </w:r>
    </w:p>
    <w:p w14:paraId="76132792" w14:textId="77777777" w:rsidR="0034267E" w:rsidRDefault="0034267E">
      <w:pPr>
        <w:pStyle w:val="a6"/>
        <w:rPr>
          <w:b/>
          <w:bCs w:val="0"/>
          <w:rtl/>
        </w:rPr>
      </w:pPr>
    </w:p>
    <w:p w14:paraId="57E20592" w14:textId="77777777" w:rsidR="0034267E" w:rsidRDefault="0034267E">
      <w:pPr>
        <w:pStyle w:val="a6"/>
        <w:rPr>
          <w:b/>
          <w:bCs w:val="0"/>
          <w:rtl/>
        </w:rPr>
      </w:pPr>
    </w:p>
    <w:p w14:paraId="14FCA3DC" w14:textId="77777777" w:rsidR="0034267E" w:rsidRDefault="002D770C">
      <w:pPr>
        <w:pStyle w:val="a6"/>
        <w:spacing w:line="360" w:lineRule="auto"/>
        <w:ind w:left="1440" w:hanging="720"/>
        <w:jc w:val="both"/>
        <w:rPr>
          <w:b/>
          <w:bCs w:val="0"/>
          <w:rtl/>
        </w:rPr>
      </w:pPr>
      <w:r>
        <w:rPr>
          <w:rFonts w:hint="cs"/>
          <w:b/>
          <w:bCs w:val="0"/>
          <w:rtl/>
        </w:rPr>
        <w:t>א.</w:t>
      </w:r>
      <w:r>
        <w:rPr>
          <w:rFonts w:hint="cs"/>
          <w:b/>
          <w:bCs w:val="0"/>
          <w:rtl/>
        </w:rPr>
        <w:tab/>
      </w:r>
      <w:r>
        <w:rPr>
          <w:b/>
          <w:bCs w:val="0"/>
          <w:rtl/>
        </w:rPr>
        <w:t xml:space="preserve">מאסר על תנאי לתקופה של </w:t>
      </w:r>
      <w:r>
        <w:rPr>
          <w:rFonts w:hint="cs"/>
          <w:b/>
          <w:bCs w:val="0"/>
          <w:rtl/>
        </w:rPr>
        <w:t>8</w:t>
      </w:r>
      <w:r>
        <w:rPr>
          <w:b/>
          <w:bCs w:val="0"/>
          <w:rtl/>
        </w:rPr>
        <w:t xml:space="preserve">  חודשים למשך  </w:t>
      </w:r>
      <w:r>
        <w:rPr>
          <w:rFonts w:hint="cs"/>
          <w:b/>
          <w:bCs w:val="0"/>
          <w:rtl/>
        </w:rPr>
        <w:t>3</w:t>
      </w:r>
      <w:r>
        <w:rPr>
          <w:b/>
          <w:bCs w:val="0"/>
          <w:rtl/>
        </w:rPr>
        <w:t xml:space="preserve">  שנים מהיום והתנאי הוא כי הנאשם לא יעבור בתקופה זאת עבירה </w:t>
      </w:r>
      <w:r>
        <w:rPr>
          <w:rFonts w:hint="cs"/>
          <w:b/>
          <w:bCs w:val="0"/>
          <w:rtl/>
        </w:rPr>
        <w:t xml:space="preserve"> על </w:t>
      </w:r>
      <w:hyperlink r:id="rId14" w:history="1">
        <w:r w:rsidRPr="002D770C">
          <w:rPr>
            <w:rStyle w:val="Hyperlink"/>
            <w:rFonts w:hint="eastAsia"/>
            <w:b/>
            <w:bCs w:val="0"/>
            <w:rtl/>
          </w:rPr>
          <w:t>פקודת</w:t>
        </w:r>
        <w:r w:rsidRPr="002D770C">
          <w:rPr>
            <w:rStyle w:val="Hyperlink"/>
            <w:b/>
            <w:bCs w:val="0"/>
            <w:rtl/>
          </w:rPr>
          <w:t xml:space="preserve"> הסמים המסוכנים</w:t>
        </w:r>
      </w:hyperlink>
      <w:r>
        <w:rPr>
          <w:rFonts w:hint="cs"/>
          <w:b/>
          <w:bCs w:val="0"/>
          <w:rtl/>
        </w:rPr>
        <w:t xml:space="preserve"> מסוג פשע , </w:t>
      </w:r>
      <w:r>
        <w:rPr>
          <w:b/>
          <w:bCs w:val="0"/>
          <w:rtl/>
        </w:rPr>
        <w:t xml:space="preserve">ויורשע עליה בדין. </w:t>
      </w:r>
    </w:p>
    <w:p w14:paraId="3B26DF07" w14:textId="77777777" w:rsidR="0034267E" w:rsidRDefault="0034267E">
      <w:pPr>
        <w:pStyle w:val="a6"/>
        <w:spacing w:line="360" w:lineRule="auto"/>
        <w:ind w:left="1440" w:hanging="720"/>
        <w:jc w:val="both"/>
        <w:rPr>
          <w:b/>
          <w:bCs w:val="0"/>
          <w:rtl/>
        </w:rPr>
      </w:pPr>
    </w:p>
    <w:p w14:paraId="5D46DA8B" w14:textId="77777777" w:rsidR="0034267E" w:rsidRDefault="002D770C">
      <w:pPr>
        <w:pStyle w:val="a6"/>
        <w:spacing w:line="360" w:lineRule="auto"/>
        <w:ind w:left="1440" w:hanging="720"/>
        <w:jc w:val="both"/>
        <w:rPr>
          <w:b/>
          <w:bCs w:val="0"/>
          <w:rtl/>
        </w:rPr>
      </w:pPr>
      <w:r>
        <w:rPr>
          <w:rFonts w:hint="cs"/>
          <w:b/>
          <w:bCs w:val="0"/>
          <w:rtl/>
        </w:rPr>
        <w:lastRenderedPageBreak/>
        <w:t>ב.</w:t>
      </w:r>
      <w:r>
        <w:rPr>
          <w:rFonts w:hint="cs"/>
          <w:b/>
          <w:bCs w:val="0"/>
          <w:rtl/>
        </w:rPr>
        <w:tab/>
      </w:r>
      <w:r>
        <w:rPr>
          <w:b/>
          <w:bCs w:val="0"/>
          <w:rtl/>
        </w:rPr>
        <w:t xml:space="preserve">מאסר על תנאי לתקופה של </w:t>
      </w:r>
      <w:r>
        <w:rPr>
          <w:rFonts w:hint="cs"/>
          <w:b/>
          <w:bCs w:val="0"/>
          <w:rtl/>
        </w:rPr>
        <w:t>4</w:t>
      </w:r>
      <w:r>
        <w:rPr>
          <w:b/>
          <w:bCs w:val="0"/>
          <w:rtl/>
        </w:rPr>
        <w:t xml:space="preserve">  חודשים למשך  </w:t>
      </w:r>
      <w:r>
        <w:rPr>
          <w:rFonts w:hint="cs"/>
          <w:b/>
          <w:bCs w:val="0"/>
          <w:rtl/>
        </w:rPr>
        <w:t>3</w:t>
      </w:r>
      <w:r>
        <w:rPr>
          <w:b/>
          <w:bCs w:val="0"/>
          <w:rtl/>
        </w:rPr>
        <w:t xml:space="preserve">  שנים מהיום והתנאי הוא כי הנאשם לא יעבור בתקופה זאת עבירה </w:t>
      </w:r>
      <w:r>
        <w:rPr>
          <w:rFonts w:hint="cs"/>
          <w:b/>
          <w:bCs w:val="0"/>
          <w:rtl/>
        </w:rPr>
        <w:t xml:space="preserve"> על </w:t>
      </w:r>
      <w:hyperlink r:id="rId15" w:history="1">
        <w:r w:rsidRPr="002D770C">
          <w:rPr>
            <w:rStyle w:val="Hyperlink"/>
            <w:rFonts w:hint="eastAsia"/>
            <w:b/>
            <w:bCs w:val="0"/>
            <w:rtl/>
          </w:rPr>
          <w:t>פקודת</w:t>
        </w:r>
        <w:r w:rsidRPr="002D770C">
          <w:rPr>
            <w:rStyle w:val="Hyperlink"/>
            <w:b/>
            <w:bCs w:val="0"/>
            <w:rtl/>
          </w:rPr>
          <w:t xml:space="preserve"> הסמים המסוכנים</w:t>
        </w:r>
      </w:hyperlink>
      <w:r>
        <w:rPr>
          <w:rFonts w:hint="cs"/>
          <w:b/>
          <w:bCs w:val="0"/>
          <w:rtl/>
        </w:rPr>
        <w:t xml:space="preserve"> מסוג עוון , </w:t>
      </w:r>
      <w:r>
        <w:rPr>
          <w:b/>
          <w:bCs w:val="0"/>
          <w:rtl/>
        </w:rPr>
        <w:t xml:space="preserve">ויורשע עליה בדין. </w:t>
      </w:r>
    </w:p>
    <w:p w14:paraId="023AFFE2" w14:textId="77777777" w:rsidR="0034267E" w:rsidRDefault="0034267E">
      <w:pPr>
        <w:pStyle w:val="a6"/>
        <w:spacing w:line="360" w:lineRule="auto"/>
        <w:jc w:val="both"/>
        <w:rPr>
          <w:b/>
          <w:bCs w:val="0"/>
          <w:rtl/>
        </w:rPr>
      </w:pPr>
    </w:p>
    <w:p w14:paraId="2C773E78" w14:textId="77777777" w:rsidR="0034267E" w:rsidRDefault="0034267E">
      <w:pPr>
        <w:pStyle w:val="a6"/>
        <w:spacing w:line="360" w:lineRule="auto"/>
        <w:ind w:left="1440" w:hanging="720"/>
        <w:jc w:val="both"/>
        <w:rPr>
          <w:b/>
          <w:bCs w:val="0"/>
          <w:rtl/>
        </w:rPr>
      </w:pPr>
    </w:p>
    <w:p w14:paraId="75A4525E" w14:textId="77777777" w:rsidR="0034267E" w:rsidRDefault="002D770C">
      <w:pPr>
        <w:pStyle w:val="a6"/>
        <w:spacing w:line="360" w:lineRule="auto"/>
        <w:ind w:left="1440" w:hanging="720"/>
        <w:jc w:val="both"/>
        <w:rPr>
          <w:b/>
          <w:bCs w:val="0"/>
          <w:rtl/>
        </w:rPr>
      </w:pPr>
      <w:r>
        <w:rPr>
          <w:rFonts w:hint="cs"/>
          <w:b/>
          <w:bCs w:val="0"/>
          <w:rtl/>
        </w:rPr>
        <w:t>ג.</w:t>
      </w:r>
      <w:r>
        <w:rPr>
          <w:rFonts w:hint="cs"/>
          <w:b/>
          <w:bCs w:val="0"/>
          <w:rtl/>
        </w:rPr>
        <w:tab/>
      </w:r>
      <w:r>
        <w:rPr>
          <w:b/>
          <w:bCs w:val="0"/>
          <w:rtl/>
        </w:rPr>
        <w:t xml:space="preserve">חתימה על התחייבות  כספית בסך  </w:t>
      </w:r>
      <w:r>
        <w:rPr>
          <w:rFonts w:hint="cs"/>
          <w:b/>
          <w:bCs w:val="0"/>
          <w:rtl/>
        </w:rPr>
        <w:t xml:space="preserve">5,000 </w:t>
      </w:r>
      <w:r>
        <w:rPr>
          <w:b/>
          <w:bCs w:val="0"/>
          <w:rtl/>
        </w:rPr>
        <w:t xml:space="preserve">ש"ח, </w:t>
      </w:r>
      <w:r>
        <w:rPr>
          <w:rFonts w:hint="cs"/>
          <w:b/>
          <w:bCs w:val="0"/>
          <w:rtl/>
        </w:rPr>
        <w:t xml:space="preserve">שלא יעבור על עבירה על </w:t>
      </w:r>
      <w:hyperlink r:id="rId16" w:history="1">
        <w:r w:rsidRPr="002D770C">
          <w:rPr>
            <w:rStyle w:val="Hyperlink"/>
            <w:rFonts w:hint="eastAsia"/>
            <w:b/>
            <w:bCs w:val="0"/>
            <w:rtl/>
          </w:rPr>
          <w:t>פקודת</w:t>
        </w:r>
        <w:r w:rsidRPr="002D770C">
          <w:rPr>
            <w:rStyle w:val="Hyperlink"/>
            <w:b/>
            <w:bCs w:val="0"/>
            <w:rtl/>
          </w:rPr>
          <w:t xml:space="preserve"> הסמים המסוכנים</w:t>
        </w:r>
      </w:hyperlink>
      <w:r>
        <w:rPr>
          <w:rFonts w:hint="cs"/>
          <w:b/>
          <w:bCs w:val="0"/>
          <w:rtl/>
        </w:rPr>
        <w:t xml:space="preserve"> ויורשע עליה בדין </w:t>
      </w:r>
      <w:r>
        <w:rPr>
          <w:b/>
          <w:bCs w:val="0"/>
          <w:rtl/>
        </w:rPr>
        <w:t xml:space="preserve">תוך שנתיים מהיום. אם לא יחתום </w:t>
      </w:r>
      <w:r>
        <w:rPr>
          <w:rFonts w:hint="cs"/>
          <w:b/>
          <w:bCs w:val="0"/>
          <w:rtl/>
        </w:rPr>
        <w:t xml:space="preserve">היום </w:t>
      </w:r>
      <w:r>
        <w:rPr>
          <w:b/>
          <w:bCs w:val="0"/>
          <w:rtl/>
        </w:rPr>
        <w:t xml:space="preserve">על התחייבות, יש לאסור אותו למשך   </w:t>
      </w:r>
      <w:r>
        <w:rPr>
          <w:rFonts w:hint="cs"/>
          <w:b/>
          <w:bCs w:val="0"/>
          <w:rtl/>
        </w:rPr>
        <w:t>10</w:t>
      </w:r>
      <w:r>
        <w:rPr>
          <w:b/>
          <w:bCs w:val="0"/>
          <w:rtl/>
        </w:rPr>
        <w:t xml:space="preserve"> יום. </w:t>
      </w:r>
    </w:p>
    <w:p w14:paraId="3BF8C9A6" w14:textId="77777777" w:rsidR="0034267E" w:rsidRDefault="0034267E">
      <w:pPr>
        <w:pStyle w:val="a6"/>
        <w:rPr>
          <w:b/>
          <w:bCs w:val="0"/>
          <w:rtl/>
        </w:rPr>
      </w:pPr>
    </w:p>
    <w:p w14:paraId="525CB58D" w14:textId="77777777" w:rsidR="0034267E" w:rsidRDefault="0034267E">
      <w:pPr>
        <w:pStyle w:val="a6"/>
        <w:rPr>
          <w:rtl/>
        </w:rPr>
      </w:pPr>
    </w:p>
    <w:p w14:paraId="49ADD0AB" w14:textId="77777777" w:rsidR="0034267E" w:rsidRDefault="002D770C">
      <w:pPr>
        <w:pStyle w:val="a6"/>
      </w:pPr>
      <w:r>
        <w:rPr>
          <w:b/>
          <w:bCs w:val="0"/>
          <w:rtl/>
        </w:rPr>
        <w:t xml:space="preserve">זכות ערעור תוך 45 יום. </w:t>
      </w:r>
    </w:p>
    <w:p w14:paraId="2C2AFFEC" w14:textId="77777777" w:rsidR="0034267E" w:rsidRDefault="0034267E">
      <w:pPr>
        <w:pStyle w:val="a6"/>
        <w:rPr>
          <w:rtl/>
        </w:rPr>
      </w:pPr>
    </w:p>
    <w:p w14:paraId="08A8C55F" w14:textId="77777777" w:rsidR="0034267E" w:rsidRDefault="002D770C">
      <w:pPr>
        <w:pStyle w:val="a6"/>
        <w:rPr>
          <w:sz w:val="6"/>
          <w:szCs w:val="6"/>
          <w:rtl/>
        </w:rPr>
      </w:pPr>
      <w:r>
        <w:rPr>
          <w:sz w:val="6"/>
          <w:szCs w:val="6"/>
          <w:rtl/>
        </w:rPr>
        <w:t>&lt;#4#&gt;</w:t>
      </w:r>
    </w:p>
    <w:p w14:paraId="4DA88FAC" w14:textId="77777777" w:rsidR="0034267E" w:rsidRDefault="0034267E">
      <w:pPr>
        <w:jc w:val="right"/>
        <w:rPr>
          <w:rtl/>
        </w:rPr>
      </w:pPr>
    </w:p>
    <w:p w14:paraId="569CA23C" w14:textId="77777777" w:rsidR="0034267E" w:rsidRDefault="002D770C">
      <w:pPr>
        <w:jc w:val="center"/>
        <w:rPr>
          <w:rtl/>
        </w:rPr>
      </w:pPr>
      <w:r w:rsidRPr="002D770C">
        <w:rPr>
          <w:b/>
          <w:bCs/>
          <w:color w:val="FFFFFF"/>
          <w:sz w:val="2"/>
          <w:szCs w:val="2"/>
          <w:rtl/>
        </w:rPr>
        <w:t>5129371</w:t>
      </w:r>
      <w:r>
        <w:rPr>
          <w:b/>
          <w:bCs/>
          <w:rtl/>
        </w:rPr>
        <w:t xml:space="preserve">ניתנה והודעה היום י"ב תמוז תשע"ד, 10/07/2014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4267E" w14:paraId="3C104C93" w14:textId="77777777">
        <w:trPr>
          <w:trHeight w:val="316"/>
          <w:jc w:val="right"/>
        </w:trPr>
        <w:tc>
          <w:tcPr>
            <w:tcW w:w="3936" w:type="dxa"/>
          </w:tcPr>
          <w:p w14:paraId="5208AF16" w14:textId="77777777" w:rsidR="0034267E" w:rsidRPr="002D770C" w:rsidRDefault="002D770C">
            <w:pPr>
              <w:jc w:val="center"/>
              <w:rPr>
                <w:rFonts w:ascii="Times New Roman" w:eastAsia="Times New Roman" w:hAnsi="Times New Roman" w:cs="Times New Roman"/>
                <w:color w:val="FFFFFF"/>
                <w:sz w:val="2"/>
                <w:szCs w:val="2"/>
              </w:rPr>
            </w:pPr>
            <w:r w:rsidRPr="002D770C">
              <w:rPr>
                <w:rFonts w:ascii="Times New Roman" w:eastAsia="Times New Roman" w:hAnsi="Times New Roman" w:cs="Times New Roman"/>
                <w:color w:val="FFFFFF"/>
                <w:sz w:val="2"/>
                <w:szCs w:val="2"/>
                <w:rtl/>
              </w:rPr>
              <w:t>54678313</w:t>
            </w:r>
          </w:p>
          <w:p w14:paraId="3231D049" w14:textId="77777777" w:rsidR="0034267E" w:rsidRDefault="0034267E">
            <w:pPr>
              <w:jc w:val="center"/>
              <w:rPr>
                <w:rFonts w:ascii="Times New Roman" w:eastAsia="Times New Roman" w:hAnsi="Times New Roman" w:cs="Times New Roman"/>
                <w:rtl/>
              </w:rPr>
            </w:pPr>
          </w:p>
        </w:tc>
      </w:tr>
      <w:tr w:rsidR="0034267E" w14:paraId="05694F3B" w14:textId="77777777">
        <w:trPr>
          <w:trHeight w:val="361"/>
          <w:jc w:val="right"/>
        </w:trPr>
        <w:tc>
          <w:tcPr>
            <w:tcW w:w="3936" w:type="dxa"/>
          </w:tcPr>
          <w:p w14:paraId="585664E3" w14:textId="77777777" w:rsidR="0034267E" w:rsidRDefault="002D770C">
            <w:pPr>
              <w:jc w:val="center"/>
              <w:rPr>
                <w:rFonts w:ascii="Times New Roman" w:eastAsia="Times New Roman" w:hAnsi="Times New Roman"/>
                <w:b/>
                <w:bCs/>
                <w:rtl/>
              </w:rPr>
            </w:pPr>
            <w:r>
              <w:rPr>
                <w:rFonts w:ascii="Times New Roman" w:eastAsia="Times New Roman" w:hAnsi="Times New Roman" w:hint="cs"/>
                <w:b/>
                <w:bCs/>
                <w:rtl/>
              </w:rPr>
              <w:t>שושנה  פיינסוד-כהן, שופטת</w:t>
            </w:r>
          </w:p>
        </w:tc>
      </w:tr>
    </w:tbl>
    <w:p w14:paraId="34113A17" w14:textId="77777777" w:rsidR="0034267E" w:rsidRDefault="0034267E">
      <w:pPr>
        <w:jc w:val="right"/>
        <w:rPr>
          <w:rtl/>
        </w:rPr>
      </w:pPr>
    </w:p>
    <w:p w14:paraId="13EE4BEA" w14:textId="77777777" w:rsidR="0034267E" w:rsidRDefault="0034267E">
      <w:pPr>
        <w:jc w:val="both"/>
        <w:rPr>
          <w:rtl/>
        </w:rPr>
      </w:pPr>
    </w:p>
    <w:p w14:paraId="37E31564" w14:textId="77777777" w:rsidR="0034267E" w:rsidRDefault="0034267E">
      <w:pPr>
        <w:pStyle w:val="a6"/>
        <w:jc w:val="center"/>
        <w:rPr>
          <w:rFonts w:ascii="David" w:hAnsi="David"/>
          <w:bCs w:val="0"/>
          <w:sz w:val="24"/>
          <w:rtl/>
        </w:rPr>
      </w:pPr>
    </w:p>
    <w:p w14:paraId="1DB87ED0" w14:textId="77777777" w:rsidR="0034267E" w:rsidRDefault="002D770C">
      <w:pPr>
        <w:pStyle w:val="a6"/>
        <w:jc w:val="both"/>
        <w:rPr>
          <w:rFonts w:ascii="David" w:hAnsi="David"/>
          <w:bCs w:val="0"/>
          <w:sz w:val="24"/>
          <w:rtl/>
        </w:rPr>
      </w:pPr>
      <w:bookmarkStart w:id="8" w:name="_GoBack"/>
      <w:r>
        <w:rPr>
          <w:rFonts w:ascii="David" w:hAnsi="David"/>
          <w:bCs w:val="0"/>
          <w:sz w:val="24"/>
          <w:rtl/>
        </w:rPr>
        <w:t xml:space="preserve"> </w:t>
      </w:r>
      <w:bookmarkEnd w:id="8"/>
    </w:p>
    <w:p w14:paraId="49E5B11A" w14:textId="77777777" w:rsidR="002D770C" w:rsidRPr="002D770C" w:rsidRDefault="002D770C" w:rsidP="002D770C">
      <w:pPr>
        <w:keepNext/>
        <w:rPr>
          <w:color w:val="000000"/>
          <w:sz w:val="22"/>
          <w:szCs w:val="22"/>
          <w:rtl/>
        </w:rPr>
      </w:pPr>
    </w:p>
    <w:p w14:paraId="0BC80D7D" w14:textId="77777777" w:rsidR="002D770C" w:rsidRPr="002D770C" w:rsidRDefault="002D770C" w:rsidP="002D770C">
      <w:pPr>
        <w:keepNext/>
        <w:rPr>
          <w:color w:val="000000"/>
          <w:sz w:val="22"/>
          <w:szCs w:val="22"/>
          <w:rtl/>
        </w:rPr>
      </w:pPr>
      <w:r w:rsidRPr="002D770C">
        <w:rPr>
          <w:color w:val="000000"/>
          <w:sz w:val="22"/>
          <w:szCs w:val="22"/>
          <w:rtl/>
        </w:rPr>
        <w:t>שושנה פיינסוד כהן 54678313</w:t>
      </w:r>
    </w:p>
    <w:p w14:paraId="14BA1C20" w14:textId="77777777" w:rsidR="002D770C" w:rsidRDefault="002D770C" w:rsidP="002D770C">
      <w:r w:rsidRPr="002D770C">
        <w:rPr>
          <w:color w:val="000000"/>
          <w:rtl/>
        </w:rPr>
        <w:t>נוסח מסמך זה כפוף לשינויי ניסוח ועריכה</w:t>
      </w:r>
    </w:p>
    <w:p w14:paraId="42D5B571" w14:textId="77777777" w:rsidR="002D770C" w:rsidRDefault="002D770C" w:rsidP="002D770C">
      <w:pPr>
        <w:rPr>
          <w:rtl/>
        </w:rPr>
      </w:pPr>
    </w:p>
    <w:p w14:paraId="1B9E8446" w14:textId="77777777" w:rsidR="002D770C" w:rsidRDefault="002D770C" w:rsidP="002D770C">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2B452B33" w14:textId="77777777" w:rsidR="0034267E" w:rsidRPr="002D770C" w:rsidRDefault="0034267E" w:rsidP="002D770C">
      <w:pPr>
        <w:jc w:val="center"/>
        <w:rPr>
          <w:color w:val="0000FF"/>
          <w:u w:val="single"/>
        </w:rPr>
      </w:pPr>
    </w:p>
    <w:sectPr w:rsidR="0034267E" w:rsidRPr="002D770C" w:rsidSect="002D770C">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72FE1" w14:textId="77777777" w:rsidR="0064140C" w:rsidRPr="00F66584" w:rsidRDefault="0064140C">
      <w:pPr>
        <w:rPr>
          <w:rFonts w:cs="Arial"/>
          <w:szCs w:val="20"/>
        </w:rPr>
      </w:pPr>
      <w:r>
        <w:separator/>
      </w:r>
    </w:p>
  </w:endnote>
  <w:endnote w:type="continuationSeparator" w:id="0">
    <w:p w14:paraId="66D10138" w14:textId="77777777" w:rsidR="0064140C" w:rsidRPr="00F66584" w:rsidRDefault="0064140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F5A5C" w14:textId="77777777" w:rsidR="002D770C" w:rsidRDefault="002D770C" w:rsidP="002D77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3F2A3F62" w14:textId="77777777" w:rsidR="0034267E" w:rsidRPr="002D770C" w:rsidRDefault="002D770C" w:rsidP="002D770C">
    <w:pPr>
      <w:pStyle w:val="a4"/>
      <w:pBdr>
        <w:top w:val="single" w:sz="4" w:space="1" w:color="auto"/>
        <w:between w:val="single" w:sz="4" w:space="0" w:color="auto"/>
      </w:pBdr>
      <w:spacing w:after="60"/>
      <w:jc w:val="center"/>
      <w:rPr>
        <w:rFonts w:ascii="FrankRuehl" w:hAnsi="FrankRuehl" w:cs="FrankRuehl"/>
        <w:color w:val="000000"/>
      </w:rPr>
    </w:pPr>
    <w:r w:rsidRPr="002D77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04468" w14:textId="77777777" w:rsidR="002D770C" w:rsidRDefault="002D770C" w:rsidP="002D77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F99">
      <w:rPr>
        <w:rFonts w:ascii="FrankRuehl" w:hAnsi="FrankRuehl" w:cs="FrankRuehl"/>
        <w:noProof/>
        <w:rtl/>
      </w:rPr>
      <w:t>1</w:t>
    </w:r>
    <w:r>
      <w:rPr>
        <w:rFonts w:ascii="FrankRuehl" w:hAnsi="FrankRuehl" w:cs="FrankRuehl"/>
        <w:rtl/>
      </w:rPr>
      <w:fldChar w:fldCharType="end"/>
    </w:r>
  </w:p>
  <w:p w14:paraId="4F3D3AFF" w14:textId="77777777" w:rsidR="0034267E" w:rsidRPr="002D770C" w:rsidRDefault="002D770C" w:rsidP="002D770C">
    <w:pPr>
      <w:pStyle w:val="a4"/>
      <w:pBdr>
        <w:top w:val="single" w:sz="4" w:space="1" w:color="auto"/>
        <w:between w:val="single" w:sz="4" w:space="0" w:color="auto"/>
      </w:pBdr>
      <w:spacing w:after="60"/>
      <w:jc w:val="center"/>
      <w:rPr>
        <w:rFonts w:ascii="FrankRuehl" w:hAnsi="FrankRuehl" w:cs="FrankRuehl"/>
        <w:color w:val="000000"/>
      </w:rPr>
    </w:pPr>
    <w:r w:rsidRPr="002D770C">
      <w:rPr>
        <w:rFonts w:ascii="FrankRuehl" w:hAnsi="FrankRuehl" w:cs="FrankRuehl"/>
        <w:color w:val="000000"/>
      </w:rPr>
      <w:pict w14:anchorId="7B41E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8DD9" w14:textId="77777777" w:rsidR="0064140C" w:rsidRPr="00F66584" w:rsidRDefault="0064140C">
      <w:pPr>
        <w:rPr>
          <w:rFonts w:cs="Arial"/>
          <w:szCs w:val="20"/>
        </w:rPr>
      </w:pPr>
      <w:r>
        <w:separator/>
      </w:r>
    </w:p>
  </w:footnote>
  <w:footnote w:type="continuationSeparator" w:id="0">
    <w:p w14:paraId="4367731A" w14:textId="77777777" w:rsidR="0064140C" w:rsidRPr="00F66584" w:rsidRDefault="0064140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82E1" w14:textId="77777777" w:rsidR="002D770C" w:rsidRPr="002D770C" w:rsidRDefault="002D770C" w:rsidP="002D77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3798-02-13</w:t>
    </w:r>
    <w:r>
      <w:rPr>
        <w:color w:val="000000"/>
        <w:sz w:val="22"/>
        <w:szCs w:val="22"/>
        <w:rtl/>
      </w:rPr>
      <w:tab/>
      <w:t xml:space="preserve"> מדינת ישראל נ' שמעון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BB56" w14:textId="77777777" w:rsidR="002D770C" w:rsidRPr="002D770C" w:rsidRDefault="002D770C" w:rsidP="002D77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3798-02-13</w:t>
    </w:r>
    <w:r>
      <w:rPr>
        <w:color w:val="000000"/>
        <w:sz w:val="22"/>
        <w:szCs w:val="22"/>
        <w:rtl/>
      </w:rPr>
      <w:tab/>
      <w:t xml:space="preserve"> מדינת ישראל נ' שמעון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67E"/>
    <w:rsid w:val="000E1FA4"/>
    <w:rsid w:val="002D770C"/>
    <w:rsid w:val="00327FF2"/>
    <w:rsid w:val="0034267E"/>
    <w:rsid w:val="0064140C"/>
    <w:rsid w:val="006E262B"/>
    <w:rsid w:val="00EA5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18A7E7"/>
  <w15:chartTrackingRefBased/>
  <w15:docId w15:val="{4A6F6534-BAAE-4965-8B8D-AB023767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67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4267E"/>
    <w:pPr>
      <w:tabs>
        <w:tab w:val="center" w:pos="4153"/>
        <w:tab w:val="right" w:pos="8306"/>
      </w:tabs>
    </w:pPr>
  </w:style>
  <w:style w:type="paragraph" w:styleId="a4">
    <w:name w:val="footer"/>
    <w:basedOn w:val="a"/>
    <w:rsid w:val="0034267E"/>
    <w:pPr>
      <w:tabs>
        <w:tab w:val="center" w:pos="4153"/>
        <w:tab w:val="right" w:pos="8306"/>
      </w:tabs>
    </w:pPr>
  </w:style>
  <w:style w:type="character" w:styleId="a5">
    <w:name w:val="page number"/>
    <w:basedOn w:val="a0"/>
    <w:rsid w:val="0034267E"/>
  </w:style>
  <w:style w:type="character" w:customStyle="1" w:styleId="TimesNewRomanTimesNewRoman">
    <w:name w:val="סגנון (לטיני) Times New Roman (עברית ושפות אחרות) Times New Roman..."/>
    <w:basedOn w:val="a0"/>
    <w:rsid w:val="0034267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4267E"/>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34267E"/>
    <w:pPr>
      <w:spacing w:line="360" w:lineRule="auto"/>
      <w:jc w:val="both"/>
    </w:pPr>
    <w:rPr>
      <w:rFonts w:ascii="Times New Roman" w:eastAsia="Times New Roman" w:hAnsi="Times New Roman"/>
    </w:rPr>
  </w:style>
  <w:style w:type="paragraph" w:customStyle="1" w:styleId="a6">
    <w:name w:val="החלטה"/>
    <w:basedOn w:val="a"/>
    <w:rsid w:val="0034267E"/>
    <w:pPr>
      <w:suppressLineNumbers/>
    </w:pPr>
    <w:rPr>
      <w:rFonts w:ascii="Times New Roman" w:eastAsia="Times New Roman" w:hAnsi="Times New Roman"/>
      <w:bCs/>
      <w:snapToGrid w:val="0"/>
      <w:sz w:val="20"/>
      <w:lang w:eastAsia="he-IL"/>
    </w:rPr>
  </w:style>
  <w:style w:type="character" w:styleId="a7">
    <w:name w:val="line number"/>
    <w:basedOn w:val="a0"/>
    <w:rsid w:val="0034267E"/>
  </w:style>
  <w:style w:type="character" w:styleId="Hyperlink">
    <w:name w:val="Hyperlink"/>
    <w:basedOn w:val="a0"/>
    <w:rsid w:val="002D7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c" TargetMode="External"/><Relationship Id="rId12" Type="http://schemas.openxmlformats.org/officeDocument/2006/relationships/hyperlink" Target="http://www.nevo.co.il/law/70301/40d"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7.a.c"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4474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2025-04-22T21:56:00Z</dcterms:created>
  <dcterms:modified xsi:type="dcterms:W3CDTF">2025-04-22T21:56:00Z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3798</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שמעון אדרי</vt:lpwstr>
  </property>
  <property fmtid="{D5CDD505-2E9C-101B-9397-08002B2CF9AE}" pid="10" name="LAWYER">
    <vt:lpwstr>אינאס סמוחה</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20140710</vt:lpwstr>
  </property>
  <property fmtid="{D5CDD505-2E9C-101B-9397-08002B2CF9AE}" pid="14" name="TYPE_N_DATE">
    <vt:lpwstr>38020140710</vt:lpwstr>
  </property>
  <property fmtid="{D5CDD505-2E9C-101B-9397-08002B2CF9AE}" pid="15" name="WORDNUMPAGES">
    <vt:lpwstr>3</vt:lpwstr>
  </property>
  <property fmtid="{D5CDD505-2E9C-101B-9397-08002B2CF9AE}" pid="16" name="TYPE_ABS_DATE">
    <vt:lpwstr>380020140710</vt:lpwstr>
  </property>
  <property fmtid="{D5CDD505-2E9C-101B-9397-08002B2CF9AE}" pid="17" name="ISABSTRACT">
    <vt:lpwstr>Y</vt:lpwstr>
  </property>
  <property fmtid="{D5CDD505-2E9C-101B-9397-08002B2CF9AE}" pid="18" name="LAWLISTTMP1">
    <vt:lpwstr>4216/007.a.c</vt:lpwstr>
  </property>
  <property fmtid="{D5CDD505-2E9C-101B-9397-08002B2CF9AE}" pid="19" name="LAWLISTTMP2">
    <vt:lpwstr>70301/040d</vt:lpwstr>
  </property>
</Properties>
</file>