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365F1A" w:rsidRPr="0011097C" w14:paraId="0272CC09" w14:textId="77777777">
        <w:trPr>
          <w:trHeight w:hRule="exact" w:val="418"/>
          <w:jc w:val="center"/>
        </w:trPr>
        <w:tc>
          <w:tcPr>
            <w:tcW w:w="8721" w:type="dxa"/>
            <w:gridSpan w:val="2"/>
          </w:tcPr>
          <w:p w14:paraId="5CDC1732" w14:textId="77777777" w:rsidR="00365F1A" w:rsidRPr="0011097C" w:rsidRDefault="0011097C">
            <w:pPr>
              <w:pStyle w:val="a3"/>
              <w:jc w:val="center"/>
              <w:rPr>
                <w:rFonts w:ascii="Tahoma" w:hAnsi="Tahoma" w:cs="Tahoma"/>
                <w:color w:val="000080"/>
                <w:rtl/>
              </w:rPr>
            </w:pPr>
            <w:bookmarkStart w:id="0" w:name="LastJudge"/>
            <w:r w:rsidRPr="0011097C">
              <w:rPr>
                <w:rFonts w:ascii="Tahoma" w:hAnsi="Tahoma" w:cs="Tahoma"/>
                <w:b/>
                <w:bCs/>
                <w:color w:val="000080"/>
                <w:rtl/>
              </w:rPr>
              <w:t>בית משפט השלום בכפר סבא</w:t>
            </w:r>
          </w:p>
        </w:tc>
      </w:tr>
      <w:tr w:rsidR="00365F1A" w:rsidRPr="0011097C" w14:paraId="67E8F30B" w14:textId="77777777">
        <w:trPr>
          <w:trHeight w:val="337"/>
          <w:jc w:val="center"/>
        </w:trPr>
        <w:tc>
          <w:tcPr>
            <w:tcW w:w="5050" w:type="dxa"/>
          </w:tcPr>
          <w:p w14:paraId="090A13D8" w14:textId="77777777" w:rsidR="00365F1A" w:rsidRPr="0011097C" w:rsidRDefault="0011097C">
            <w:pPr>
              <w:rPr>
                <w:rFonts w:cs="FrankRuehl"/>
                <w:sz w:val="28"/>
                <w:szCs w:val="28"/>
                <w:rtl/>
              </w:rPr>
            </w:pPr>
            <w:r w:rsidRPr="0011097C">
              <w:rPr>
                <w:rFonts w:cs="FrankRuehl"/>
                <w:sz w:val="28"/>
                <w:szCs w:val="28"/>
                <w:rtl/>
              </w:rPr>
              <w:t>ת"פ</w:t>
            </w:r>
            <w:r w:rsidRPr="0011097C">
              <w:rPr>
                <w:rFonts w:cs="FrankRuehl" w:hint="cs"/>
                <w:sz w:val="28"/>
                <w:szCs w:val="28"/>
                <w:rtl/>
              </w:rPr>
              <w:t xml:space="preserve"> </w:t>
            </w:r>
            <w:r w:rsidRPr="0011097C">
              <w:rPr>
                <w:rFonts w:cs="FrankRuehl"/>
                <w:sz w:val="28"/>
                <w:szCs w:val="28"/>
                <w:rtl/>
              </w:rPr>
              <w:t>38654-02-13</w:t>
            </w:r>
            <w:r w:rsidRPr="0011097C">
              <w:rPr>
                <w:rFonts w:cs="FrankRuehl" w:hint="cs"/>
                <w:sz w:val="28"/>
                <w:szCs w:val="28"/>
                <w:rtl/>
              </w:rPr>
              <w:t xml:space="preserve"> </w:t>
            </w:r>
            <w:r w:rsidRPr="0011097C">
              <w:rPr>
                <w:rFonts w:cs="FrankRuehl"/>
                <w:sz w:val="28"/>
                <w:szCs w:val="28"/>
                <w:rtl/>
              </w:rPr>
              <w:t>מדינת ישראל נ' שלוף</w:t>
            </w:r>
          </w:p>
          <w:p w14:paraId="62A7FD24" w14:textId="77777777" w:rsidR="00365F1A" w:rsidRPr="0011097C" w:rsidRDefault="00365F1A">
            <w:pPr>
              <w:pStyle w:val="a3"/>
              <w:rPr>
                <w:rFonts w:cs="FrankRuehl"/>
                <w:sz w:val="28"/>
                <w:szCs w:val="28"/>
                <w:rtl/>
              </w:rPr>
            </w:pPr>
          </w:p>
        </w:tc>
        <w:tc>
          <w:tcPr>
            <w:tcW w:w="3671" w:type="dxa"/>
          </w:tcPr>
          <w:p w14:paraId="61A73D56" w14:textId="77777777" w:rsidR="00365F1A" w:rsidRPr="0011097C" w:rsidRDefault="0011097C">
            <w:pPr>
              <w:pStyle w:val="a3"/>
              <w:jc w:val="right"/>
              <w:rPr>
                <w:rFonts w:cs="FrankRuehl"/>
                <w:sz w:val="28"/>
                <w:szCs w:val="28"/>
                <w:rtl/>
              </w:rPr>
            </w:pPr>
            <w:r w:rsidRPr="0011097C">
              <w:rPr>
                <w:rFonts w:cs="FrankRuehl"/>
                <w:sz w:val="28"/>
                <w:szCs w:val="28"/>
                <w:rtl/>
              </w:rPr>
              <w:t>05 מרץ 2014</w:t>
            </w:r>
          </w:p>
        </w:tc>
      </w:tr>
    </w:tbl>
    <w:p w14:paraId="6EC0CEED" w14:textId="77777777" w:rsidR="00365F1A" w:rsidRPr="0011097C" w:rsidRDefault="0011097C">
      <w:pPr>
        <w:pStyle w:val="a3"/>
        <w:rPr>
          <w:rtl/>
        </w:rPr>
      </w:pPr>
      <w:r w:rsidRPr="0011097C">
        <w:rPr>
          <w:rFonts w:hint="cs"/>
          <w:rtl/>
        </w:rPr>
        <w:t xml:space="preserve"> </w:t>
      </w:r>
    </w:p>
    <w:p w14:paraId="75CF4372" w14:textId="77777777" w:rsidR="00365F1A" w:rsidRPr="0011097C" w:rsidRDefault="0011097C">
      <w:pPr>
        <w:pStyle w:val="a3"/>
      </w:pPr>
      <w:r w:rsidRPr="0011097C">
        <w:rPr>
          <w:rFonts w:cs="Times New Roman" w:hint="cs"/>
          <w:b/>
          <w:bCs/>
          <w:sz w:val="26"/>
          <w:szCs w:val="28"/>
          <w:rtl/>
        </w:rPr>
        <w:t xml:space="preserve"> </w:t>
      </w:r>
    </w:p>
    <w:p w14:paraId="2B5B553E" w14:textId="77777777" w:rsidR="00365F1A" w:rsidRPr="0011097C" w:rsidRDefault="00365F1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65F1A" w:rsidRPr="0011097C" w14:paraId="70B162C3" w14:textId="77777777">
        <w:trPr>
          <w:trHeight w:val="295"/>
          <w:jc w:val="center"/>
        </w:trPr>
        <w:tc>
          <w:tcPr>
            <w:tcW w:w="923" w:type="dxa"/>
            <w:tcBorders>
              <w:top w:val="nil"/>
              <w:left w:val="nil"/>
              <w:bottom w:val="nil"/>
              <w:right w:val="nil"/>
            </w:tcBorders>
          </w:tcPr>
          <w:p w14:paraId="69E1E37E" w14:textId="77777777" w:rsidR="00365F1A" w:rsidRPr="0011097C" w:rsidRDefault="0011097C">
            <w:pPr>
              <w:jc w:val="both"/>
              <w:rPr>
                <w:rFonts w:ascii="Arial" w:hAnsi="Arial"/>
                <w:sz w:val="26"/>
                <w:szCs w:val="26"/>
              </w:rPr>
            </w:pPr>
            <w:r w:rsidRPr="0011097C">
              <w:rPr>
                <w:rFonts w:ascii="Arial" w:hAnsi="Arial" w:hint="cs"/>
                <w:sz w:val="26"/>
                <w:szCs w:val="26"/>
                <w:rtl/>
              </w:rPr>
              <w:t>ל</w:t>
            </w:r>
            <w:r w:rsidRPr="0011097C">
              <w:rPr>
                <w:rFonts w:ascii="Arial" w:hAnsi="Arial"/>
                <w:sz w:val="26"/>
                <w:szCs w:val="26"/>
                <w:rtl/>
              </w:rPr>
              <w:t xml:space="preserve">פני </w:t>
            </w:r>
          </w:p>
        </w:tc>
        <w:tc>
          <w:tcPr>
            <w:tcW w:w="7897" w:type="dxa"/>
            <w:gridSpan w:val="2"/>
            <w:tcBorders>
              <w:top w:val="nil"/>
              <w:left w:val="nil"/>
              <w:bottom w:val="nil"/>
              <w:right w:val="nil"/>
            </w:tcBorders>
          </w:tcPr>
          <w:p w14:paraId="19E14CEA" w14:textId="77777777" w:rsidR="00365F1A" w:rsidRPr="0011097C" w:rsidRDefault="0011097C">
            <w:pPr>
              <w:rPr>
                <w:rFonts w:ascii="Arial" w:hAnsi="Arial"/>
                <w:b/>
                <w:bCs/>
                <w:sz w:val="26"/>
                <w:szCs w:val="26"/>
                <w:rtl/>
              </w:rPr>
            </w:pPr>
            <w:r w:rsidRPr="0011097C">
              <w:rPr>
                <w:rFonts w:ascii="Arial" w:hAnsi="Arial" w:hint="cs"/>
                <w:b/>
                <w:bCs/>
                <w:sz w:val="26"/>
                <w:szCs w:val="26"/>
                <w:rtl/>
              </w:rPr>
              <w:t>כב' ה</w:t>
            </w:r>
            <w:r w:rsidRPr="0011097C">
              <w:rPr>
                <w:rFonts w:hint="cs"/>
                <w:rtl/>
              </w:rPr>
              <w:t>שופט</w:t>
            </w:r>
            <w:r w:rsidRPr="0011097C">
              <w:rPr>
                <w:rFonts w:ascii="Arial" w:hAnsi="Arial" w:hint="cs"/>
                <w:b/>
                <w:bCs/>
                <w:sz w:val="26"/>
                <w:szCs w:val="26"/>
                <w:rtl/>
              </w:rPr>
              <w:t xml:space="preserve">  </w:t>
            </w:r>
            <w:r w:rsidRPr="0011097C">
              <w:rPr>
                <w:rFonts w:hint="cs"/>
                <w:rtl/>
              </w:rPr>
              <w:t>מיכאל קרשן</w:t>
            </w:r>
          </w:p>
          <w:p w14:paraId="73507550" w14:textId="77777777" w:rsidR="00365F1A" w:rsidRPr="0011097C" w:rsidRDefault="00365F1A">
            <w:pPr>
              <w:jc w:val="both"/>
              <w:rPr>
                <w:rFonts w:ascii="Arial" w:hAnsi="Arial"/>
                <w:sz w:val="26"/>
                <w:szCs w:val="26"/>
              </w:rPr>
            </w:pPr>
          </w:p>
        </w:tc>
      </w:tr>
      <w:tr w:rsidR="00365F1A" w:rsidRPr="0011097C" w14:paraId="3FBFDD8B" w14:textId="77777777">
        <w:trPr>
          <w:trHeight w:val="355"/>
          <w:jc w:val="center"/>
        </w:trPr>
        <w:tc>
          <w:tcPr>
            <w:tcW w:w="923" w:type="dxa"/>
            <w:tcBorders>
              <w:top w:val="nil"/>
              <w:left w:val="nil"/>
              <w:bottom w:val="nil"/>
              <w:right w:val="nil"/>
            </w:tcBorders>
          </w:tcPr>
          <w:p w14:paraId="6026D7D6" w14:textId="77777777" w:rsidR="00365F1A" w:rsidRPr="0011097C" w:rsidRDefault="00365F1A">
            <w:pPr>
              <w:jc w:val="both"/>
              <w:rPr>
                <w:rFonts w:ascii="Arial" w:hAnsi="Arial"/>
                <w:sz w:val="26"/>
                <w:szCs w:val="26"/>
                <w:rtl/>
              </w:rPr>
            </w:pPr>
            <w:bookmarkStart w:id="1" w:name="FirstAppellant"/>
          </w:p>
          <w:p w14:paraId="4D331677" w14:textId="77777777" w:rsidR="00365F1A" w:rsidRPr="0011097C" w:rsidRDefault="0011097C">
            <w:pPr>
              <w:jc w:val="both"/>
              <w:rPr>
                <w:rFonts w:ascii="Arial" w:hAnsi="Arial"/>
                <w:sz w:val="26"/>
                <w:szCs w:val="26"/>
              </w:rPr>
            </w:pPr>
            <w:r w:rsidRPr="0011097C">
              <w:rPr>
                <w:rFonts w:ascii="Arial" w:hAnsi="Arial" w:hint="cs"/>
                <w:sz w:val="26"/>
                <w:szCs w:val="26"/>
                <w:rtl/>
              </w:rPr>
              <w:t>בעניין:</w:t>
            </w:r>
          </w:p>
        </w:tc>
        <w:tc>
          <w:tcPr>
            <w:tcW w:w="4126" w:type="dxa"/>
            <w:tcBorders>
              <w:top w:val="nil"/>
              <w:left w:val="nil"/>
              <w:bottom w:val="nil"/>
              <w:right w:val="nil"/>
            </w:tcBorders>
          </w:tcPr>
          <w:p w14:paraId="3BF1B862" w14:textId="77777777" w:rsidR="00365F1A" w:rsidRPr="0011097C" w:rsidRDefault="00365F1A">
            <w:pPr>
              <w:jc w:val="both"/>
              <w:rPr>
                <w:rFonts w:ascii="Arial" w:hAnsi="Arial"/>
                <w:sz w:val="26"/>
                <w:szCs w:val="26"/>
                <w:rtl/>
              </w:rPr>
            </w:pPr>
          </w:p>
          <w:p w14:paraId="433B69AF" w14:textId="77777777" w:rsidR="00365F1A" w:rsidRPr="0011097C" w:rsidRDefault="0011097C">
            <w:pPr>
              <w:rPr>
                <w:rFonts w:ascii="Arial" w:hAnsi="Arial"/>
                <w:sz w:val="26"/>
                <w:szCs w:val="26"/>
              </w:rPr>
            </w:pPr>
            <w:r w:rsidRPr="0011097C">
              <w:rPr>
                <w:rFonts w:ascii="Arial" w:hAnsi="Arial" w:hint="cs"/>
                <w:sz w:val="26"/>
                <w:szCs w:val="26"/>
                <w:rtl/>
              </w:rPr>
              <w:t>ה</w:t>
            </w:r>
            <w:r w:rsidRPr="0011097C">
              <w:rPr>
                <w:rFonts w:hint="cs"/>
                <w:rtl/>
              </w:rPr>
              <w:t>מאשימה</w:t>
            </w:r>
          </w:p>
        </w:tc>
        <w:tc>
          <w:tcPr>
            <w:tcW w:w="3771" w:type="dxa"/>
            <w:tcBorders>
              <w:top w:val="nil"/>
              <w:left w:val="nil"/>
              <w:bottom w:val="nil"/>
              <w:right w:val="nil"/>
            </w:tcBorders>
          </w:tcPr>
          <w:p w14:paraId="59522F7F" w14:textId="77777777" w:rsidR="00365F1A" w:rsidRPr="0011097C" w:rsidRDefault="00365F1A">
            <w:pPr>
              <w:rPr>
                <w:rFonts w:ascii="Arial" w:hAnsi="Arial"/>
                <w:sz w:val="26"/>
                <w:szCs w:val="26"/>
                <w:rtl/>
              </w:rPr>
            </w:pPr>
          </w:p>
          <w:p w14:paraId="40F4FB92" w14:textId="77777777" w:rsidR="00365F1A" w:rsidRPr="0011097C" w:rsidRDefault="0011097C">
            <w:pPr>
              <w:rPr>
                <w:sz w:val="26"/>
                <w:szCs w:val="26"/>
              </w:rPr>
            </w:pPr>
            <w:r w:rsidRPr="0011097C">
              <w:rPr>
                <w:rFonts w:hint="cs"/>
                <w:rtl/>
              </w:rPr>
              <w:t>מדינת ישראל</w:t>
            </w:r>
          </w:p>
          <w:p w14:paraId="1163E11D" w14:textId="77777777" w:rsidR="00365F1A" w:rsidRPr="0011097C" w:rsidRDefault="00365F1A">
            <w:pPr>
              <w:jc w:val="both"/>
              <w:rPr>
                <w:rFonts w:ascii="Arial" w:hAnsi="Arial"/>
                <w:sz w:val="26"/>
                <w:szCs w:val="26"/>
              </w:rPr>
            </w:pPr>
          </w:p>
        </w:tc>
      </w:tr>
      <w:bookmarkEnd w:id="1"/>
      <w:tr w:rsidR="00365F1A" w:rsidRPr="0011097C" w14:paraId="57CE2240" w14:textId="77777777">
        <w:trPr>
          <w:trHeight w:val="355"/>
          <w:jc w:val="center"/>
        </w:trPr>
        <w:tc>
          <w:tcPr>
            <w:tcW w:w="923" w:type="dxa"/>
            <w:tcBorders>
              <w:top w:val="nil"/>
              <w:left w:val="nil"/>
              <w:bottom w:val="nil"/>
              <w:right w:val="nil"/>
            </w:tcBorders>
          </w:tcPr>
          <w:p w14:paraId="3EA2E654" w14:textId="77777777" w:rsidR="00365F1A" w:rsidRPr="0011097C" w:rsidRDefault="00365F1A">
            <w:pPr>
              <w:jc w:val="both"/>
              <w:rPr>
                <w:rFonts w:ascii="Arial" w:hAnsi="Arial"/>
                <w:sz w:val="26"/>
                <w:szCs w:val="26"/>
                <w:rtl/>
              </w:rPr>
            </w:pPr>
          </w:p>
        </w:tc>
        <w:tc>
          <w:tcPr>
            <w:tcW w:w="4126" w:type="dxa"/>
            <w:tcBorders>
              <w:top w:val="nil"/>
              <w:left w:val="nil"/>
              <w:bottom w:val="nil"/>
              <w:right w:val="nil"/>
            </w:tcBorders>
          </w:tcPr>
          <w:p w14:paraId="0A6AED46" w14:textId="77777777" w:rsidR="00365F1A" w:rsidRPr="0011097C" w:rsidRDefault="00365F1A">
            <w:pPr>
              <w:jc w:val="both"/>
              <w:rPr>
                <w:sz w:val="26"/>
                <w:szCs w:val="26"/>
                <w:rtl/>
              </w:rPr>
            </w:pPr>
          </w:p>
        </w:tc>
        <w:tc>
          <w:tcPr>
            <w:tcW w:w="3771" w:type="dxa"/>
            <w:tcBorders>
              <w:top w:val="nil"/>
              <w:left w:val="nil"/>
              <w:bottom w:val="nil"/>
              <w:right w:val="nil"/>
            </w:tcBorders>
          </w:tcPr>
          <w:p w14:paraId="431D5838" w14:textId="77777777" w:rsidR="00365F1A" w:rsidRPr="0011097C" w:rsidRDefault="00365F1A">
            <w:pPr>
              <w:jc w:val="right"/>
              <w:rPr>
                <w:rFonts w:ascii="Arial" w:hAnsi="Arial"/>
                <w:sz w:val="26"/>
                <w:szCs w:val="26"/>
                <w:rtl/>
              </w:rPr>
            </w:pPr>
          </w:p>
        </w:tc>
      </w:tr>
      <w:tr w:rsidR="00365F1A" w:rsidRPr="0011097C" w14:paraId="1FBF1D68" w14:textId="77777777">
        <w:trPr>
          <w:trHeight w:val="355"/>
          <w:jc w:val="center"/>
        </w:trPr>
        <w:tc>
          <w:tcPr>
            <w:tcW w:w="923" w:type="dxa"/>
            <w:tcBorders>
              <w:top w:val="nil"/>
              <w:left w:val="nil"/>
              <w:bottom w:val="nil"/>
              <w:right w:val="nil"/>
            </w:tcBorders>
          </w:tcPr>
          <w:p w14:paraId="1A04DD26" w14:textId="77777777" w:rsidR="00365F1A" w:rsidRPr="0011097C" w:rsidRDefault="00365F1A">
            <w:pPr>
              <w:jc w:val="both"/>
              <w:rPr>
                <w:rFonts w:ascii="Arial" w:hAnsi="Arial"/>
                <w:sz w:val="26"/>
                <w:szCs w:val="26"/>
                <w:rtl/>
              </w:rPr>
            </w:pPr>
          </w:p>
        </w:tc>
        <w:tc>
          <w:tcPr>
            <w:tcW w:w="7897" w:type="dxa"/>
            <w:gridSpan w:val="2"/>
            <w:tcBorders>
              <w:top w:val="nil"/>
              <w:left w:val="nil"/>
              <w:bottom w:val="nil"/>
              <w:right w:val="nil"/>
            </w:tcBorders>
          </w:tcPr>
          <w:p w14:paraId="47A4C3DC" w14:textId="77777777" w:rsidR="00365F1A" w:rsidRPr="0011097C" w:rsidRDefault="00365F1A">
            <w:pPr>
              <w:jc w:val="center"/>
              <w:rPr>
                <w:rFonts w:ascii="Arial" w:hAnsi="Arial"/>
                <w:b/>
                <w:bCs/>
                <w:sz w:val="26"/>
                <w:szCs w:val="26"/>
                <w:rtl/>
              </w:rPr>
            </w:pPr>
          </w:p>
          <w:p w14:paraId="16FAAC96" w14:textId="77777777" w:rsidR="00365F1A" w:rsidRPr="0011097C" w:rsidRDefault="0011097C">
            <w:pPr>
              <w:jc w:val="center"/>
              <w:rPr>
                <w:rFonts w:ascii="Arial" w:hAnsi="Arial"/>
                <w:b/>
                <w:bCs/>
                <w:sz w:val="26"/>
                <w:szCs w:val="26"/>
                <w:rtl/>
              </w:rPr>
            </w:pPr>
            <w:r w:rsidRPr="0011097C">
              <w:rPr>
                <w:rFonts w:ascii="Arial" w:hAnsi="Arial"/>
                <w:b/>
                <w:bCs/>
                <w:sz w:val="26"/>
                <w:szCs w:val="26"/>
                <w:rtl/>
              </w:rPr>
              <w:t>נגד</w:t>
            </w:r>
          </w:p>
          <w:p w14:paraId="29BBABEB" w14:textId="77777777" w:rsidR="00365F1A" w:rsidRPr="0011097C" w:rsidRDefault="00365F1A">
            <w:pPr>
              <w:jc w:val="both"/>
              <w:rPr>
                <w:rFonts w:ascii="Arial" w:hAnsi="Arial"/>
                <w:sz w:val="26"/>
                <w:szCs w:val="26"/>
              </w:rPr>
            </w:pPr>
          </w:p>
        </w:tc>
      </w:tr>
      <w:tr w:rsidR="00365F1A" w:rsidRPr="0011097C" w14:paraId="2AA61DC7" w14:textId="77777777">
        <w:trPr>
          <w:trHeight w:val="355"/>
          <w:jc w:val="center"/>
        </w:trPr>
        <w:tc>
          <w:tcPr>
            <w:tcW w:w="923" w:type="dxa"/>
            <w:tcBorders>
              <w:top w:val="nil"/>
              <w:left w:val="nil"/>
              <w:bottom w:val="nil"/>
              <w:right w:val="nil"/>
            </w:tcBorders>
          </w:tcPr>
          <w:p w14:paraId="01D7D9C1" w14:textId="77777777" w:rsidR="00365F1A" w:rsidRPr="0011097C" w:rsidRDefault="00365F1A">
            <w:pPr>
              <w:jc w:val="both"/>
              <w:rPr>
                <w:rFonts w:ascii="Arial" w:hAnsi="Arial"/>
                <w:sz w:val="26"/>
                <w:szCs w:val="26"/>
                <w:rtl/>
              </w:rPr>
            </w:pPr>
          </w:p>
        </w:tc>
        <w:tc>
          <w:tcPr>
            <w:tcW w:w="4126" w:type="dxa"/>
            <w:tcBorders>
              <w:top w:val="nil"/>
              <w:left w:val="nil"/>
              <w:bottom w:val="nil"/>
              <w:right w:val="nil"/>
            </w:tcBorders>
          </w:tcPr>
          <w:p w14:paraId="50C972B7" w14:textId="77777777" w:rsidR="00365F1A" w:rsidRPr="0011097C" w:rsidRDefault="0011097C">
            <w:pPr>
              <w:jc w:val="both"/>
              <w:rPr>
                <w:sz w:val="26"/>
                <w:szCs w:val="26"/>
                <w:rtl/>
              </w:rPr>
            </w:pPr>
            <w:r w:rsidRPr="0011097C">
              <w:rPr>
                <w:rFonts w:ascii="Arial" w:hAnsi="Arial" w:hint="cs"/>
                <w:sz w:val="26"/>
                <w:szCs w:val="26"/>
                <w:rtl/>
              </w:rPr>
              <w:t>ה</w:t>
            </w:r>
            <w:r w:rsidRPr="0011097C">
              <w:rPr>
                <w:rFonts w:hint="cs"/>
                <w:rtl/>
              </w:rPr>
              <w:t>נאשם</w:t>
            </w:r>
          </w:p>
        </w:tc>
        <w:tc>
          <w:tcPr>
            <w:tcW w:w="3771" w:type="dxa"/>
            <w:tcBorders>
              <w:top w:val="nil"/>
              <w:left w:val="nil"/>
              <w:bottom w:val="nil"/>
              <w:right w:val="nil"/>
            </w:tcBorders>
          </w:tcPr>
          <w:p w14:paraId="5B42B9C3" w14:textId="77777777" w:rsidR="00365F1A" w:rsidRPr="0011097C" w:rsidRDefault="0011097C">
            <w:pPr>
              <w:jc w:val="both"/>
            </w:pPr>
            <w:r w:rsidRPr="0011097C">
              <w:rPr>
                <w:rFonts w:hint="cs"/>
                <w:rtl/>
              </w:rPr>
              <w:t>מאגד שלוף</w:t>
            </w:r>
          </w:p>
          <w:p w14:paraId="29DD522C" w14:textId="77777777" w:rsidR="00365F1A" w:rsidRPr="0011097C" w:rsidRDefault="00365F1A">
            <w:pPr>
              <w:jc w:val="right"/>
              <w:rPr>
                <w:rFonts w:ascii="Arial" w:hAnsi="Arial"/>
                <w:sz w:val="26"/>
                <w:szCs w:val="26"/>
              </w:rPr>
            </w:pPr>
          </w:p>
        </w:tc>
      </w:tr>
      <w:tr w:rsidR="00365F1A" w:rsidRPr="0011097C" w14:paraId="1E0BAFFF" w14:textId="77777777">
        <w:trPr>
          <w:trHeight w:val="355"/>
          <w:jc w:val="center"/>
        </w:trPr>
        <w:tc>
          <w:tcPr>
            <w:tcW w:w="923" w:type="dxa"/>
            <w:tcBorders>
              <w:top w:val="nil"/>
              <w:left w:val="nil"/>
              <w:bottom w:val="nil"/>
              <w:right w:val="nil"/>
            </w:tcBorders>
          </w:tcPr>
          <w:p w14:paraId="41D1332F" w14:textId="77777777" w:rsidR="00365F1A" w:rsidRPr="0011097C" w:rsidRDefault="00365F1A">
            <w:pPr>
              <w:jc w:val="both"/>
              <w:rPr>
                <w:rFonts w:ascii="Arial" w:hAnsi="Arial"/>
                <w:sz w:val="26"/>
                <w:szCs w:val="26"/>
                <w:rtl/>
              </w:rPr>
            </w:pPr>
          </w:p>
        </w:tc>
        <w:tc>
          <w:tcPr>
            <w:tcW w:w="4126" w:type="dxa"/>
            <w:tcBorders>
              <w:top w:val="nil"/>
              <w:left w:val="nil"/>
              <w:bottom w:val="nil"/>
              <w:right w:val="nil"/>
            </w:tcBorders>
          </w:tcPr>
          <w:p w14:paraId="11A56E64" w14:textId="77777777" w:rsidR="00365F1A" w:rsidRPr="0011097C" w:rsidRDefault="00365F1A">
            <w:pPr>
              <w:jc w:val="both"/>
              <w:rPr>
                <w:sz w:val="26"/>
                <w:szCs w:val="26"/>
                <w:rtl/>
              </w:rPr>
            </w:pPr>
          </w:p>
        </w:tc>
        <w:tc>
          <w:tcPr>
            <w:tcW w:w="3771" w:type="dxa"/>
            <w:tcBorders>
              <w:top w:val="nil"/>
              <w:left w:val="nil"/>
              <w:bottom w:val="nil"/>
              <w:right w:val="nil"/>
            </w:tcBorders>
          </w:tcPr>
          <w:p w14:paraId="12889D6A" w14:textId="77777777" w:rsidR="00365F1A" w:rsidRPr="0011097C" w:rsidRDefault="00365F1A">
            <w:pPr>
              <w:jc w:val="right"/>
              <w:rPr>
                <w:rFonts w:ascii="Arial" w:hAnsi="Arial"/>
                <w:sz w:val="26"/>
                <w:szCs w:val="26"/>
              </w:rPr>
            </w:pPr>
          </w:p>
        </w:tc>
      </w:tr>
      <w:tr w:rsidR="00365F1A" w:rsidRPr="0011097C" w14:paraId="0378A098" w14:textId="77777777">
        <w:trPr>
          <w:trHeight w:val="355"/>
          <w:jc w:val="center"/>
        </w:trPr>
        <w:tc>
          <w:tcPr>
            <w:tcW w:w="8820" w:type="dxa"/>
            <w:gridSpan w:val="3"/>
            <w:tcBorders>
              <w:top w:val="nil"/>
              <w:left w:val="nil"/>
              <w:bottom w:val="nil"/>
              <w:right w:val="nil"/>
            </w:tcBorders>
          </w:tcPr>
          <w:p w14:paraId="416B7DDD" w14:textId="77777777" w:rsidR="00365F1A" w:rsidRPr="0011097C" w:rsidRDefault="0011097C">
            <w:pPr>
              <w:rPr>
                <w:rFonts w:ascii="Arial" w:hAnsi="Arial"/>
                <w:rtl/>
              </w:rPr>
            </w:pPr>
            <w:bookmarkStart w:id="2" w:name="FirstLawyer"/>
            <w:r w:rsidRPr="0011097C">
              <w:rPr>
                <w:rFonts w:ascii="Arial" w:hAnsi="Arial" w:hint="cs"/>
                <w:rtl/>
              </w:rPr>
              <w:t>נוכחים:</w:t>
            </w:r>
          </w:p>
          <w:p w14:paraId="53C851EA" w14:textId="77777777" w:rsidR="00365F1A" w:rsidRPr="0011097C" w:rsidRDefault="0011097C">
            <w:pPr>
              <w:rPr>
                <w:rFonts w:ascii="Arial" w:hAnsi="Arial"/>
                <w:rtl/>
              </w:rPr>
            </w:pPr>
            <w:r w:rsidRPr="0011097C">
              <w:rPr>
                <w:rFonts w:ascii="Arial" w:hAnsi="Arial" w:hint="cs"/>
                <w:rtl/>
              </w:rPr>
              <w:t xml:space="preserve">ב"כ המאשימה עו"ד קובי לן </w:t>
            </w:r>
          </w:p>
          <w:p w14:paraId="46FB548D" w14:textId="77777777" w:rsidR="00365F1A" w:rsidRPr="0011097C" w:rsidRDefault="0011097C">
            <w:pPr>
              <w:rPr>
                <w:rFonts w:ascii="Arial" w:hAnsi="Arial"/>
                <w:rtl/>
              </w:rPr>
            </w:pPr>
            <w:r w:rsidRPr="0011097C">
              <w:rPr>
                <w:rFonts w:ascii="Arial" w:hAnsi="Arial" w:hint="cs"/>
                <w:rtl/>
              </w:rPr>
              <w:t xml:space="preserve">הנאשם בעצמו וב"כ עו"ד גיא אבנון </w:t>
            </w:r>
          </w:p>
          <w:p w14:paraId="32E77732" w14:textId="77777777" w:rsidR="00660D67" w:rsidRDefault="00660D67" w:rsidP="00660D67">
            <w:pPr>
              <w:spacing w:after="120" w:line="240" w:lineRule="exact"/>
              <w:ind w:left="283" w:hanging="283"/>
              <w:jc w:val="both"/>
              <w:rPr>
                <w:rFonts w:ascii="FrankRuehl" w:hAnsi="FrankRuehl" w:cs="FrankRuehl" w:hint="cs"/>
                <w:rtl/>
              </w:rPr>
            </w:pPr>
          </w:p>
          <w:p w14:paraId="74D48810" w14:textId="77777777" w:rsidR="00660D67" w:rsidRPr="00660D67" w:rsidRDefault="00660D67" w:rsidP="00660D67">
            <w:pPr>
              <w:spacing w:after="120" w:line="240" w:lineRule="exact"/>
              <w:ind w:left="283" w:hanging="283"/>
              <w:jc w:val="both"/>
              <w:rPr>
                <w:rFonts w:ascii="FrankRuehl" w:hAnsi="FrankRuehl" w:cs="FrankRuehl"/>
                <w:rtl/>
              </w:rPr>
            </w:pPr>
            <w:r w:rsidRPr="00660D67">
              <w:rPr>
                <w:rFonts w:ascii="FrankRuehl" w:hAnsi="FrankRuehl" w:cs="FrankRuehl"/>
                <w:rtl/>
              </w:rPr>
              <w:t xml:space="preserve">חקיקה שאוזכרה: </w:t>
            </w:r>
          </w:p>
          <w:p w14:paraId="1874B1EB" w14:textId="77777777" w:rsidR="00660D67" w:rsidRPr="00660D67" w:rsidRDefault="00660D67" w:rsidP="00660D67">
            <w:pPr>
              <w:spacing w:after="120" w:line="240" w:lineRule="exact"/>
              <w:ind w:left="283" w:hanging="283"/>
              <w:jc w:val="both"/>
              <w:rPr>
                <w:rFonts w:ascii="FrankRuehl" w:hAnsi="FrankRuehl" w:cs="FrankRuehl"/>
                <w:rtl/>
              </w:rPr>
            </w:pPr>
            <w:hyperlink r:id="rId7" w:history="1">
              <w:r w:rsidRPr="00660D67">
                <w:rPr>
                  <w:rFonts w:ascii="FrankRuehl" w:hAnsi="FrankRuehl" w:cs="FrankRuehl"/>
                  <w:color w:val="0000FF"/>
                  <w:u w:val="single"/>
                  <w:rtl/>
                </w:rPr>
                <w:t>פקודת הסמים המסוכנים [נוסח חדש], תשל"ג-1973</w:t>
              </w:r>
            </w:hyperlink>
            <w:r w:rsidRPr="00660D67">
              <w:rPr>
                <w:rFonts w:ascii="FrankRuehl" w:hAnsi="FrankRuehl" w:cs="FrankRuehl"/>
                <w:rtl/>
              </w:rPr>
              <w:t xml:space="preserve">: סע'  </w:t>
            </w:r>
            <w:hyperlink r:id="rId8" w:history="1">
              <w:r w:rsidRPr="00660D67">
                <w:rPr>
                  <w:rFonts w:ascii="FrankRuehl" w:hAnsi="FrankRuehl" w:cs="FrankRuehl"/>
                  <w:color w:val="0000FF"/>
                  <w:u w:val="single"/>
                  <w:rtl/>
                </w:rPr>
                <w:t>7</w:t>
              </w:r>
            </w:hyperlink>
            <w:r w:rsidRPr="00660D67">
              <w:rPr>
                <w:rFonts w:ascii="FrankRuehl" w:hAnsi="FrankRuehl" w:cs="FrankRuehl"/>
                <w:rtl/>
              </w:rPr>
              <w:t xml:space="preserve">, </w:t>
            </w:r>
            <w:hyperlink r:id="rId9" w:history="1">
              <w:r w:rsidRPr="00660D67">
                <w:rPr>
                  <w:rFonts w:ascii="FrankRuehl" w:hAnsi="FrankRuehl" w:cs="FrankRuehl"/>
                  <w:color w:val="0000FF"/>
                  <w:u w:val="single"/>
                  <w:rtl/>
                </w:rPr>
                <w:t>13</w:t>
              </w:r>
            </w:hyperlink>
            <w:r w:rsidRPr="00660D67">
              <w:rPr>
                <w:rFonts w:ascii="FrankRuehl" w:hAnsi="FrankRuehl" w:cs="FrankRuehl"/>
                <w:rtl/>
              </w:rPr>
              <w:t xml:space="preserve">, </w:t>
            </w:r>
            <w:hyperlink r:id="rId10" w:history="1">
              <w:r w:rsidRPr="00660D67">
                <w:rPr>
                  <w:rFonts w:ascii="FrankRuehl" w:hAnsi="FrankRuehl" w:cs="FrankRuehl"/>
                  <w:color w:val="0000FF"/>
                  <w:u w:val="single"/>
                  <w:rtl/>
                </w:rPr>
                <w:t>19</w:t>
              </w:r>
            </w:hyperlink>
            <w:r w:rsidRPr="00660D67">
              <w:rPr>
                <w:rFonts w:ascii="FrankRuehl" w:hAnsi="FrankRuehl" w:cs="FrankRuehl"/>
                <w:rtl/>
              </w:rPr>
              <w:t xml:space="preserve">, </w:t>
            </w:r>
            <w:hyperlink r:id="rId11" w:history="1">
              <w:r w:rsidRPr="00660D67">
                <w:rPr>
                  <w:rFonts w:ascii="FrankRuehl" w:hAnsi="FrankRuehl" w:cs="FrankRuehl"/>
                  <w:color w:val="0000FF"/>
                  <w:u w:val="single"/>
                  <w:rtl/>
                </w:rPr>
                <w:t>36א(א)</w:t>
              </w:r>
            </w:hyperlink>
            <w:r w:rsidRPr="00660D67">
              <w:rPr>
                <w:rFonts w:ascii="FrankRuehl" w:hAnsi="FrankRuehl" w:cs="FrankRuehl"/>
                <w:rtl/>
              </w:rPr>
              <w:t xml:space="preserve">, </w:t>
            </w:r>
            <w:hyperlink r:id="rId12" w:history="1">
              <w:r w:rsidRPr="00660D67">
                <w:rPr>
                  <w:rFonts w:ascii="FrankRuehl" w:hAnsi="FrankRuehl" w:cs="FrankRuehl"/>
                  <w:color w:val="0000FF"/>
                  <w:u w:val="single"/>
                  <w:rtl/>
                </w:rPr>
                <w:t>36א(ב)</w:t>
              </w:r>
            </w:hyperlink>
          </w:p>
          <w:p w14:paraId="4FDA519F" w14:textId="77777777" w:rsidR="00660D67" w:rsidRPr="00660D67" w:rsidRDefault="00660D67" w:rsidP="00660D67">
            <w:pPr>
              <w:spacing w:after="120" w:line="240" w:lineRule="exact"/>
              <w:ind w:left="283" w:hanging="283"/>
              <w:jc w:val="both"/>
              <w:rPr>
                <w:rFonts w:ascii="FrankRuehl" w:hAnsi="FrankRuehl" w:cs="FrankRuehl"/>
                <w:rtl/>
              </w:rPr>
            </w:pPr>
            <w:hyperlink r:id="rId13" w:history="1">
              <w:r w:rsidRPr="00660D67">
                <w:rPr>
                  <w:rFonts w:ascii="FrankRuehl" w:hAnsi="FrankRuehl" w:cs="FrankRuehl"/>
                  <w:color w:val="0000FF"/>
                  <w:u w:val="single"/>
                  <w:rtl/>
                </w:rPr>
                <w:t>פקודת התעבורה [נוסח חדש]</w:t>
              </w:r>
            </w:hyperlink>
            <w:r w:rsidRPr="00660D67">
              <w:rPr>
                <w:rFonts w:ascii="FrankRuehl" w:hAnsi="FrankRuehl" w:cs="FrankRuehl"/>
                <w:rtl/>
              </w:rPr>
              <w:t xml:space="preserve">: סע'  </w:t>
            </w:r>
            <w:hyperlink r:id="rId14" w:history="1">
              <w:r w:rsidRPr="00660D67">
                <w:rPr>
                  <w:rFonts w:ascii="FrankRuehl" w:hAnsi="FrankRuehl" w:cs="FrankRuehl"/>
                  <w:color w:val="0000FF"/>
                  <w:u w:val="single"/>
                  <w:rtl/>
                </w:rPr>
                <w:t>36(ג)</w:t>
              </w:r>
            </w:hyperlink>
          </w:p>
          <w:p w14:paraId="057A2505" w14:textId="77777777" w:rsidR="00365F1A" w:rsidRPr="0011097C" w:rsidRDefault="00365F1A">
            <w:pPr>
              <w:rPr>
                <w:rFonts w:ascii="Arial" w:hAnsi="Arial"/>
                <w:b/>
                <w:bCs/>
                <w:sz w:val="32"/>
                <w:szCs w:val="32"/>
                <w:rtl/>
              </w:rPr>
            </w:pPr>
          </w:p>
          <w:p w14:paraId="39EAE5A4" w14:textId="77777777" w:rsidR="00365F1A" w:rsidRPr="0011097C" w:rsidRDefault="0011097C">
            <w:pPr>
              <w:jc w:val="center"/>
              <w:rPr>
                <w:rFonts w:ascii="Arial" w:hAnsi="Arial"/>
                <w:sz w:val="32"/>
                <w:szCs w:val="32"/>
                <w:rtl/>
              </w:rPr>
            </w:pPr>
            <w:bookmarkStart w:id="3" w:name="PsakDin"/>
            <w:r w:rsidRPr="0011097C">
              <w:rPr>
                <w:rFonts w:ascii="Arial" w:hAnsi="Arial" w:hint="cs"/>
                <w:b/>
                <w:bCs/>
                <w:sz w:val="32"/>
                <w:szCs w:val="32"/>
                <w:rtl/>
              </w:rPr>
              <w:t>גזר דין</w:t>
            </w:r>
            <w:bookmarkEnd w:id="3"/>
          </w:p>
        </w:tc>
      </w:tr>
    </w:tbl>
    <w:p w14:paraId="45B59CCB" w14:textId="77777777" w:rsidR="00660D67" w:rsidRPr="00660D67" w:rsidRDefault="00660D67" w:rsidP="00660D67">
      <w:pPr>
        <w:pStyle w:val="ListParagraph"/>
        <w:spacing w:line="360" w:lineRule="auto"/>
        <w:ind w:left="0"/>
        <w:jc w:val="both"/>
        <w:rPr>
          <w:rtl/>
        </w:rPr>
      </w:pPr>
      <w:bookmarkStart w:id="4" w:name="LawTable"/>
      <w:bookmarkStart w:id="5" w:name="LawTable_End"/>
      <w:bookmarkStart w:id="6" w:name="ABSTRACT_START"/>
      <w:bookmarkEnd w:id="2"/>
      <w:bookmarkEnd w:id="4"/>
      <w:bookmarkEnd w:id="5"/>
      <w:bookmarkEnd w:id="6"/>
    </w:p>
    <w:p w14:paraId="634CECB7" w14:textId="77777777" w:rsidR="00365F1A" w:rsidRDefault="0011097C" w:rsidP="00660D67">
      <w:pPr>
        <w:pStyle w:val="ListParagraph"/>
        <w:numPr>
          <w:ilvl w:val="0"/>
          <w:numId w:val="1"/>
        </w:numPr>
        <w:spacing w:line="360" w:lineRule="auto"/>
        <w:ind w:left="0" w:firstLine="0"/>
        <w:jc w:val="both"/>
      </w:pPr>
      <w:r w:rsidRPr="0011097C">
        <w:rPr>
          <w:rFonts w:hint="cs"/>
          <w:rtl/>
        </w:rPr>
        <w:t xml:space="preserve">הנאשם, יליד 1986, הורשע על פי הודאתו בעובדות כתב אישום מתוקן במסגרת הסדר </w:t>
      </w:r>
      <w:bookmarkEnd w:id="0"/>
      <w:r w:rsidRPr="0011097C">
        <w:rPr>
          <w:bCs/>
          <w:rtl/>
        </w:rPr>
        <w:t xml:space="preserve">טיעון חלקי לעניין העונש, בביצוע עבירות של החזק ת סם שלא לצריכה עצמית בלבד, לפי </w:t>
      </w:r>
      <w:hyperlink r:id="rId15" w:history="1">
        <w:r w:rsidR="00660D67" w:rsidRPr="00660D67">
          <w:rPr>
            <w:bCs/>
            <w:color w:val="0000FF"/>
            <w:u w:val="single"/>
            <w:rtl/>
          </w:rPr>
          <w:t>סעיף 7</w:t>
        </w:r>
      </w:hyperlink>
      <w:r w:rsidR="00660D67">
        <w:rPr>
          <w:rFonts w:hint="cs"/>
          <w:rtl/>
        </w:rPr>
        <w:t xml:space="preserve"> </w:t>
      </w:r>
      <w:r>
        <w:rPr>
          <w:rFonts w:hint="cs"/>
          <w:rtl/>
        </w:rPr>
        <w:t>ל</w:t>
      </w:r>
      <w:hyperlink r:id="rId16" w:history="1">
        <w:r w:rsidRPr="0011097C">
          <w:rPr>
            <w:color w:val="0000FF"/>
            <w:u w:val="single"/>
            <w:rtl/>
          </w:rPr>
          <w:t>פקודת הסמים המסוכנים</w:t>
        </w:r>
      </w:hyperlink>
      <w:r>
        <w:rPr>
          <w:rFonts w:hint="cs"/>
          <w:rtl/>
        </w:rPr>
        <w:t xml:space="preserve"> [נוסח חדש], התשל"ג-1973 (להלן </w:t>
      </w:r>
      <w:r>
        <w:rPr>
          <w:rtl/>
        </w:rPr>
        <w:t>–</w:t>
      </w:r>
      <w:r>
        <w:rPr>
          <w:rFonts w:hint="cs"/>
          <w:rtl/>
        </w:rPr>
        <w:t xml:space="preserve"> "</w:t>
      </w:r>
      <w:r>
        <w:rPr>
          <w:rFonts w:hint="cs"/>
          <w:b/>
          <w:bCs/>
          <w:rtl/>
        </w:rPr>
        <w:t>הפקודה")</w:t>
      </w:r>
      <w:r>
        <w:rPr>
          <w:rFonts w:hint="cs"/>
          <w:rtl/>
        </w:rPr>
        <w:t xml:space="preserve"> וניסיון לעסקה אחרת בסם לפי </w:t>
      </w:r>
      <w:hyperlink r:id="rId17" w:history="1">
        <w:r w:rsidR="00660D67" w:rsidRPr="00660D67">
          <w:rPr>
            <w:color w:val="0000FF"/>
            <w:u w:val="single"/>
            <w:rtl/>
          </w:rPr>
          <w:t>סעיף 13</w:t>
        </w:r>
      </w:hyperlink>
      <w:r>
        <w:rPr>
          <w:rFonts w:hint="cs"/>
          <w:rtl/>
        </w:rPr>
        <w:t xml:space="preserve"> + </w:t>
      </w:r>
      <w:hyperlink r:id="rId18" w:history="1">
        <w:r w:rsidR="00660D67" w:rsidRPr="00660D67">
          <w:rPr>
            <w:color w:val="0000FF"/>
            <w:u w:val="single"/>
            <w:rtl/>
          </w:rPr>
          <w:t>19</w:t>
        </w:r>
      </w:hyperlink>
      <w:r>
        <w:rPr>
          <w:rFonts w:hint="cs"/>
          <w:rtl/>
        </w:rPr>
        <w:t xml:space="preserve"> לפקודה.</w:t>
      </w:r>
    </w:p>
    <w:p w14:paraId="19220193" w14:textId="77777777" w:rsidR="00365F1A" w:rsidRDefault="00365F1A">
      <w:pPr>
        <w:pStyle w:val="ListParagraph"/>
        <w:spacing w:line="360" w:lineRule="auto"/>
        <w:ind w:left="0"/>
        <w:jc w:val="both"/>
        <w:rPr>
          <w:rtl/>
        </w:rPr>
      </w:pPr>
      <w:bookmarkStart w:id="7" w:name="ABSTRACT_END"/>
      <w:bookmarkEnd w:id="7"/>
    </w:p>
    <w:p w14:paraId="48A316C1" w14:textId="77777777" w:rsidR="00365F1A" w:rsidRDefault="0011097C">
      <w:pPr>
        <w:spacing w:line="360" w:lineRule="auto"/>
        <w:ind w:firstLine="720"/>
        <w:jc w:val="both"/>
        <w:rPr>
          <w:rtl/>
        </w:rPr>
      </w:pPr>
      <w:r>
        <w:rPr>
          <w:rFonts w:hint="cs"/>
          <w:rtl/>
        </w:rPr>
        <w:t xml:space="preserve">לפי עובדות כתב האישום המתוקן, ביום 14.2.13 בשעה 20:00 או בסמוך לכך, בביתו שבשגב שלום, הסתיר הנאשם בתוך גרב 12 פלטות מחולקות של סם מסוכן מסוג חשיש במשקל 1.1574 ק"ג, אותם הניח בתא המטען ברכבו (להלן </w:t>
      </w:r>
      <w:r>
        <w:rPr>
          <w:rtl/>
        </w:rPr>
        <w:t>–</w:t>
      </w:r>
      <w:r>
        <w:rPr>
          <w:rFonts w:hint="cs"/>
          <w:rtl/>
        </w:rPr>
        <w:t xml:space="preserve"> "</w:t>
      </w:r>
      <w:r>
        <w:rPr>
          <w:rFonts w:hint="cs"/>
          <w:b/>
          <w:bCs/>
          <w:rtl/>
        </w:rPr>
        <w:t>הרכב</w:t>
      </w:r>
      <w:r>
        <w:rPr>
          <w:rFonts w:hint="cs"/>
          <w:rtl/>
        </w:rPr>
        <w:t>"). בהגיעו אל מחסום חוצה שומרון שבכביש 5 בסמוך לכפר קאסם, נעצר הנאשם במחסום כשהסמים ברכבו. באותן נסיבות החזיק הנאשם ברכב מזומן בסך של 21,300 ₪ באמצעותו התכוון לרכוש סמים מאחר שזהותו אינה ידועה למאשימה, ועימו קבע להיפגש במועד מאוחר יותר בכפר קאסם.</w:t>
      </w:r>
    </w:p>
    <w:p w14:paraId="33ACC65A" w14:textId="77777777" w:rsidR="00365F1A" w:rsidRDefault="00365F1A">
      <w:pPr>
        <w:spacing w:line="360" w:lineRule="auto"/>
        <w:ind w:firstLine="720"/>
        <w:jc w:val="both"/>
        <w:rPr>
          <w:rtl/>
        </w:rPr>
      </w:pPr>
    </w:p>
    <w:p w14:paraId="0642352E" w14:textId="77777777" w:rsidR="00365F1A" w:rsidRDefault="0011097C">
      <w:pPr>
        <w:pStyle w:val="ListParagraph"/>
        <w:numPr>
          <w:ilvl w:val="0"/>
          <w:numId w:val="1"/>
        </w:numPr>
        <w:spacing w:line="360" w:lineRule="auto"/>
        <w:ind w:left="0" w:firstLine="0"/>
        <w:jc w:val="both"/>
        <w:rPr>
          <w:rtl/>
        </w:rPr>
      </w:pPr>
      <w:r>
        <w:rPr>
          <w:rFonts w:hint="cs"/>
          <w:rtl/>
        </w:rPr>
        <w:lastRenderedPageBreak/>
        <w:t>במסגרת הסדר הטיעון בין הצדדים הוסכם כי בעניינו של הנאשם ייערך תסקיר מבחן. המאשימה הודיעה כי עמדתה למאסר בפועל, והיא תגביל עצמה בטיעונה לעונש ראוי של 18 חודשי מאסר בפועל. הענישה הנלווית, של מאסר על-תנאי, פסילה על-תנאי וחילוט המזומן בסך 21,300 ₪, הייתה מוסכמת על הצדדים. המאשימה הצהירה כי לא תעתור לקנס, אך בסוף ההליך תבקש להכריז על הנאשם כסוחר סמים לצורך חילוט הרכב והטלפון הסלולרי. סוכם כי ההגנה תטען באורח חופשי בעניין אחרון זה.</w:t>
      </w:r>
    </w:p>
    <w:p w14:paraId="34FEC7F4" w14:textId="77777777" w:rsidR="00365F1A" w:rsidRDefault="00365F1A">
      <w:pPr>
        <w:spacing w:line="360" w:lineRule="auto"/>
        <w:ind w:firstLine="720"/>
        <w:jc w:val="both"/>
        <w:rPr>
          <w:rtl/>
        </w:rPr>
      </w:pPr>
    </w:p>
    <w:p w14:paraId="2D49B5DB" w14:textId="77777777" w:rsidR="00365F1A" w:rsidRDefault="0011097C">
      <w:pPr>
        <w:pStyle w:val="ListParagraph"/>
        <w:numPr>
          <w:ilvl w:val="0"/>
          <w:numId w:val="1"/>
        </w:numPr>
        <w:spacing w:line="360" w:lineRule="auto"/>
        <w:ind w:left="0" w:firstLine="0"/>
        <w:jc w:val="both"/>
        <w:rPr>
          <w:rtl/>
        </w:rPr>
      </w:pPr>
      <w:r>
        <w:rPr>
          <w:rFonts w:hint="cs"/>
          <w:rtl/>
        </w:rPr>
        <w:t>לנאשם אין הרשעות קודמות.</w:t>
      </w:r>
    </w:p>
    <w:p w14:paraId="7FD260B5" w14:textId="77777777" w:rsidR="00365F1A" w:rsidRDefault="00365F1A">
      <w:pPr>
        <w:spacing w:line="360" w:lineRule="auto"/>
        <w:ind w:firstLine="720"/>
        <w:jc w:val="both"/>
        <w:rPr>
          <w:rtl/>
        </w:rPr>
      </w:pPr>
    </w:p>
    <w:p w14:paraId="44D4EAE7" w14:textId="77777777" w:rsidR="00365F1A" w:rsidRDefault="0011097C">
      <w:pPr>
        <w:pStyle w:val="ListParagraph"/>
        <w:numPr>
          <w:ilvl w:val="0"/>
          <w:numId w:val="1"/>
        </w:numPr>
        <w:spacing w:line="360" w:lineRule="auto"/>
        <w:ind w:left="0" w:firstLine="0"/>
        <w:jc w:val="both"/>
        <w:rPr>
          <w:rtl/>
        </w:rPr>
      </w:pPr>
      <w:r>
        <w:rPr>
          <w:rFonts w:hint="cs"/>
          <w:rtl/>
        </w:rPr>
        <w:t xml:space="preserve">בעניינו של הנאשם התקבלו שני תסקירים. הנאשם הוא יליד עזה, אשר משפחתו עברה להתגורר בישראל. הנאשם השלים 10 שנות לימוד בלבד. הנאשם נשוי ואב לשני תינוקות. בתקופה שקדמה לביצוע העבירות היה מצבו הכלכלי בכי רע והוא התקשה לקיים את עצמו. הנאשם הוא שפנה לחברו וביקש להוביל את הסמים בתמורה לתשלום כספי. בתקופת הדחייה הנאשם החל להכיר בקושי שבהתנהגותו והחל להבין כי הוא זקוק לטיפול. הנאשם שולב לאחרונה במסגרת טיפולית והוא בתחילת הדרך הטיפולי. על רקע האמור, וכן מחויבותה של משפחת הנאשם לסייע לנאשם, המליץ שירות המבחן על ענישה שתאפשר את המשך ההליך השיקומי (צו מבחן), לצד ענישה מוחשית בדמות עבודות שירות. </w:t>
      </w:r>
    </w:p>
    <w:p w14:paraId="3744702B" w14:textId="77777777" w:rsidR="00365F1A" w:rsidRDefault="00365F1A">
      <w:pPr>
        <w:spacing w:line="360" w:lineRule="auto"/>
        <w:ind w:firstLine="720"/>
        <w:jc w:val="both"/>
        <w:rPr>
          <w:rtl/>
        </w:rPr>
      </w:pPr>
    </w:p>
    <w:p w14:paraId="578FE9B3" w14:textId="77777777" w:rsidR="00365F1A" w:rsidRDefault="0011097C">
      <w:pPr>
        <w:pStyle w:val="ListParagraph"/>
        <w:numPr>
          <w:ilvl w:val="0"/>
          <w:numId w:val="1"/>
        </w:numPr>
        <w:spacing w:line="360" w:lineRule="auto"/>
        <w:ind w:left="0" w:firstLine="0"/>
        <w:jc w:val="both"/>
        <w:rPr>
          <w:rtl/>
        </w:rPr>
      </w:pPr>
      <w:r>
        <w:rPr>
          <w:rFonts w:hint="cs"/>
          <w:rtl/>
        </w:rPr>
        <w:t>ב"כ המאשימה טען כי נוכח חומרת נגע הסמים אין מנוס מלשלוח את הנאשם מאחורי סורג ובריח. נציג המדינה עתר להכריז על הנאשם סוחר סמים ולחלט את הרכב ואת הפלאפון שנתפס מידיו. עוד עתר נציג המאשימה לפסול את רישיונו של הנאשם (הגם שרכיב זה לא נכלל במסגרת הצגת ההסדר).</w:t>
      </w:r>
    </w:p>
    <w:p w14:paraId="47056E30" w14:textId="77777777" w:rsidR="00365F1A" w:rsidRDefault="00365F1A">
      <w:pPr>
        <w:spacing w:line="360" w:lineRule="auto"/>
        <w:ind w:firstLine="720"/>
        <w:jc w:val="both"/>
        <w:rPr>
          <w:rtl/>
        </w:rPr>
      </w:pPr>
    </w:p>
    <w:p w14:paraId="36611270" w14:textId="77777777" w:rsidR="00365F1A" w:rsidRDefault="0011097C">
      <w:pPr>
        <w:spacing w:line="360" w:lineRule="auto"/>
        <w:ind w:firstLine="720"/>
        <w:jc w:val="both"/>
        <w:rPr>
          <w:rtl/>
        </w:rPr>
      </w:pPr>
      <w:r>
        <w:rPr>
          <w:rFonts w:hint="cs"/>
          <w:rtl/>
        </w:rPr>
        <w:t>הוגשה פסיקה לעונש.</w:t>
      </w:r>
    </w:p>
    <w:p w14:paraId="450D14D9" w14:textId="77777777" w:rsidR="00365F1A" w:rsidRDefault="00365F1A">
      <w:pPr>
        <w:spacing w:line="360" w:lineRule="auto"/>
        <w:ind w:firstLine="720"/>
        <w:jc w:val="both"/>
        <w:rPr>
          <w:rtl/>
        </w:rPr>
      </w:pPr>
    </w:p>
    <w:p w14:paraId="21E5B195" w14:textId="77777777" w:rsidR="00365F1A" w:rsidRDefault="0011097C">
      <w:pPr>
        <w:pStyle w:val="ListParagraph"/>
        <w:numPr>
          <w:ilvl w:val="0"/>
          <w:numId w:val="1"/>
        </w:numPr>
        <w:spacing w:line="360" w:lineRule="auto"/>
        <w:ind w:left="0" w:firstLine="0"/>
        <w:jc w:val="both"/>
        <w:rPr>
          <w:rtl/>
        </w:rPr>
      </w:pPr>
      <w:r>
        <w:rPr>
          <w:rFonts w:hint="cs"/>
          <w:rtl/>
        </w:rPr>
        <w:t>ב"כ הנאשם טען כי יש להקל עם הנאשם, אשר שיתף פעולה בחקירת המשטרה (אם כי לא מסר את זהות שותפו) והודה בבית המשפט. הסנגור הצביע על כך שהנאשם שהה במעצר תקופה של כחודש ימים, לאחר מכן הושם ב"מעצר בית", ובהמשך נתאפשר לו לצאת לעבודה בפיקוח. לדעת ההגנה, התסקירים הם חיוביים, ויש לתת משקל להמלצת שירות המבחן.</w:t>
      </w:r>
    </w:p>
    <w:p w14:paraId="03DA786D" w14:textId="77777777" w:rsidR="00365F1A" w:rsidRDefault="00365F1A">
      <w:pPr>
        <w:spacing w:line="360" w:lineRule="auto"/>
        <w:ind w:firstLine="720"/>
        <w:jc w:val="both"/>
        <w:rPr>
          <w:rtl/>
        </w:rPr>
      </w:pPr>
    </w:p>
    <w:p w14:paraId="6F4A9229" w14:textId="77777777" w:rsidR="00365F1A" w:rsidRDefault="0011097C">
      <w:pPr>
        <w:spacing w:line="360" w:lineRule="auto"/>
        <w:ind w:firstLine="720"/>
        <w:jc w:val="both"/>
        <w:rPr>
          <w:rtl/>
        </w:rPr>
      </w:pPr>
      <w:r>
        <w:rPr>
          <w:rFonts w:hint="cs"/>
          <w:rtl/>
        </w:rPr>
        <w:t xml:space="preserve">ב"כ הנאשם אבחן את הפסיקה שהגישה המאשימה, והצביע על כך שמרבית הפסיקה שהוגשה עסקה בנאשמים שעבר פלילי עשיר בצקלונם. </w:t>
      </w:r>
    </w:p>
    <w:p w14:paraId="1AD62150" w14:textId="77777777" w:rsidR="00365F1A" w:rsidRDefault="00365F1A">
      <w:pPr>
        <w:spacing w:line="360" w:lineRule="auto"/>
        <w:ind w:firstLine="720"/>
        <w:jc w:val="both"/>
        <w:rPr>
          <w:rtl/>
        </w:rPr>
      </w:pPr>
    </w:p>
    <w:p w14:paraId="23C8BBA0" w14:textId="77777777" w:rsidR="00365F1A" w:rsidRDefault="0011097C">
      <w:pPr>
        <w:spacing w:line="360" w:lineRule="auto"/>
        <w:ind w:firstLine="720"/>
        <w:jc w:val="both"/>
        <w:rPr>
          <w:rtl/>
        </w:rPr>
      </w:pPr>
      <w:r>
        <w:rPr>
          <w:rFonts w:hint="cs"/>
          <w:rtl/>
        </w:rPr>
        <w:t>ב"כ הנאשם טען כי אין מקום להכריז על הנאשם סוחר סמים, שכן לא הוכח שהנאשם הפיק רווח או אמור היה להפיק רווח מעסקת סמים.</w:t>
      </w:r>
    </w:p>
    <w:p w14:paraId="66D2C07D" w14:textId="77777777" w:rsidR="00365F1A" w:rsidRDefault="00365F1A">
      <w:pPr>
        <w:spacing w:line="360" w:lineRule="auto"/>
        <w:ind w:firstLine="720"/>
        <w:jc w:val="both"/>
        <w:rPr>
          <w:rtl/>
        </w:rPr>
      </w:pPr>
    </w:p>
    <w:p w14:paraId="3E2F73AC" w14:textId="77777777" w:rsidR="00365F1A" w:rsidRDefault="0011097C">
      <w:pPr>
        <w:spacing w:line="360" w:lineRule="auto"/>
        <w:ind w:firstLine="720"/>
        <w:jc w:val="both"/>
        <w:rPr>
          <w:rtl/>
        </w:rPr>
      </w:pPr>
      <w:r>
        <w:rPr>
          <w:rFonts w:hint="cs"/>
          <w:rtl/>
        </w:rPr>
        <w:t>ב"כ הנאשם ביקש להסתפק בפסילה על-תנאי.</w:t>
      </w:r>
    </w:p>
    <w:p w14:paraId="3D75556B" w14:textId="77777777" w:rsidR="00365F1A" w:rsidRDefault="00365F1A">
      <w:pPr>
        <w:spacing w:line="360" w:lineRule="auto"/>
        <w:jc w:val="both"/>
        <w:rPr>
          <w:rtl/>
        </w:rPr>
      </w:pPr>
    </w:p>
    <w:p w14:paraId="595AABBB" w14:textId="77777777" w:rsidR="00365F1A" w:rsidRDefault="0011097C">
      <w:pPr>
        <w:pStyle w:val="ListParagraph"/>
        <w:numPr>
          <w:ilvl w:val="0"/>
          <w:numId w:val="1"/>
        </w:numPr>
        <w:spacing w:line="360" w:lineRule="auto"/>
        <w:ind w:left="0" w:firstLine="0"/>
        <w:jc w:val="both"/>
      </w:pPr>
      <w:r>
        <w:rPr>
          <w:rFonts w:hint="cs"/>
          <w:rtl/>
        </w:rPr>
        <w:t>הנאשם בדברו האחרון לעונש הביע חרטה ואמר שהוא סבור שעד עכשיו כבר שילם מחיר יקר בגין מעשיו.</w:t>
      </w:r>
    </w:p>
    <w:p w14:paraId="067B182D" w14:textId="77777777" w:rsidR="00365F1A" w:rsidRDefault="00365F1A">
      <w:pPr>
        <w:spacing w:line="360" w:lineRule="auto"/>
        <w:ind w:firstLine="720"/>
        <w:jc w:val="both"/>
        <w:rPr>
          <w:rtl/>
        </w:rPr>
      </w:pPr>
    </w:p>
    <w:p w14:paraId="3B5B37C3" w14:textId="77777777" w:rsidR="00365F1A" w:rsidRDefault="0011097C">
      <w:pPr>
        <w:spacing w:line="360" w:lineRule="auto"/>
        <w:jc w:val="both"/>
        <w:rPr>
          <w:b/>
          <w:bCs/>
          <w:u w:val="single"/>
          <w:rtl/>
        </w:rPr>
      </w:pPr>
      <w:r>
        <w:rPr>
          <w:rFonts w:hint="cs"/>
          <w:b/>
          <w:bCs/>
          <w:u w:val="single"/>
          <w:rtl/>
        </w:rPr>
        <w:t>דיון</w:t>
      </w:r>
    </w:p>
    <w:p w14:paraId="3576FD45" w14:textId="77777777" w:rsidR="00365F1A" w:rsidRDefault="0011097C">
      <w:pPr>
        <w:pStyle w:val="ListParagraph"/>
        <w:numPr>
          <w:ilvl w:val="0"/>
          <w:numId w:val="1"/>
        </w:numPr>
        <w:spacing w:line="360" w:lineRule="auto"/>
        <w:ind w:left="0" w:firstLine="0"/>
        <w:jc w:val="both"/>
        <w:rPr>
          <w:rtl/>
        </w:rPr>
      </w:pPr>
      <w:r>
        <w:rPr>
          <w:rFonts w:hint="cs"/>
          <w:rtl/>
        </w:rPr>
        <w:t>אין צורך להכביר מילים על חומרת נגע הסמים, ועל הצורך להחמיר בעונשם של כל אלה המערבים עצמם במסחר בסמים מסוכנים, דוגמת הנאשם שלפניי. אף אין מקום להקל ראש בסכך שבמקרה זה הורשע הנאשם בכל הקשור למעורבותו בסמים המכונים "קלים":</w:t>
      </w:r>
    </w:p>
    <w:p w14:paraId="30DF1A35" w14:textId="77777777" w:rsidR="00365F1A" w:rsidRDefault="00365F1A">
      <w:pPr>
        <w:spacing w:line="360" w:lineRule="auto"/>
        <w:ind w:firstLine="720"/>
        <w:jc w:val="both"/>
        <w:rPr>
          <w:rtl/>
        </w:rPr>
      </w:pPr>
    </w:p>
    <w:p w14:paraId="79FD2A6F" w14:textId="77777777" w:rsidR="00365F1A" w:rsidRDefault="0011097C">
      <w:pPr>
        <w:spacing w:line="360" w:lineRule="auto"/>
        <w:ind w:left="720" w:right="567"/>
        <w:jc w:val="both"/>
        <w:rPr>
          <w:rFonts w:cs="FrankRuehl"/>
        </w:rPr>
      </w:pPr>
      <w:r>
        <w:rPr>
          <w:rFonts w:cs="FrankRuehl" w:hint="cs"/>
          <w:rtl/>
        </w:rPr>
        <w:t xml:space="preserve">"במקרה הנוכחי לא יכול להיות ספק בכך שבגזר הדין המקורי נטה בית המשפט חסד למערער והעדיף את שיקוליו האישיים וסיכויי השיקום שלו, על פני אינטרס הציבור שמכתיב מלחמה חסרת פשרות בנגע הסמים, כאשר הביטוי המרכזי לאותה מלחמה הינה ענישה מרתיעה. 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 </w:t>
      </w:r>
    </w:p>
    <w:p w14:paraId="0051D399" w14:textId="77777777" w:rsidR="00365F1A" w:rsidRDefault="00365F1A">
      <w:pPr>
        <w:spacing w:line="360" w:lineRule="auto"/>
        <w:ind w:firstLine="720"/>
        <w:jc w:val="both"/>
        <w:rPr>
          <w:rtl/>
        </w:rPr>
      </w:pPr>
    </w:p>
    <w:p w14:paraId="5E2F3E04" w14:textId="77777777" w:rsidR="00365F1A" w:rsidRDefault="00365F1A">
      <w:pPr>
        <w:spacing w:line="360" w:lineRule="auto"/>
        <w:ind w:firstLine="720"/>
        <w:jc w:val="both"/>
        <w:rPr>
          <w:rtl/>
        </w:rPr>
      </w:pPr>
      <w:hyperlink r:id="rId19" w:history="1">
        <w:r w:rsidR="0011097C">
          <w:rPr>
            <w:rFonts w:hint="cs"/>
            <w:rtl/>
          </w:rPr>
          <w:t>ע"פ 170/07</w:t>
        </w:r>
      </w:hyperlink>
      <w:r w:rsidR="0011097C">
        <w:rPr>
          <w:rFonts w:hint="cs"/>
          <w:rtl/>
        </w:rPr>
        <w:t xml:space="preserve"> מטיס נ' מדינת ישראל, טרם פורסם (9.11.2007), פסקה 7 לפסק הדין.</w:t>
      </w:r>
    </w:p>
    <w:p w14:paraId="556B0A74" w14:textId="77777777" w:rsidR="00365F1A" w:rsidRDefault="00365F1A">
      <w:pPr>
        <w:spacing w:line="360" w:lineRule="auto"/>
        <w:ind w:firstLine="720"/>
        <w:jc w:val="both"/>
        <w:rPr>
          <w:rtl/>
        </w:rPr>
      </w:pPr>
    </w:p>
    <w:p w14:paraId="067CD4B1" w14:textId="77777777" w:rsidR="00365F1A" w:rsidRDefault="0011097C">
      <w:pPr>
        <w:pStyle w:val="ListParagraph"/>
        <w:numPr>
          <w:ilvl w:val="0"/>
          <w:numId w:val="1"/>
        </w:numPr>
        <w:spacing w:line="360" w:lineRule="auto"/>
        <w:ind w:left="0" w:firstLine="0"/>
        <w:jc w:val="both"/>
        <w:rPr>
          <w:rtl/>
        </w:rPr>
      </w:pPr>
      <w:r>
        <w:rPr>
          <w:rFonts w:hint="cs"/>
          <w:rtl/>
        </w:rPr>
        <w:t>מדיניות הענישה אשר הותוותה ע"י בית המשפט העליון בפסקי דין רבים בעבירות סמים, לרבות החזקת סמים שאינה לשימוש עצמי, היא חד משמעית וכוללת רכיב של מאסר בפועל, כאשר רק בנסיבות חריגות יש לסטות ממדיניות זו.</w:t>
      </w:r>
    </w:p>
    <w:p w14:paraId="7DF847E3" w14:textId="77777777" w:rsidR="00365F1A" w:rsidRDefault="00365F1A">
      <w:pPr>
        <w:spacing w:line="360" w:lineRule="auto"/>
        <w:ind w:firstLine="720"/>
        <w:jc w:val="both"/>
        <w:rPr>
          <w:rtl/>
        </w:rPr>
      </w:pPr>
    </w:p>
    <w:p w14:paraId="38EADB82" w14:textId="77777777" w:rsidR="00365F1A" w:rsidRDefault="0011097C">
      <w:pPr>
        <w:pStyle w:val="ListParagraph"/>
        <w:numPr>
          <w:ilvl w:val="0"/>
          <w:numId w:val="1"/>
        </w:numPr>
        <w:spacing w:line="360" w:lineRule="auto"/>
        <w:ind w:left="0" w:firstLine="0"/>
        <w:jc w:val="both"/>
        <w:rPr>
          <w:rtl/>
        </w:rPr>
      </w:pPr>
      <w:r>
        <w:rPr>
          <w:rFonts w:hint="cs"/>
          <w:rtl/>
        </w:rPr>
        <w:t xml:space="preserve">אין בידי לקבל את עמדת שירות המבחן כי יש לגזור על הנאשם מאסר בפועל בדמות עבודות שירות. העונש שהוצע על ידי שירות המבחן אינו הולם את העבירות בהן הורשע הנאשם, את היקף הסמים, את האופן בו היו ארוזים </w:t>
      </w:r>
      <w:r>
        <w:rPr>
          <w:rtl/>
        </w:rPr>
        <w:t>–</w:t>
      </w:r>
      <w:r>
        <w:rPr>
          <w:rFonts w:hint="cs"/>
          <w:rtl/>
        </w:rPr>
        <w:t xml:space="preserve"> מוכנים להפצה </w:t>
      </w:r>
      <w:r>
        <w:rPr>
          <w:rtl/>
        </w:rPr>
        <w:t>–</w:t>
      </w:r>
      <w:r>
        <w:rPr>
          <w:rFonts w:hint="cs"/>
          <w:rtl/>
        </w:rPr>
        <w:t xml:space="preserve"> ואת סכום הכסף הגדול שנתפס ברכב באמצעותו תכנן הנאשם לבצע עסקת סם גדולה אחרת.</w:t>
      </w:r>
    </w:p>
    <w:p w14:paraId="24F3D070" w14:textId="77777777" w:rsidR="00365F1A" w:rsidRDefault="00365F1A">
      <w:pPr>
        <w:spacing w:line="360" w:lineRule="auto"/>
        <w:ind w:firstLine="720"/>
        <w:jc w:val="both"/>
        <w:rPr>
          <w:rtl/>
        </w:rPr>
      </w:pPr>
    </w:p>
    <w:p w14:paraId="389013BB" w14:textId="77777777" w:rsidR="00365F1A" w:rsidRDefault="0011097C">
      <w:pPr>
        <w:spacing w:line="360" w:lineRule="auto"/>
        <w:ind w:firstLine="720"/>
        <w:jc w:val="both"/>
      </w:pPr>
      <w:r>
        <w:rPr>
          <w:rFonts w:hint="cs"/>
          <w:rtl/>
        </w:rPr>
        <w:t>בהינתן עקרון ההלימה העומד ביסוד הענישה, ברמת הענישה הנוהגת והראויה בתחום עבירות הסמים ומתוך התחשבות בנסיבות המקרה הנוכחי, יש לקבוע הרף התחתון של מתחם העונש ההולם את ענייננו הוא מאסר בפועל לתקופה קצרה יחסית. המלצת שירות המבחן סוטה לקולה ממתחם העונש ההולם מקרה זה, ולא מצאתי בענייננו שיקולי שיקום משמעותיים שיצדיקו את הדבר. אזכיר כי לאחר זמן לא מבוטל ממועד ביצוע העבירות, ולמרות שהנאשם עמד בקשר הדוק עם שירות המבחן, מצוי הוא רק בראשיתו של הליך התבוננות עצמית וטיפול.</w:t>
      </w:r>
    </w:p>
    <w:p w14:paraId="0A51CBDF" w14:textId="77777777" w:rsidR="00365F1A" w:rsidRDefault="00365F1A">
      <w:pPr>
        <w:spacing w:line="360" w:lineRule="auto"/>
        <w:ind w:firstLine="720"/>
        <w:jc w:val="both"/>
        <w:rPr>
          <w:rtl/>
        </w:rPr>
      </w:pPr>
    </w:p>
    <w:p w14:paraId="7F06E2CE" w14:textId="77777777" w:rsidR="00365F1A" w:rsidRDefault="0011097C">
      <w:pPr>
        <w:pStyle w:val="ListParagraph"/>
        <w:numPr>
          <w:ilvl w:val="0"/>
          <w:numId w:val="1"/>
        </w:numPr>
        <w:spacing w:line="360" w:lineRule="auto"/>
        <w:ind w:left="0" w:firstLine="0"/>
        <w:jc w:val="both"/>
        <w:rPr>
          <w:rtl/>
        </w:rPr>
      </w:pPr>
      <w:r>
        <w:rPr>
          <w:rFonts w:hint="cs"/>
          <w:rtl/>
        </w:rPr>
        <w:t>בבואי לגזור עונש על הנאשם אביא בחשבון את הודאתו המידית במשטרה ובבית המשפט, את נסיבות חייו כמפורט בתסקיר, את העובדה שבכל זאת החל צועד בנתיב של שיקום, את הפגיעה שהעונש עתיד לפגוע בנאשם ובבני משפחתו (בהקשר זה יש להתייחס גם לכך שהנאשם הוא הורה לשני פעוטות), מעצרו של הנאשם והתנאים המגבילים בהם היה נתון, ויתר טיעוני הסנגור המלומד.</w:t>
      </w:r>
    </w:p>
    <w:p w14:paraId="4637ECE6" w14:textId="77777777" w:rsidR="00365F1A" w:rsidRDefault="00365F1A">
      <w:pPr>
        <w:spacing w:line="360" w:lineRule="auto"/>
        <w:ind w:firstLine="720"/>
        <w:jc w:val="both"/>
        <w:rPr>
          <w:rtl/>
        </w:rPr>
      </w:pPr>
    </w:p>
    <w:p w14:paraId="6A881B54" w14:textId="77777777" w:rsidR="00365F1A" w:rsidRDefault="0011097C">
      <w:pPr>
        <w:pStyle w:val="ListParagraph"/>
        <w:numPr>
          <w:ilvl w:val="0"/>
          <w:numId w:val="1"/>
        </w:numPr>
        <w:spacing w:line="360" w:lineRule="auto"/>
        <w:ind w:left="0" w:firstLine="0"/>
        <w:jc w:val="both"/>
      </w:pPr>
      <w:r>
        <w:rPr>
          <w:rFonts w:hint="cs"/>
          <w:rtl/>
        </w:rPr>
        <w:t xml:space="preserve">לא אגזור על הנאשם פסילה בפועל, משום שרכיב זה לא בא זכרו בעת שהוצג הסדר הטיעון, ומשום שלא השתכנעתי כי נהיגתו של הנאשם </w:t>
      </w:r>
      <w:r>
        <w:rPr>
          <w:rtl/>
        </w:rPr>
        <w:t>–</w:t>
      </w:r>
      <w:r>
        <w:rPr>
          <w:rFonts w:hint="cs"/>
          <w:rtl/>
        </w:rPr>
        <w:t xml:space="preserve"> שאינו מכור לסמים </w:t>
      </w:r>
      <w:r>
        <w:rPr>
          <w:rtl/>
        </w:rPr>
        <w:t>–</w:t>
      </w:r>
      <w:r>
        <w:rPr>
          <w:rFonts w:hint="cs"/>
          <w:rtl/>
        </w:rPr>
        <w:t xml:space="preserve"> מסכנת את הציבור.</w:t>
      </w:r>
    </w:p>
    <w:p w14:paraId="028D5550" w14:textId="77777777" w:rsidR="00365F1A" w:rsidRDefault="00365F1A">
      <w:pPr>
        <w:spacing w:line="360" w:lineRule="auto"/>
        <w:ind w:firstLine="720"/>
        <w:jc w:val="both"/>
      </w:pPr>
    </w:p>
    <w:p w14:paraId="030E91D8" w14:textId="77777777" w:rsidR="00365F1A" w:rsidRDefault="0011097C">
      <w:pPr>
        <w:pStyle w:val="ListParagraph"/>
        <w:numPr>
          <w:ilvl w:val="0"/>
          <w:numId w:val="1"/>
        </w:numPr>
        <w:spacing w:line="360" w:lineRule="auto"/>
        <w:ind w:left="0" w:firstLine="0"/>
        <w:jc w:val="both"/>
      </w:pPr>
      <w:r>
        <w:rPr>
          <w:rFonts w:hint="cs"/>
          <w:rtl/>
        </w:rPr>
        <w:t xml:space="preserve">מצאתי שעליי להכריז על הנאשם "סוחר סמים", כאמור </w:t>
      </w:r>
      <w:hyperlink r:id="rId20" w:history="1">
        <w:r w:rsidR="00660D67" w:rsidRPr="00660D67">
          <w:rPr>
            <w:color w:val="0000FF"/>
            <w:u w:val="single"/>
            <w:rtl/>
          </w:rPr>
          <w:t>בסעיף 36א(ב)</w:t>
        </w:r>
      </w:hyperlink>
      <w:r>
        <w:rPr>
          <w:rFonts w:hint="cs"/>
          <w:rtl/>
        </w:rPr>
        <w:t xml:space="preserve"> לפקודה. </w:t>
      </w:r>
    </w:p>
    <w:p w14:paraId="60FDAC4A" w14:textId="77777777" w:rsidR="00365F1A" w:rsidRDefault="00365F1A">
      <w:pPr>
        <w:spacing w:line="360" w:lineRule="auto"/>
        <w:ind w:firstLine="720"/>
        <w:jc w:val="both"/>
        <w:rPr>
          <w:rtl/>
        </w:rPr>
      </w:pPr>
    </w:p>
    <w:p w14:paraId="7EC772C8" w14:textId="77777777" w:rsidR="00365F1A" w:rsidRDefault="0011097C">
      <w:pPr>
        <w:spacing w:line="360" w:lineRule="auto"/>
        <w:ind w:firstLine="720"/>
        <w:jc w:val="both"/>
        <w:rPr>
          <w:rtl/>
        </w:rPr>
      </w:pPr>
      <w:r>
        <w:rPr>
          <w:rFonts w:hint="cs"/>
          <w:u w:val="single"/>
          <w:rtl/>
        </w:rPr>
        <w:t>ראשית</w:t>
      </w:r>
      <w:r>
        <w:rPr>
          <w:rFonts w:hint="cs"/>
          <w:rtl/>
        </w:rPr>
        <w:t xml:space="preserve"> אציין כי הכרזה על נאשם כעל "סוחר סמים" צריכה להיקבע בהכרעת הדין. עם זה, בענייננו בקשו הצדדים כי הסוגיה תתעורר בשלב הטיעונים לעונש (עמ' עמ' 2 שורה 23), ולכן לא ראיתי עצמי מוגבל בעניין זה.</w:t>
      </w:r>
    </w:p>
    <w:p w14:paraId="448B6E66" w14:textId="77777777" w:rsidR="00365F1A" w:rsidRDefault="00365F1A">
      <w:pPr>
        <w:spacing w:line="360" w:lineRule="auto"/>
        <w:ind w:firstLine="720"/>
        <w:jc w:val="both"/>
        <w:rPr>
          <w:rtl/>
        </w:rPr>
      </w:pPr>
    </w:p>
    <w:p w14:paraId="34170FC1" w14:textId="77777777" w:rsidR="00365F1A" w:rsidRDefault="0011097C">
      <w:pPr>
        <w:spacing w:line="360" w:lineRule="auto"/>
        <w:ind w:firstLine="720"/>
        <w:jc w:val="both"/>
        <w:rPr>
          <w:rtl/>
        </w:rPr>
      </w:pPr>
      <w:r>
        <w:rPr>
          <w:rFonts w:hint="cs"/>
          <w:u w:val="single"/>
          <w:rtl/>
        </w:rPr>
        <w:t>לגוף העניין</w:t>
      </w:r>
      <w:r>
        <w:rPr>
          <w:rFonts w:hint="cs"/>
          <w:rtl/>
        </w:rPr>
        <w:t xml:space="preserve">, ברי כי הנאשם אמור היה להפיק רווח מעבירה של עסקת סמים, כדרישת הסעיף. אמנם נכון הדבר כי בכתב האישום המתוקן לא נאמר כי הכסף שנתפס הוא רווח מעסקה קודמת, אלא ההפך הוא הנכון </w:t>
      </w:r>
      <w:r>
        <w:rPr>
          <w:rtl/>
        </w:rPr>
        <w:t>–</w:t>
      </w:r>
      <w:r>
        <w:rPr>
          <w:rFonts w:hint="cs"/>
          <w:rtl/>
        </w:rPr>
        <w:t xml:space="preserve"> עולה בבירור כי הכסף עניינו עסקת סמים חדשה. אלא שאין בכך כדי להועיל לנאשם משום שאין דרישה בסעיף שהנאשם יורשע בעבירת הסם ממנה אמור היה להפיק רווח ממון.</w:t>
      </w:r>
    </w:p>
    <w:p w14:paraId="73C42AA3" w14:textId="77777777" w:rsidR="00365F1A" w:rsidRDefault="00365F1A">
      <w:pPr>
        <w:spacing w:line="360" w:lineRule="auto"/>
        <w:ind w:firstLine="720"/>
        <w:jc w:val="both"/>
        <w:rPr>
          <w:rtl/>
        </w:rPr>
      </w:pPr>
    </w:p>
    <w:p w14:paraId="47A4B303" w14:textId="77777777" w:rsidR="00365F1A" w:rsidRDefault="0011097C">
      <w:pPr>
        <w:spacing w:line="360" w:lineRule="auto"/>
        <w:ind w:firstLine="720"/>
        <w:jc w:val="both"/>
        <w:rPr>
          <w:rtl/>
        </w:rPr>
      </w:pPr>
      <w:r>
        <w:rPr>
          <w:rFonts w:hint="cs"/>
          <w:rtl/>
        </w:rPr>
        <w:t xml:space="preserve">זאת ועוד, גם אם לא היה מקום להכריז על הנאשם "סוחר סמים" באופן שיהפוך את חילוט רכושו לחובה, בוודאי שהיה מקום לחלט את הרכב (אך לא את הפלאפון) לפי </w:t>
      </w:r>
      <w:hyperlink r:id="rId21" w:history="1">
        <w:r w:rsidR="00660D67" w:rsidRPr="00660D67">
          <w:rPr>
            <w:color w:val="0000FF"/>
            <w:u w:val="single"/>
            <w:rtl/>
          </w:rPr>
          <w:t>סעיף 36א(א)</w:t>
        </w:r>
      </w:hyperlink>
      <w:r>
        <w:rPr>
          <w:rFonts w:hint="cs"/>
          <w:rtl/>
        </w:rPr>
        <w:t xml:space="preserve"> לפקודה, לפיו רק מנימוקים מיוחדים שיירשמו ניתן שלא לחלט רכוש ששימש לביצוע העבירות השייך לאדם שהורשע בעבירת סמים. בענייננו קמה הצדקה מלאה לחלט את הרכב, אשר שימש בפועל להובלת סם.</w:t>
      </w:r>
    </w:p>
    <w:p w14:paraId="1474676A" w14:textId="77777777" w:rsidR="00365F1A" w:rsidRDefault="00365F1A">
      <w:pPr>
        <w:spacing w:line="360" w:lineRule="auto"/>
        <w:ind w:firstLine="720"/>
        <w:jc w:val="both"/>
        <w:rPr>
          <w:rtl/>
        </w:rPr>
      </w:pPr>
    </w:p>
    <w:p w14:paraId="50B00182" w14:textId="77777777" w:rsidR="00365F1A" w:rsidRDefault="0011097C">
      <w:pPr>
        <w:spacing w:line="360" w:lineRule="auto"/>
        <w:ind w:firstLine="720"/>
        <w:jc w:val="both"/>
        <w:rPr>
          <w:rtl/>
        </w:rPr>
      </w:pPr>
      <w:r>
        <w:rPr>
          <w:rFonts w:hint="cs"/>
          <w:rtl/>
        </w:rPr>
        <w:t>אני קובע אפוא כי הנאשם הוא "סוחר סמים", כמשמעות מונח זה בפקודה.</w:t>
      </w:r>
    </w:p>
    <w:p w14:paraId="0B36B451" w14:textId="77777777" w:rsidR="00365F1A" w:rsidRDefault="00365F1A">
      <w:pPr>
        <w:spacing w:line="360" w:lineRule="auto"/>
        <w:ind w:firstLine="720"/>
        <w:jc w:val="both"/>
        <w:rPr>
          <w:rtl/>
        </w:rPr>
      </w:pPr>
    </w:p>
    <w:p w14:paraId="4CB043F8" w14:textId="77777777" w:rsidR="00365F1A" w:rsidRDefault="0011097C">
      <w:pPr>
        <w:pStyle w:val="ListParagraph"/>
        <w:numPr>
          <w:ilvl w:val="0"/>
          <w:numId w:val="1"/>
        </w:numPr>
        <w:spacing w:line="360" w:lineRule="auto"/>
        <w:ind w:left="0" w:firstLine="0"/>
        <w:jc w:val="both"/>
        <w:rPr>
          <w:rtl/>
        </w:rPr>
      </w:pPr>
      <w:r>
        <w:rPr>
          <w:rFonts w:hint="cs"/>
          <w:rtl/>
        </w:rPr>
        <w:t>שקלתי את כלל הנסיבות והטיעונים לקולה ולחומרה ואני גוזר על הנאשם את העונשים הבאים:</w:t>
      </w:r>
    </w:p>
    <w:p w14:paraId="212C51F2" w14:textId="77777777" w:rsidR="00365F1A" w:rsidRDefault="00365F1A">
      <w:pPr>
        <w:spacing w:line="360" w:lineRule="auto"/>
        <w:ind w:firstLine="720"/>
        <w:jc w:val="both"/>
        <w:rPr>
          <w:rtl/>
        </w:rPr>
      </w:pPr>
    </w:p>
    <w:p w14:paraId="3C506404" w14:textId="77777777" w:rsidR="00365F1A" w:rsidRDefault="0011097C">
      <w:pPr>
        <w:spacing w:line="360" w:lineRule="auto"/>
        <w:ind w:firstLine="720"/>
        <w:jc w:val="both"/>
        <w:rPr>
          <w:rtl/>
        </w:rPr>
      </w:pPr>
      <w:r>
        <w:rPr>
          <w:rFonts w:hint="cs"/>
          <w:rtl/>
        </w:rPr>
        <w:t>א. מאסר בפועל בן שישה חודשים, בניכוי ימי מעצרו מיום 14.2.2013 ועד ליום 20.3.2013.</w:t>
      </w:r>
    </w:p>
    <w:p w14:paraId="7319C2A5" w14:textId="77777777" w:rsidR="00365F1A" w:rsidRDefault="00365F1A">
      <w:pPr>
        <w:spacing w:line="360" w:lineRule="auto"/>
        <w:ind w:firstLine="720"/>
        <w:jc w:val="both"/>
        <w:rPr>
          <w:rtl/>
        </w:rPr>
      </w:pPr>
    </w:p>
    <w:p w14:paraId="3E4D21F0" w14:textId="77777777" w:rsidR="00365F1A" w:rsidRDefault="0011097C">
      <w:pPr>
        <w:spacing w:line="360" w:lineRule="auto"/>
        <w:ind w:left="720"/>
        <w:jc w:val="both"/>
        <w:rPr>
          <w:rtl/>
        </w:rPr>
      </w:pPr>
      <w:r>
        <w:rPr>
          <w:rFonts w:hint="cs"/>
          <w:rtl/>
        </w:rPr>
        <w:t>ב. מאסר על-תנאי בן שמונה חודשים, והתנאי כי בתקופה בת שלוש שנים מיום שחרורו לא יעבור הנאשם עבירת סמים מסוג פשע; מאסר על-תנאי בן ארבעה חודשים, והתנאי כי בתקופה בת שלוש שנים מיום שחרורו לא יעבור הנאשם עבירת סמים מסוג עוון.</w:t>
      </w:r>
    </w:p>
    <w:p w14:paraId="301BC08A" w14:textId="77777777" w:rsidR="00365F1A" w:rsidRDefault="00365F1A">
      <w:pPr>
        <w:spacing w:line="360" w:lineRule="auto"/>
        <w:ind w:left="720"/>
        <w:jc w:val="both"/>
        <w:rPr>
          <w:rtl/>
        </w:rPr>
      </w:pPr>
    </w:p>
    <w:p w14:paraId="33B64B7F" w14:textId="77777777" w:rsidR="00365F1A" w:rsidRDefault="0011097C">
      <w:pPr>
        <w:spacing w:line="360" w:lineRule="auto"/>
        <w:ind w:left="720"/>
        <w:jc w:val="both"/>
        <w:rPr>
          <w:rtl/>
        </w:rPr>
      </w:pPr>
      <w:r>
        <w:rPr>
          <w:rFonts w:hint="cs"/>
          <w:rtl/>
        </w:rPr>
        <w:t xml:space="preserve">ג. אני פוסל את הנאשם מלהחזיק או מלקבל רישיון נהיגה למשך 12 חודשים, בתנאי שיעבור בתוך תקופה בת שלוש שנים מיום שחרורו עבירה לפי </w:t>
      </w:r>
      <w:hyperlink r:id="rId22" w:history="1">
        <w:r w:rsidR="00660D67" w:rsidRPr="00660D67">
          <w:rPr>
            <w:color w:val="0000FF"/>
            <w:u w:val="single"/>
            <w:rtl/>
          </w:rPr>
          <w:t>סעיף 36(ג)</w:t>
        </w:r>
      </w:hyperlink>
      <w:r>
        <w:rPr>
          <w:rFonts w:hint="cs"/>
          <w:rtl/>
        </w:rPr>
        <w:t xml:space="preserve"> ל</w:t>
      </w:r>
      <w:hyperlink r:id="rId23" w:history="1">
        <w:r w:rsidRPr="0011097C">
          <w:rPr>
            <w:color w:val="0000FF"/>
            <w:u w:val="single"/>
            <w:rtl/>
          </w:rPr>
          <w:t>פקודת התעבורה</w:t>
        </w:r>
      </w:hyperlink>
      <w:r>
        <w:rPr>
          <w:rFonts w:hint="cs"/>
          <w:rtl/>
        </w:rPr>
        <w:t>.</w:t>
      </w:r>
    </w:p>
    <w:p w14:paraId="737B070C" w14:textId="77777777" w:rsidR="00365F1A" w:rsidRDefault="00365F1A">
      <w:pPr>
        <w:spacing w:line="360" w:lineRule="auto"/>
        <w:ind w:left="720"/>
        <w:jc w:val="both"/>
        <w:rPr>
          <w:rtl/>
        </w:rPr>
      </w:pPr>
    </w:p>
    <w:p w14:paraId="51CA553D" w14:textId="77777777" w:rsidR="00365F1A" w:rsidRDefault="0011097C">
      <w:pPr>
        <w:spacing w:line="360" w:lineRule="auto"/>
        <w:ind w:left="720"/>
        <w:jc w:val="both"/>
        <w:rPr>
          <w:rtl/>
        </w:rPr>
      </w:pPr>
      <w:r>
        <w:rPr>
          <w:rFonts w:hint="cs"/>
          <w:rtl/>
        </w:rPr>
        <w:t>ד. אני מורה על חילוט הרכב מ.ר. 7784220, הכסף בסך 21,300 ₪ ומכשיר הפלאפון שנתפס מידי הנאשם.</w:t>
      </w:r>
      <w:bookmarkStart w:id="8" w:name="_GoBack"/>
      <w:bookmarkEnd w:id="8"/>
    </w:p>
    <w:p w14:paraId="5A34E4FE" w14:textId="77777777" w:rsidR="00365F1A" w:rsidRDefault="00365F1A">
      <w:pPr>
        <w:spacing w:line="360" w:lineRule="auto"/>
        <w:ind w:firstLine="720"/>
        <w:jc w:val="both"/>
        <w:rPr>
          <w:rtl/>
        </w:rPr>
      </w:pPr>
    </w:p>
    <w:p w14:paraId="3A41CA54" w14:textId="77777777" w:rsidR="00365F1A" w:rsidRDefault="00365F1A">
      <w:pPr>
        <w:spacing w:line="360" w:lineRule="auto"/>
        <w:jc w:val="both"/>
        <w:rPr>
          <w:rtl/>
        </w:rPr>
      </w:pPr>
    </w:p>
    <w:p w14:paraId="08FBBB21" w14:textId="77777777" w:rsidR="00365F1A" w:rsidRDefault="0011097C">
      <w:pPr>
        <w:spacing w:line="360" w:lineRule="auto"/>
        <w:jc w:val="both"/>
        <w:rPr>
          <w:rtl/>
        </w:rPr>
      </w:pPr>
      <w:r>
        <w:rPr>
          <w:rFonts w:hint="cs"/>
          <w:b/>
          <w:bCs/>
          <w:rtl/>
        </w:rPr>
        <w:t>זכות ערעור לבית המשפט המחוזי תוך 45 יום.</w:t>
      </w:r>
    </w:p>
    <w:p w14:paraId="3C46A6D2" w14:textId="77777777" w:rsidR="00365F1A" w:rsidRDefault="00365F1A">
      <w:pPr>
        <w:rPr>
          <w:sz w:val="26"/>
          <w:szCs w:val="26"/>
          <w:rtl/>
        </w:rPr>
      </w:pPr>
    </w:p>
    <w:p w14:paraId="7D7AAB37" w14:textId="77777777" w:rsidR="00365F1A" w:rsidRDefault="00365F1A">
      <w:pPr>
        <w:rPr>
          <w:sz w:val="26"/>
          <w:szCs w:val="26"/>
          <w:rtl/>
        </w:rPr>
      </w:pPr>
    </w:p>
    <w:p w14:paraId="66075085" w14:textId="77777777" w:rsidR="00365F1A" w:rsidRDefault="0011097C">
      <w:pPr>
        <w:rPr>
          <w:sz w:val="28"/>
          <w:szCs w:val="28"/>
          <w:rtl/>
        </w:rPr>
      </w:pPr>
      <w:r w:rsidRPr="0011097C">
        <w:rPr>
          <w:rFonts w:ascii="Arial" w:hAnsi="Arial"/>
          <w:color w:val="FFFFFF"/>
          <w:sz w:val="2"/>
          <w:szCs w:val="2"/>
          <w:rtl/>
        </w:rPr>
        <w:t>5129371</w:t>
      </w:r>
      <w:r>
        <w:rPr>
          <w:rFonts w:ascii="Arial" w:hAnsi="Arial"/>
          <w:sz w:val="26"/>
          <w:szCs w:val="26"/>
          <w:rtl/>
        </w:rPr>
        <w:t xml:space="preserve">ניתן היום,  ג' אדר ב תשע"ד, 05 מרץ 2014, במעמד הצדדים. </w:t>
      </w:r>
    </w:p>
    <w:p w14:paraId="41A8DBC1" w14:textId="77777777" w:rsidR="00365F1A" w:rsidRPr="0011097C" w:rsidRDefault="0011097C">
      <w:pPr>
        <w:jc w:val="center"/>
        <w:rPr>
          <w:color w:val="FFFFFF"/>
          <w:sz w:val="2"/>
          <w:szCs w:val="2"/>
        </w:rPr>
      </w:pPr>
      <w:r w:rsidRPr="0011097C">
        <w:rPr>
          <w:rFonts w:ascii="Arial" w:hAnsi="Arial"/>
          <w:color w:val="FFFFFF"/>
          <w:sz w:val="2"/>
          <w:szCs w:val="2"/>
          <w:rtl/>
        </w:rPr>
        <w:t>54678313</w:t>
      </w:r>
      <w:r w:rsidRPr="0011097C">
        <w:rPr>
          <w:rFonts w:ascii="Arial" w:hAnsi="Arial" w:hint="cs"/>
          <w:color w:val="FFFFFF"/>
          <w:sz w:val="2"/>
          <w:szCs w:val="2"/>
          <w:rtl/>
        </w:rPr>
        <w:t xml:space="preserve">                                                                         </w:t>
      </w:r>
    </w:p>
    <w:p w14:paraId="06034200" w14:textId="77777777" w:rsidR="00365F1A" w:rsidRDefault="00365F1A">
      <w:pPr>
        <w:jc w:val="center"/>
        <w:rPr>
          <w:rFonts w:ascii="Arial" w:hAnsi="Arial"/>
          <w:sz w:val="28"/>
          <w:szCs w:val="28"/>
          <w:rtl/>
        </w:rPr>
      </w:pPr>
    </w:p>
    <w:p w14:paraId="4607A708" w14:textId="77777777" w:rsidR="00365F1A" w:rsidRDefault="00365F1A">
      <w:pPr>
        <w:rPr>
          <w:sz w:val="28"/>
          <w:szCs w:val="28"/>
          <w:rtl/>
        </w:rPr>
      </w:pPr>
    </w:p>
    <w:p w14:paraId="2E9FBE1E" w14:textId="77777777" w:rsidR="00365F1A" w:rsidRDefault="00365F1A">
      <w:pPr>
        <w:pStyle w:val="a3"/>
        <w:jc w:val="center"/>
        <w:rPr>
          <w:rtl/>
        </w:rPr>
      </w:pPr>
    </w:p>
    <w:p w14:paraId="414D4111" w14:textId="77777777" w:rsidR="00365F1A" w:rsidRPr="00660D67" w:rsidRDefault="00660D67">
      <w:pPr>
        <w:rPr>
          <w:rFonts w:ascii="Arial" w:hAnsi="Arial" w:cs="FrankRuehl"/>
          <w:color w:val="FFFFFF"/>
          <w:sz w:val="2"/>
          <w:szCs w:val="2"/>
        </w:rPr>
      </w:pPr>
      <w:r w:rsidRPr="00660D67">
        <w:rPr>
          <w:rFonts w:ascii="Arial" w:hAnsi="Arial" w:cs="FrankRuehl"/>
          <w:color w:val="FFFFFF"/>
          <w:sz w:val="2"/>
          <w:szCs w:val="2"/>
          <w:rtl/>
        </w:rPr>
        <w:t>5129371</w:t>
      </w:r>
    </w:p>
    <w:p w14:paraId="4BC5FD8B" w14:textId="77777777" w:rsidR="0011097C" w:rsidRPr="00660D67" w:rsidRDefault="00660D67" w:rsidP="0011097C">
      <w:pPr>
        <w:keepNext/>
        <w:rPr>
          <w:rFonts w:ascii="David" w:hAnsi="David"/>
          <w:color w:val="FFFFFF"/>
          <w:sz w:val="2"/>
          <w:szCs w:val="2"/>
          <w:rtl/>
        </w:rPr>
      </w:pPr>
      <w:r w:rsidRPr="00660D67">
        <w:rPr>
          <w:rFonts w:ascii="David" w:hAnsi="David"/>
          <w:color w:val="FFFFFF"/>
          <w:sz w:val="2"/>
          <w:szCs w:val="2"/>
          <w:rtl/>
        </w:rPr>
        <w:t>54678313</w:t>
      </w:r>
    </w:p>
    <w:p w14:paraId="059CAB92" w14:textId="77777777" w:rsidR="0011097C" w:rsidRPr="0011097C" w:rsidRDefault="0011097C" w:rsidP="0011097C">
      <w:pPr>
        <w:keepNext/>
        <w:rPr>
          <w:rFonts w:ascii="David" w:hAnsi="David"/>
          <w:color w:val="000000"/>
          <w:sz w:val="22"/>
          <w:szCs w:val="22"/>
          <w:rtl/>
        </w:rPr>
      </w:pPr>
      <w:r w:rsidRPr="0011097C">
        <w:rPr>
          <w:rFonts w:ascii="David" w:hAnsi="David"/>
          <w:color w:val="000000"/>
          <w:sz w:val="22"/>
          <w:szCs w:val="22"/>
          <w:rtl/>
        </w:rPr>
        <w:t>מיכאל קרשן 54678313</w:t>
      </w:r>
    </w:p>
    <w:p w14:paraId="666EACFE" w14:textId="77777777" w:rsidR="0011097C" w:rsidRDefault="0011097C" w:rsidP="0011097C">
      <w:r w:rsidRPr="0011097C">
        <w:rPr>
          <w:color w:val="000000"/>
          <w:rtl/>
        </w:rPr>
        <w:t>נוסח מסמך זה כפוף לשינויי ניסוח ועריכה</w:t>
      </w:r>
    </w:p>
    <w:p w14:paraId="3EEF8BE0" w14:textId="77777777" w:rsidR="0011097C" w:rsidRDefault="0011097C" w:rsidP="0011097C">
      <w:pPr>
        <w:rPr>
          <w:rtl/>
        </w:rPr>
      </w:pPr>
    </w:p>
    <w:p w14:paraId="06D5F708" w14:textId="77777777" w:rsidR="0011097C" w:rsidRDefault="0011097C" w:rsidP="0011097C">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sectPr w:rsidR="0011097C" w:rsidSect="00660D67">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2F207" w14:textId="77777777" w:rsidR="00E81946" w:rsidRDefault="00E81946">
      <w:r>
        <w:separator/>
      </w:r>
    </w:p>
  </w:endnote>
  <w:endnote w:type="continuationSeparator" w:id="0">
    <w:p w14:paraId="145DF872" w14:textId="77777777" w:rsidR="00E81946" w:rsidRDefault="00E81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D5AE7" w14:textId="77777777" w:rsidR="00660D67" w:rsidRDefault="00660D67" w:rsidP="00660D6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250A4A" w14:textId="77777777" w:rsidR="00365F1A" w:rsidRPr="00660D67" w:rsidRDefault="00660D67" w:rsidP="00660D67">
    <w:pPr>
      <w:pStyle w:val="a4"/>
      <w:pBdr>
        <w:top w:val="single" w:sz="4" w:space="1" w:color="auto"/>
        <w:between w:val="single" w:sz="4" w:space="0" w:color="auto"/>
      </w:pBdr>
      <w:spacing w:after="60"/>
      <w:jc w:val="center"/>
      <w:rPr>
        <w:rFonts w:ascii="FrankRuehl" w:hAnsi="FrankRuehl" w:cs="FrankRuehl"/>
        <w:color w:val="000000"/>
      </w:rPr>
    </w:pPr>
    <w:r w:rsidRPr="00660D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ED61D" w14:textId="77777777" w:rsidR="00660D67" w:rsidRDefault="00660D67" w:rsidP="00660D6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5FC8">
      <w:rPr>
        <w:rFonts w:ascii="FrankRuehl" w:hAnsi="FrankRuehl" w:cs="FrankRuehl"/>
        <w:noProof/>
        <w:rtl/>
      </w:rPr>
      <w:t>1</w:t>
    </w:r>
    <w:r>
      <w:rPr>
        <w:rFonts w:ascii="FrankRuehl" w:hAnsi="FrankRuehl" w:cs="FrankRuehl"/>
        <w:rtl/>
      </w:rPr>
      <w:fldChar w:fldCharType="end"/>
    </w:r>
  </w:p>
  <w:p w14:paraId="6439073A" w14:textId="77777777" w:rsidR="00365F1A" w:rsidRPr="00660D67" w:rsidRDefault="00660D67" w:rsidP="00660D67">
    <w:pPr>
      <w:pStyle w:val="a4"/>
      <w:pBdr>
        <w:top w:val="single" w:sz="4" w:space="1" w:color="auto"/>
        <w:between w:val="single" w:sz="4" w:space="0" w:color="auto"/>
      </w:pBdr>
      <w:spacing w:after="60"/>
      <w:jc w:val="center"/>
      <w:rPr>
        <w:rFonts w:ascii="FrankRuehl" w:hAnsi="FrankRuehl" w:cs="FrankRuehl"/>
        <w:color w:val="000000"/>
      </w:rPr>
    </w:pPr>
    <w:r w:rsidRPr="00660D67">
      <w:rPr>
        <w:rFonts w:ascii="FrankRuehl" w:hAnsi="FrankRuehl" w:cs="FrankRuehl"/>
        <w:color w:val="000000"/>
      </w:rPr>
      <w:pict w14:anchorId="54207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5C85D" w14:textId="77777777" w:rsidR="00E81946" w:rsidRDefault="00E81946">
      <w:r>
        <w:separator/>
      </w:r>
    </w:p>
  </w:footnote>
  <w:footnote w:type="continuationSeparator" w:id="0">
    <w:p w14:paraId="3E0482B3" w14:textId="77777777" w:rsidR="00E81946" w:rsidRDefault="00E81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CC430" w14:textId="77777777" w:rsidR="0011097C" w:rsidRPr="00660D67" w:rsidRDefault="00660D67" w:rsidP="00660D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38654-02-13</w:t>
    </w:r>
    <w:r>
      <w:rPr>
        <w:rFonts w:ascii="David" w:hAnsi="David"/>
        <w:color w:val="000000"/>
        <w:sz w:val="22"/>
        <w:szCs w:val="22"/>
        <w:rtl/>
      </w:rPr>
      <w:tab/>
      <w:t xml:space="preserve"> מדינת ישראל נ' מאגד שלוף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065EA" w14:textId="77777777" w:rsidR="0011097C" w:rsidRPr="00660D67" w:rsidRDefault="00660D67" w:rsidP="00660D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38654-02-13</w:t>
    </w:r>
    <w:r>
      <w:rPr>
        <w:rFonts w:ascii="David" w:hAnsi="David"/>
        <w:color w:val="000000"/>
        <w:sz w:val="22"/>
        <w:szCs w:val="22"/>
        <w:rtl/>
      </w:rPr>
      <w:tab/>
      <w:t xml:space="preserve"> מדינת ישראל נ' מאגד שלוף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C5A5E"/>
    <w:multiLevelType w:val="hybridMultilevel"/>
    <w:tmpl w:val="14D2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38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5F1A"/>
    <w:rsid w:val="0011097C"/>
    <w:rsid w:val="00365F1A"/>
    <w:rsid w:val="004C2690"/>
    <w:rsid w:val="00660D67"/>
    <w:rsid w:val="006B5FC8"/>
    <w:rsid w:val="00E81946"/>
    <w:rsid w:val="00F931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3B8820"/>
  <w15:chartTrackingRefBased/>
  <w15:docId w15:val="{8F5647C0-6FBC-40CA-B5D3-78265747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5F1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65F1A"/>
    <w:pPr>
      <w:tabs>
        <w:tab w:val="center" w:pos="4153"/>
        <w:tab w:val="right" w:pos="8306"/>
      </w:tabs>
    </w:pPr>
  </w:style>
  <w:style w:type="paragraph" w:styleId="a4">
    <w:name w:val="footer"/>
    <w:basedOn w:val="a"/>
    <w:rsid w:val="00365F1A"/>
    <w:pPr>
      <w:tabs>
        <w:tab w:val="center" w:pos="4153"/>
        <w:tab w:val="right" w:pos="8306"/>
      </w:tabs>
    </w:pPr>
  </w:style>
  <w:style w:type="character" w:styleId="a5">
    <w:name w:val="page number"/>
    <w:basedOn w:val="a0"/>
    <w:rsid w:val="00365F1A"/>
  </w:style>
  <w:style w:type="paragraph" w:customStyle="1" w:styleId="ListParagraph">
    <w:name w:val="List Paragraph"/>
    <w:basedOn w:val="a"/>
    <w:rsid w:val="00365F1A"/>
    <w:pPr>
      <w:ind w:left="720"/>
      <w:contextualSpacing/>
    </w:pPr>
  </w:style>
  <w:style w:type="character" w:styleId="Hyperlink">
    <w:name w:val="Hyperlink"/>
    <w:basedOn w:val="a0"/>
    <w:rsid w:val="001109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 TargetMode="External"/><Relationship Id="rId13" Type="http://schemas.openxmlformats.org/officeDocument/2006/relationships/hyperlink" Target="http://www.nevo.co.il/law/5227" TargetMode="External"/><Relationship Id="rId18" Type="http://schemas.openxmlformats.org/officeDocument/2006/relationships/hyperlink" Target="http://www.nevo.co.il/law/4216/19"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4216/36a.a"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36a.b" TargetMode="External"/><Relationship Id="rId17" Type="http://schemas.openxmlformats.org/officeDocument/2006/relationships/hyperlink" Target="http://www.nevo.co.il/law/4216/13"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36a.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7" TargetMode="External"/><Relationship Id="rId23" Type="http://schemas.openxmlformats.org/officeDocument/2006/relationships/hyperlink" Target="http://www.nevo.co.il/law/5227" TargetMode="External"/><Relationship Id="rId28" Type="http://schemas.openxmlformats.org/officeDocument/2006/relationships/footer" Target="footer2.xml"/><Relationship Id="rId10" Type="http://schemas.openxmlformats.org/officeDocument/2006/relationships/hyperlink" Target="http://www.nevo.co.il/law/4216/19" TargetMode="External"/><Relationship Id="rId19" Type="http://schemas.openxmlformats.org/officeDocument/2006/relationships/hyperlink" Target="http://www.nevo.co.il/links/psika/?link=&#1506;&#1508;%20170/07"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5227/36.c" TargetMode="External"/><Relationship Id="rId22" Type="http://schemas.openxmlformats.org/officeDocument/2006/relationships/hyperlink" Target="http://www.nevo.co.il/law/5227/36.c"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1361</Words>
  <Characters>6805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8150</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8323175</vt:i4>
      </vt:variant>
      <vt:variant>
        <vt:i4>48</vt:i4>
      </vt:variant>
      <vt:variant>
        <vt:i4>0</vt:i4>
      </vt:variant>
      <vt:variant>
        <vt:i4>5</vt:i4>
      </vt:variant>
      <vt:variant>
        <vt:lpwstr>http://www.nevo.co.il/law/5227</vt:lpwstr>
      </vt:variant>
      <vt:variant>
        <vt:lpwstr/>
      </vt:variant>
      <vt:variant>
        <vt:i4>6422654</vt:i4>
      </vt:variant>
      <vt:variant>
        <vt:i4>45</vt:i4>
      </vt:variant>
      <vt:variant>
        <vt:i4>0</vt:i4>
      </vt:variant>
      <vt:variant>
        <vt:i4>5</vt:i4>
      </vt:variant>
      <vt:variant>
        <vt:lpwstr>http://www.nevo.co.il/law/5227/36.c</vt:lpwstr>
      </vt:variant>
      <vt:variant>
        <vt:lpwstr/>
      </vt:variant>
      <vt:variant>
        <vt:i4>5046354</vt:i4>
      </vt:variant>
      <vt:variant>
        <vt:i4>42</vt:i4>
      </vt:variant>
      <vt:variant>
        <vt:i4>0</vt:i4>
      </vt:variant>
      <vt:variant>
        <vt:i4>5</vt:i4>
      </vt:variant>
      <vt:variant>
        <vt:lpwstr>http://www.nevo.co.il/law/4216/36a.a</vt:lpwstr>
      </vt:variant>
      <vt:variant>
        <vt:lpwstr/>
      </vt:variant>
      <vt:variant>
        <vt:i4>5111890</vt:i4>
      </vt:variant>
      <vt:variant>
        <vt:i4>39</vt:i4>
      </vt:variant>
      <vt:variant>
        <vt:i4>0</vt:i4>
      </vt:variant>
      <vt:variant>
        <vt:i4>5</vt:i4>
      </vt:variant>
      <vt:variant>
        <vt:lpwstr>http://www.nevo.co.il/law/4216/36a.b</vt:lpwstr>
      </vt:variant>
      <vt:variant>
        <vt:lpwstr/>
      </vt:variant>
      <vt:variant>
        <vt:i4>100009376</vt:i4>
      </vt:variant>
      <vt:variant>
        <vt:i4>36</vt:i4>
      </vt:variant>
      <vt:variant>
        <vt:i4>0</vt:i4>
      </vt:variant>
      <vt:variant>
        <vt:i4>5</vt:i4>
      </vt:variant>
      <vt:variant>
        <vt:lpwstr>http://www.nevo.co.il/links/psika/?link=עפ%20170/07</vt:lpwstr>
      </vt:variant>
      <vt:variant>
        <vt:lpwstr/>
      </vt:variant>
      <vt:variant>
        <vt:i4>5177418</vt:i4>
      </vt:variant>
      <vt:variant>
        <vt:i4>33</vt:i4>
      </vt:variant>
      <vt:variant>
        <vt:i4>0</vt:i4>
      </vt:variant>
      <vt:variant>
        <vt:i4>5</vt:i4>
      </vt:variant>
      <vt:variant>
        <vt:lpwstr>http://www.nevo.co.il/law/4216/19</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4784202</vt:i4>
      </vt:variant>
      <vt:variant>
        <vt:i4>24</vt:i4>
      </vt:variant>
      <vt:variant>
        <vt:i4>0</vt:i4>
      </vt:variant>
      <vt:variant>
        <vt:i4>5</vt:i4>
      </vt:variant>
      <vt:variant>
        <vt:lpwstr>http://www.nevo.co.il/law/4216/7</vt:lpwstr>
      </vt:variant>
      <vt:variant>
        <vt:lpwstr/>
      </vt:variant>
      <vt:variant>
        <vt:i4>6422654</vt:i4>
      </vt:variant>
      <vt:variant>
        <vt:i4>21</vt:i4>
      </vt:variant>
      <vt:variant>
        <vt:i4>0</vt:i4>
      </vt:variant>
      <vt:variant>
        <vt:i4>5</vt:i4>
      </vt:variant>
      <vt:variant>
        <vt:lpwstr>http://www.nevo.co.il/law/5227/36.c</vt:lpwstr>
      </vt:variant>
      <vt:variant>
        <vt:lpwstr/>
      </vt:variant>
      <vt:variant>
        <vt:i4>8323175</vt:i4>
      </vt:variant>
      <vt:variant>
        <vt:i4>18</vt:i4>
      </vt:variant>
      <vt:variant>
        <vt:i4>0</vt:i4>
      </vt:variant>
      <vt:variant>
        <vt:i4>5</vt:i4>
      </vt:variant>
      <vt:variant>
        <vt:lpwstr>http://www.nevo.co.il/law/5227</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5177418</vt:i4>
      </vt:variant>
      <vt:variant>
        <vt:i4>9</vt:i4>
      </vt:variant>
      <vt:variant>
        <vt:i4>0</vt:i4>
      </vt:variant>
      <vt:variant>
        <vt:i4>5</vt:i4>
      </vt:variant>
      <vt:variant>
        <vt:lpwstr>http://www.nevo.co.il/law/4216/19</vt:lpwstr>
      </vt:variant>
      <vt:variant>
        <vt:lpwstr/>
      </vt:variant>
      <vt:variant>
        <vt:i4>5177418</vt:i4>
      </vt:variant>
      <vt:variant>
        <vt:i4>6</vt:i4>
      </vt:variant>
      <vt:variant>
        <vt:i4>0</vt:i4>
      </vt:variant>
      <vt:variant>
        <vt:i4>5</vt:i4>
      </vt:variant>
      <vt:variant>
        <vt:lpwstr>http://www.nevo.co.il/law/4216/13</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2025-04-22T21:56:00Z</dcterms:created>
  <dcterms:modified xsi:type="dcterms:W3CDTF">2025-04-22T21:56:00Z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38654</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מאגד שלוף</vt:lpwstr>
  </property>
  <property fmtid="{D5CDD505-2E9C-101B-9397-08002B2CF9AE}" pid="10" name="LAWYER">
    <vt:lpwstr>קובי לן;גיא אבנון </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20140305</vt:lpwstr>
  </property>
  <property fmtid="{D5CDD505-2E9C-101B-9397-08002B2CF9AE}" pid="14" name="TYPE_N_DATE">
    <vt:lpwstr>38020140305</vt:lpwstr>
  </property>
  <property fmtid="{D5CDD505-2E9C-101B-9397-08002B2CF9AE}" pid="15" name="WORDNUMPAGES">
    <vt:lpwstr>5</vt:lpwstr>
  </property>
  <property fmtid="{D5CDD505-2E9C-101B-9397-08002B2CF9AE}" pid="16" name="TYPE_ABS_DATE">
    <vt:lpwstr>380020140305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4216/007:2, 013:2, 019:2, 036a.b:2, 036a.a:2</vt:lpwstr>
  </property>
  <property fmtid="{D5CDD505-2E9C-101B-9397-08002B2CF9AE}" pid="36" name="LAWLISTTMP2">
    <vt:lpwstr>5227/036.c:2</vt:lpwstr>
  </property>
</Properties>
</file>