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3BE3F" w14:textId="77777777" w:rsidR="00A33BAA" w:rsidRPr="00A33BAA" w:rsidRDefault="00A33BAA" w:rsidP="00A33BAA">
      <w:pPr>
        <w:pStyle w:val="a3"/>
        <w:spacing w:after="120" w:line="240" w:lineRule="exact"/>
        <w:ind w:left="283" w:hanging="283"/>
        <w:jc w:val="both"/>
        <w:rPr>
          <w:rFonts w:ascii="FrankRuehl" w:hAnsi="FrankRuehl" w:cs="FrankRuehl"/>
          <w:rtl/>
        </w:rPr>
      </w:pPr>
      <w:bookmarkStart w:id="0" w:name="LastJudge"/>
    </w:p>
    <w:p w14:paraId="54566A0D" w14:textId="77777777" w:rsidR="00A33BAA" w:rsidRPr="00A33BAA" w:rsidRDefault="00A33BAA" w:rsidP="00A33BAA">
      <w:pPr>
        <w:pStyle w:val="a3"/>
        <w:spacing w:after="120" w:line="240" w:lineRule="exact"/>
        <w:ind w:left="283" w:hanging="283"/>
        <w:jc w:val="both"/>
        <w:rPr>
          <w:rFonts w:ascii="FrankRuehl" w:hAnsi="FrankRuehl" w:cs="FrankRuehl"/>
          <w:rtl/>
        </w:rPr>
      </w:pPr>
      <w:r w:rsidRPr="00A33BAA">
        <w:rPr>
          <w:rFonts w:ascii="FrankRuehl" w:hAnsi="FrankRuehl" w:cs="FrankRuehl"/>
          <w:rtl/>
        </w:rPr>
        <w:t xml:space="preserve">חקיקה שאוזכרה: </w:t>
      </w:r>
    </w:p>
    <w:p w14:paraId="122F5588" w14:textId="77777777" w:rsidR="00A33BAA" w:rsidRPr="00A33BAA" w:rsidRDefault="00A33BAA" w:rsidP="00A33BAA">
      <w:pPr>
        <w:pStyle w:val="a3"/>
        <w:spacing w:after="120" w:line="240" w:lineRule="exact"/>
        <w:ind w:left="283" w:hanging="283"/>
        <w:jc w:val="both"/>
        <w:rPr>
          <w:rFonts w:ascii="FrankRuehl" w:hAnsi="FrankRuehl" w:cs="FrankRuehl"/>
          <w:rtl/>
        </w:rPr>
      </w:pPr>
      <w:hyperlink r:id="rId6" w:history="1">
        <w:r w:rsidRPr="00A33BAA">
          <w:rPr>
            <w:rFonts w:ascii="FrankRuehl" w:hAnsi="FrankRuehl" w:cs="FrankRuehl"/>
            <w:color w:val="0000FF"/>
            <w:u w:val="single"/>
            <w:rtl/>
          </w:rPr>
          <w:t>חוק העונשין, תשל"ז-1977</w:t>
        </w:r>
      </w:hyperlink>
    </w:p>
    <w:p w14:paraId="3CF10FF5" w14:textId="77777777" w:rsidR="00A33BAA" w:rsidRPr="00A33BAA" w:rsidRDefault="00A33BAA" w:rsidP="00A33BAA">
      <w:pPr>
        <w:pStyle w:val="a3"/>
        <w:spacing w:after="120" w:line="240" w:lineRule="exact"/>
        <w:ind w:left="283" w:hanging="283"/>
        <w:jc w:val="both"/>
        <w:rPr>
          <w:rFonts w:ascii="FrankRuehl" w:hAnsi="FrankRuehl" w:cs="FrankRuehl"/>
          <w:rtl/>
        </w:rPr>
      </w:pPr>
      <w:hyperlink r:id="rId7" w:history="1">
        <w:r w:rsidRPr="00A33BAA">
          <w:rPr>
            <w:rFonts w:ascii="FrankRuehl" w:hAnsi="FrankRuehl" w:cs="FrankRuehl"/>
            <w:color w:val="0000FF"/>
            <w:u w:val="single"/>
            <w:rtl/>
          </w:rPr>
          <w:t>פקודת הסמים המסוכנים [נוסח חדש], תשל"ג-1973</w:t>
        </w:r>
      </w:hyperlink>
    </w:p>
    <w:p w14:paraId="06FE03C6" w14:textId="77777777" w:rsidR="00A33BAA" w:rsidRPr="00A33BAA" w:rsidRDefault="00A33BAA" w:rsidP="00A33BAA">
      <w:pPr>
        <w:pStyle w:val="a3"/>
        <w:spacing w:after="120" w:line="240" w:lineRule="exact"/>
        <w:ind w:left="283" w:hanging="283"/>
        <w:jc w:val="both"/>
        <w:rPr>
          <w:rFonts w:ascii="FrankRuehl" w:hAnsi="FrankRuehl" w:cs="FrankRuehl"/>
          <w:rtl/>
        </w:rPr>
      </w:pPr>
    </w:p>
    <w:tbl>
      <w:tblPr>
        <w:bidiVisual/>
        <w:tblW w:w="0" w:type="auto"/>
        <w:jc w:val="center"/>
        <w:tblLook w:val="0000" w:firstRow="0" w:lastRow="0" w:firstColumn="0" w:lastColumn="0" w:noHBand="0" w:noVBand="0"/>
      </w:tblPr>
      <w:tblGrid>
        <w:gridCol w:w="5058"/>
        <w:gridCol w:w="3663"/>
      </w:tblGrid>
      <w:tr w:rsidR="0035722F" w:rsidRPr="00A33BAA" w14:paraId="03FD9F95" w14:textId="77777777">
        <w:trPr>
          <w:trHeight w:hRule="exact" w:val="418"/>
          <w:jc w:val="center"/>
        </w:trPr>
        <w:tc>
          <w:tcPr>
            <w:tcW w:w="8721" w:type="dxa"/>
            <w:gridSpan w:val="2"/>
          </w:tcPr>
          <w:p w14:paraId="59E36745" w14:textId="77777777" w:rsidR="0035722F" w:rsidRPr="00A33BAA" w:rsidRDefault="00A33BAA">
            <w:pPr>
              <w:pStyle w:val="a3"/>
              <w:jc w:val="center"/>
              <w:rPr>
                <w:rFonts w:ascii="Tahoma" w:hAnsi="Tahoma" w:cs="Tahoma"/>
                <w:color w:val="000080"/>
                <w:rtl/>
              </w:rPr>
            </w:pPr>
            <w:r w:rsidRPr="00A33BAA">
              <w:rPr>
                <w:rFonts w:ascii="Tahoma" w:hAnsi="Tahoma" w:cs="Tahoma"/>
                <w:b/>
                <w:bCs/>
                <w:color w:val="000080"/>
                <w:rtl/>
              </w:rPr>
              <w:t>בית משפט השלום ברמלה</w:t>
            </w:r>
          </w:p>
        </w:tc>
      </w:tr>
      <w:tr w:rsidR="0035722F" w:rsidRPr="00A33BAA" w14:paraId="61E4282F" w14:textId="77777777">
        <w:trPr>
          <w:trHeight w:val="337"/>
          <w:jc w:val="center"/>
        </w:trPr>
        <w:tc>
          <w:tcPr>
            <w:tcW w:w="5058" w:type="dxa"/>
          </w:tcPr>
          <w:p w14:paraId="33DFBE9E" w14:textId="77777777" w:rsidR="0035722F" w:rsidRPr="00A33BAA" w:rsidRDefault="00A33BAA">
            <w:pPr>
              <w:rPr>
                <w:rFonts w:cs="FrankRuehl"/>
                <w:sz w:val="28"/>
                <w:szCs w:val="28"/>
                <w:rtl/>
              </w:rPr>
            </w:pPr>
            <w:r w:rsidRPr="00A33BAA">
              <w:rPr>
                <w:rFonts w:cs="FrankRuehl"/>
                <w:sz w:val="28"/>
                <w:szCs w:val="28"/>
                <w:rtl/>
              </w:rPr>
              <w:t>ת"פ</w:t>
            </w:r>
            <w:r w:rsidRPr="00A33BAA">
              <w:rPr>
                <w:rFonts w:cs="FrankRuehl" w:hint="cs"/>
                <w:sz w:val="28"/>
                <w:szCs w:val="28"/>
                <w:rtl/>
              </w:rPr>
              <w:t xml:space="preserve"> </w:t>
            </w:r>
            <w:r w:rsidRPr="00A33BAA">
              <w:rPr>
                <w:rFonts w:cs="FrankRuehl"/>
                <w:sz w:val="28"/>
                <w:szCs w:val="28"/>
                <w:rtl/>
              </w:rPr>
              <w:t>43722-02-13</w:t>
            </w:r>
            <w:r w:rsidRPr="00A33BAA">
              <w:rPr>
                <w:rFonts w:cs="FrankRuehl" w:hint="cs"/>
                <w:sz w:val="28"/>
                <w:szCs w:val="28"/>
                <w:rtl/>
              </w:rPr>
              <w:t xml:space="preserve"> </w:t>
            </w:r>
            <w:r w:rsidRPr="00A33BAA">
              <w:rPr>
                <w:rFonts w:cs="FrankRuehl"/>
                <w:sz w:val="28"/>
                <w:szCs w:val="28"/>
                <w:rtl/>
              </w:rPr>
              <w:t>משטרת ישראל תביעות- שלוחת רמלה נ' פנטה(עציר)</w:t>
            </w:r>
          </w:p>
          <w:p w14:paraId="29A082AD" w14:textId="77777777" w:rsidR="0035722F" w:rsidRPr="00A33BAA" w:rsidRDefault="0035722F">
            <w:pPr>
              <w:pStyle w:val="a3"/>
              <w:rPr>
                <w:rFonts w:cs="FrankRuehl"/>
                <w:sz w:val="28"/>
                <w:szCs w:val="28"/>
                <w:rtl/>
              </w:rPr>
            </w:pPr>
          </w:p>
        </w:tc>
        <w:tc>
          <w:tcPr>
            <w:tcW w:w="3663" w:type="dxa"/>
          </w:tcPr>
          <w:p w14:paraId="0DC1E112" w14:textId="77777777" w:rsidR="0035722F" w:rsidRPr="00A33BAA" w:rsidRDefault="0035722F">
            <w:pPr>
              <w:pStyle w:val="a3"/>
              <w:jc w:val="right"/>
              <w:rPr>
                <w:rFonts w:cs="FrankRuehl"/>
                <w:sz w:val="28"/>
                <w:szCs w:val="28"/>
                <w:rtl/>
              </w:rPr>
            </w:pPr>
          </w:p>
        </w:tc>
      </w:tr>
    </w:tbl>
    <w:p w14:paraId="08E67935" w14:textId="77777777" w:rsidR="0035722F" w:rsidRPr="00A33BAA" w:rsidRDefault="00A33BAA">
      <w:pPr>
        <w:pStyle w:val="a3"/>
        <w:rPr>
          <w:rtl/>
        </w:rPr>
      </w:pPr>
      <w:r w:rsidRPr="00A33BAA">
        <w:rPr>
          <w:rFonts w:hint="cs"/>
          <w:rtl/>
        </w:rPr>
        <w:t xml:space="preserve"> </w:t>
      </w:r>
    </w:p>
    <w:p w14:paraId="0CC48979" w14:textId="77777777" w:rsidR="0035722F" w:rsidRPr="00A33BAA" w:rsidRDefault="0035722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35722F" w:rsidRPr="00A33BAA" w14:paraId="29AEE46E" w14:textId="77777777">
        <w:trPr>
          <w:trHeight w:val="295"/>
          <w:jc w:val="center"/>
        </w:trPr>
        <w:tc>
          <w:tcPr>
            <w:tcW w:w="945" w:type="dxa"/>
            <w:tcBorders>
              <w:top w:val="nil"/>
              <w:left w:val="nil"/>
              <w:bottom w:val="nil"/>
              <w:right w:val="nil"/>
            </w:tcBorders>
          </w:tcPr>
          <w:p w14:paraId="6ADAA8AB" w14:textId="77777777" w:rsidR="0035722F" w:rsidRPr="00A33BAA" w:rsidRDefault="00A33BAA">
            <w:pPr>
              <w:jc w:val="both"/>
              <w:rPr>
                <w:rFonts w:ascii="Arial" w:hAnsi="Arial"/>
                <w:sz w:val="30"/>
                <w:szCs w:val="30"/>
              </w:rPr>
            </w:pPr>
            <w:r w:rsidRPr="00A33BAA">
              <w:rPr>
                <w:rFonts w:ascii="Arial" w:hAnsi="Arial" w:hint="cs"/>
                <w:sz w:val="30"/>
                <w:szCs w:val="30"/>
                <w:rtl/>
              </w:rPr>
              <w:t>ב</w:t>
            </w:r>
            <w:r w:rsidRPr="00A33BAA">
              <w:rPr>
                <w:rFonts w:ascii="Arial" w:hAnsi="Arial"/>
                <w:sz w:val="30"/>
                <w:szCs w:val="30"/>
                <w:rtl/>
              </w:rPr>
              <w:t xml:space="preserve">פני </w:t>
            </w:r>
          </w:p>
        </w:tc>
        <w:tc>
          <w:tcPr>
            <w:tcW w:w="7875" w:type="dxa"/>
            <w:gridSpan w:val="2"/>
            <w:tcBorders>
              <w:top w:val="nil"/>
              <w:left w:val="nil"/>
              <w:bottom w:val="nil"/>
              <w:right w:val="nil"/>
            </w:tcBorders>
          </w:tcPr>
          <w:p w14:paraId="61858D6C" w14:textId="77777777" w:rsidR="0035722F" w:rsidRPr="00A33BAA" w:rsidRDefault="00A33BAA">
            <w:pPr>
              <w:rPr>
                <w:rFonts w:ascii="Arial" w:hAnsi="Arial"/>
                <w:b/>
                <w:bCs/>
                <w:sz w:val="30"/>
                <w:szCs w:val="30"/>
                <w:rtl/>
              </w:rPr>
            </w:pPr>
            <w:r w:rsidRPr="00A33BAA">
              <w:rPr>
                <w:rFonts w:ascii="Arial" w:hAnsi="Arial" w:hint="cs"/>
                <w:b/>
                <w:bCs/>
                <w:sz w:val="30"/>
                <w:szCs w:val="30"/>
                <w:rtl/>
              </w:rPr>
              <w:t>כב' ה</w:t>
            </w:r>
            <w:r w:rsidRPr="00A33BAA">
              <w:rPr>
                <w:rFonts w:hint="cs"/>
                <w:sz w:val="30"/>
                <w:szCs w:val="30"/>
                <w:rtl/>
              </w:rPr>
              <w:t>שופט</w:t>
            </w:r>
            <w:r w:rsidRPr="00A33BAA">
              <w:rPr>
                <w:rFonts w:ascii="Arial" w:hAnsi="Arial" w:hint="cs"/>
                <w:b/>
                <w:bCs/>
                <w:sz w:val="30"/>
                <w:szCs w:val="30"/>
                <w:rtl/>
              </w:rPr>
              <w:t xml:space="preserve">  </w:t>
            </w:r>
            <w:r w:rsidRPr="00A33BAA">
              <w:rPr>
                <w:rFonts w:hint="cs"/>
                <w:sz w:val="30"/>
                <w:szCs w:val="30"/>
                <w:rtl/>
              </w:rPr>
              <w:t>הישאם  אבו שחאדה</w:t>
            </w:r>
          </w:p>
          <w:p w14:paraId="5B8F5840" w14:textId="77777777" w:rsidR="0035722F" w:rsidRPr="00A33BAA" w:rsidRDefault="0035722F">
            <w:pPr>
              <w:rPr>
                <w:sz w:val="30"/>
                <w:szCs w:val="30"/>
                <w:rtl/>
              </w:rPr>
            </w:pPr>
          </w:p>
          <w:p w14:paraId="25397E4C" w14:textId="77777777" w:rsidR="0035722F" w:rsidRPr="00A33BAA" w:rsidRDefault="0035722F">
            <w:pPr>
              <w:jc w:val="both"/>
              <w:rPr>
                <w:rFonts w:ascii="Arial" w:hAnsi="Arial"/>
                <w:sz w:val="30"/>
                <w:szCs w:val="30"/>
              </w:rPr>
            </w:pPr>
          </w:p>
        </w:tc>
      </w:tr>
      <w:tr w:rsidR="0035722F" w:rsidRPr="00A33BAA" w14:paraId="4A5D19D2" w14:textId="77777777">
        <w:trPr>
          <w:trHeight w:val="355"/>
          <w:jc w:val="center"/>
        </w:trPr>
        <w:tc>
          <w:tcPr>
            <w:tcW w:w="945" w:type="dxa"/>
            <w:tcBorders>
              <w:top w:val="nil"/>
              <w:left w:val="nil"/>
              <w:bottom w:val="nil"/>
              <w:right w:val="nil"/>
            </w:tcBorders>
          </w:tcPr>
          <w:p w14:paraId="357E19FE" w14:textId="77777777" w:rsidR="0035722F" w:rsidRPr="00A33BAA" w:rsidRDefault="00A33BAA">
            <w:pPr>
              <w:jc w:val="both"/>
              <w:rPr>
                <w:rFonts w:ascii="Arial" w:hAnsi="Arial"/>
                <w:b/>
                <w:bCs/>
                <w:sz w:val="28"/>
                <w:szCs w:val="28"/>
              </w:rPr>
            </w:pPr>
            <w:bookmarkStart w:id="1" w:name="FirstAppellant"/>
            <w:r w:rsidRPr="00A33BAA">
              <w:rPr>
                <w:rFonts w:ascii="Arial" w:hAnsi="Arial" w:hint="cs"/>
                <w:b/>
                <w:bCs/>
                <w:sz w:val="28"/>
                <w:szCs w:val="28"/>
                <w:rtl/>
              </w:rPr>
              <w:t>בעניין:</w:t>
            </w:r>
          </w:p>
        </w:tc>
        <w:tc>
          <w:tcPr>
            <w:tcW w:w="4116" w:type="dxa"/>
            <w:tcBorders>
              <w:top w:val="nil"/>
              <w:left w:val="nil"/>
              <w:bottom w:val="nil"/>
              <w:right w:val="nil"/>
            </w:tcBorders>
          </w:tcPr>
          <w:p w14:paraId="41B7EA6F" w14:textId="77777777" w:rsidR="0035722F" w:rsidRPr="00A33BAA" w:rsidRDefault="00A33BAA">
            <w:pPr>
              <w:rPr>
                <w:b/>
                <w:bCs/>
                <w:sz w:val="28"/>
                <w:szCs w:val="28"/>
              </w:rPr>
            </w:pPr>
            <w:r w:rsidRPr="00A33BAA">
              <w:rPr>
                <w:rFonts w:hint="cs"/>
                <w:b/>
                <w:bCs/>
                <w:sz w:val="28"/>
                <w:szCs w:val="28"/>
                <w:rtl/>
              </w:rPr>
              <w:t xml:space="preserve">המאשימה – מדינת ישראל </w:t>
            </w:r>
            <w:r w:rsidRPr="00A33BAA">
              <w:rPr>
                <w:rFonts w:hint="cs"/>
                <w:b/>
                <w:bCs/>
                <w:sz w:val="28"/>
                <w:szCs w:val="28"/>
                <w:rtl/>
              </w:rPr>
              <w:br/>
              <w:t>באמצעות משטרת ישראל תביעות  רמלה</w:t>
            </w:r>
            <w:r w:rsidRPr="00A33BAA">
              <w:rPr>
                <w:rFonts w:hint="cs"/>
                <w:b/>
                <w:bCs/>
                <w:sz w:val="28"/>
                <w:szCs w:val="28"/>
                <w:rtl/>
              </w:rPr>
              <w:br/>
              <w:t xml:space="preserve">על - ידי עוה"ד שלי היאט </w:t>
            </w:r>
          </w:p>
        </w:tc>
        <w:tc>
          <w:tcPr>
            <w:tcW w:w="3759" w:type="dxa"/>
            <w:tcBorders>
              <w:top w:val="nil"/>
              <w:left w:val="nil"/>
              <w:bottom w:val="nil"/>
              <w:right w:val="nil"/>
            </w:tcBorders>
          </w:tcPr>
          <w:p w14:paraId="47A970E7" w14:textId="77777777" w:rsidR="0035722F" w:rsidRPr="00A33BAA" w:rsidRDefault="0035722F">
            <w:pPr>
              <w:jc w:val="both"/>
              <w:rPr>
                <w:rFonts w:ascii="Arial" w:hAnsi="Arial"/>
                <w:b/>
                <w:bCs/>
                <w:sz w:val="28"/>
                <w:szCs w:val="28"/>
              </w:rPr>
            </w:pPr>
          </w:p>
        </w:tc>
      </w:tr>
      <w:bookmarkEnd w:id="1"/>
      <w:tr w:rsidR="0035722F" w:rsidRPr="00A33BAA" w14:paraId="53E80E88" w14:textId="77777777">
        <w:trPr>
          <w:gridAfter w:val="2"/>
          <w:wAfter w:w="7875" w:type="dxa"/>
          <w:trHeight w:val="355"/>
          <w:jc w:val="center"/>
        </w:trPr>
        <w:tc>
          <w:tcPr>
            <w:tcW w:w="945" w:type="dxa"/>
            <w:tcBorders>
              <w:top w:val="nil"/>
              <w:left w:val="nil"/>
              <w:bottom w:val="nil"/>
              <w:right w:val="nil"/>
            </w:tcBorders>
          </w:tcPr>
          <w:p w14:paraId="70B46733" w14:textId="77777777" w:rsidR="0035722F" w:rsidRPr="00A33BAA" w:rsidRDefault="0035722F">
            <w:pPr>
              <w:jc w:val="both"/>
              <w:rPr>
                <w:rFonts w:ascii="Arial" w:hAnsi="Arial"/>
                <w:b/>
                <w:bCs/>
                <w:sz w:val="28"/>
                <w:szCs w:val="28"/>
                <w:rtl/>
              </w:rPr>
            </w:pPr>
          </w:p>
        </w:tc>
      </w:tr>
      <w:tr w:rsidR="0035722F" w:rsidRPr="00A33BAA" w14:paraId="231681FE" w14:textId="77777777">
        <w:trPr>
          <w:trHeight w:val="355"/>
          <w:jc w:val="center"/>
        </w:trPr>
        <w:tc>
          <w:tcPr>
            <w:tcW w:w="945" w:type="dxa"/>
            <w:tcBorders>
              <w:top w:val="nil"/>
              <w:left w:val="nil"/>
              <w:bottom w:val="nil"/>
              <w:right w:val="nil"/>
            </w:tcBorders>
          </w:tcPr>
          <w:p w14:paraId="08824CC1" w14:textId="77777777" w:rsidR="0035722F" w:rsidRPr="00A33BAA" w:rsidRDefault="0035722F">
            <w:pPr>
              <w:jc w:val="both"/>
              <w:rPr>
                <w:rFonts w:ascii="Arial" w:hAnsi="Arial"/>
                <w:b/>
                <w:bCs/>
                <w:sz w:val="28"/>
                <w:szCs w:val="28"/>
                <w:rtl/>
              </w:rPr>
            </w:pPr>
          </w:p>
        </w:tc>
        <w:tc>
          <w:tcPr>
            <w:tcW w:w="7875" w:type="dxa"/>
            <w:gridSpan w:val="2"/>
            <w:tcBorders>
              <w:top w:val="nil"/>
              <w:left w:val="nil"/>
              <w:bottom w:val="nil"/>
              <w:right w:val="nil"/>
            </w:tcBorders>
          </w:tcPr>
          <w:p w14:paraId="09C73752" w14:textId="77777777" w:rsidR="0035722F" w:rsidRPr="00A33BAA" w:rsidRDefault="0035722F">
            <w:pPr>
              <w:jc w:val="center"/>
              <w:rPr>
                <w:rFonts w:ascii="Arial" w:hAnsi="Arial"/>
                <w:b/>
                <w:bCs/>
                <w:sz w:val="28"/>
                <w:szCs w:val="28"/>
                <w:rtl/>
              </w:rPr>
            </w:pPr>
          </w:p>
          <w:p w14:paraId="3AA208E6" w14:textId="77777777" w:rsidR="0035722F" w:rsidRPr="00A33BAA" w:rsidRDefault="00A33BAA">
            <w:pPr>
              <w:jc w:val="center"/>
              <w:rPr>
                <w:rFonts w:ascii="Arial" w:hAnsi="Arial"/>
                <w:b/>
                <w:bCs/>
                <w:sz w:val="28"/>
                <w:szCs w:val="28"/>
                <w:rtl/>
              </w:rPr>
            </w:pPr>
            <w:r w:rsidRPr="00A33BAA">
              <w:rPr>
                <w:rFonts w:ascii="Arial" w:hAnsi="Arial"/>
                <w:b/>
                <w:bCs/>
                <w:sz w:val="28"/>
                <w:szCs w:val="28"/>
                <w:rtl/>
              </w:rPr>
              <w:t>נגד</w:t>
            </w:r>
          </w:p>
          <w:p w14:paraId="753C3DA9" w14:textId="77777777" w:rsidR="0035722F" w:rsidRPr="00A33BAA" w:rsidRDefault="0035722F">
            <w:pPr>
              <w:jc w:val="both"/>
              <w:rPr>
                <w:rFonts w:ascii="Arial" w:hAnsi="Arial"/>
                <w:b/>
                <w:bCs/>
                <w:sz w:val="28"/>
                <w:szCs w:val="28"/>
              </w:rPr>
            </w:pPr>
          </w:p>
        </w:tc>
      </w:tr>
      <w:tr w:rsidR="0035722F" w:rsidRPr="00A33BAA" w14:paraId="69FA7973" w14:textId="77777777">
        <w:trPr>
          <w:trHeight w:val="355"/>
          <w:jc w:val="center"/>
        </w:trPr>
        <w:tc>
          <w:tcPr>
            <w:tcW w:w="945" w:type="dxa"/>
            <w:tcBorders>
              <w:top w:val="nil"/>
              <w:left w:val="nil"/>
              <w:bottom w:val="nil"/>
              <w:right w:val="nil"/>
            </w:tcBorders>
          </w:tcPr>
          <w:p w14:paraId="3185C205" w14:textId="77777777" w:rsidR="0035722F" w:rsidRPr="00A33BAA" w:rsidRDefault="0035722F">
            <w:pPr>
              <w:rPr>
                <w:rFonts w:ascii="Arial" w:hAnsi="Arial"/>
                <w:b/>
                <w:bCs/>
                <w:sz w:val="28"/>
                <w:szCs w:val="28"/>
                <w:rtl/>
              </w:rPr>
            </w:pPr>
          </w:p>
        </w:tc>
        <w:tc>
          <w:tcPr>
            <w:tcW w:w="4116" w:type="dxa"/>
            <w:tcBorders>
              <w:top w:val="nil"/>
              <w:left w:val="nil"/>
              <w:bottom w:val="nil"/>
              <w:right w:val="nil"/>
            </w:tcBorders>
          </w:tcPr>
          <w:p w14:paraId="7370FE00" w14:textId="77777777" w:rsidR="0035722F" w:rsidRPr="00A33BAA" w:rsidRDefault="00A33BAA">
            <w:pPr>
              <w:rPr>
                <w:b/>
                <w:bCs/>
                <w:sz w:val="28"/>
                <w:szCs w:val="28"/>
                <w:rtl/>
              </w:rPr>
            </w:pPr>
            <w:r w:rsidRPr="00A33BAA">
              <w:rPr>
                <w:rFonts w:hint="cs"/>
                <w:b/>
                <w:bCs/>
                <w:sz w:val="28"/>
                <w:szCs w:val="28"/>
                <w:rtl/>
              </w:rPr>
              <w:t xml:space="preserve">הנאשם - רדה פנטה </w:t>
            </w:r>
            <w:r w:rsidRPr="00A33BAA">
              <w:rPr>
                <w:rFonts w:hint="cs"/>
                <w:b/>
                <w:bCs/>
                <w:sz w:val="28"/>
                <w:szCs w:val="28"/>
                <w:rtl/>
              </w:rPr>
              <w:br/>
              <w:t xml:space="preserve"> על - ידי עוה"ד איריס אהרונוב </w:t>
            </w:r>
          </w:p>
        </w:tc>
        <w:tc>
          <w:tcPr>
            <w:tcW w:w="3759" w:type="dxa"/>
            <w:tcBorders>
              <w:top w:val="nil"/>
              <w:left w:val="nil"/>
              <w:bottom w:val="nil"/>
              <w:right w:val="nil"/>
            </w:tcBorders>
          </w:tcPr>
          <w:p w14:paraId="50CD2B14" w14:textId="77777777" w:rsidR="0035722F" w:rsidRPr="00A33BAA" w:rsidRDefault="0035722F">
            <w:pPr>
              <w:jc w:val="right"/>
              <w:rPr>
                <w:rFonts w:ascii="Arial" w:hAnsi="Arial"/>
                <w:b/>
                <w:bCs/>
                <w:sz w:val="28"/>
                <w:szCs w:val="28"/>
              </w:rPr>
            </w:pPr>
          </w:p>
        </w:tc>
      </w:tr>
    </w:tbl>
    <w:p w14:paraId="49123327" w14:textId="77777777" w:rsidR="00DA4BC4" w:rsidRDefault="00DA4BC4" w:rsidP="00DA4BC4">
      <w:pPr>
        <w:spacing w:after="120" w:line="240" w:lineRule="exact"/>
        <w:ind w:left="283" w:hanging="283"/>
        <w:jc w:val="both"/>
        <w:rPr>
          <w:rFonts w:ascii="FrankRuehl" w:hAnsi="FrankRuehl" w:cs="FrankRuehl" w:hint="cs"/>
          <w:rtl/>
        </w:rPr>
      </w:pPr>
    </w:p>
    <w:p w14:paraId="5A413B1B" w14:textId="77777777" w:rsidR="00DA4BC4" w:rsidRPr="00DA4BC4" w:rsidRDefault="00DA4BC4" w:rsidP="00DA4BC4">
      <w:pPr>
        <w:spacing w:after="120" w:line="240" w:lineRule="exact"/>
        <w:ind w:left="283" w:hanging="283"/>
        <w:jc w:val="both"/>
        <w:rPr>
          <w:rFonts w:ascii="FrankRuehl" w:hAnsi="FrankRuehl" w:cs="FrankRuehl"/>
          <w:rtl/>
        </w:rPr>
      </w:pPr>
      <w:r w:rsidRPr="00DA4BC4">
        <w:rPr>
          <w:rFonts w:ascii="FrankRuehl" w:hAnsi="FrankRuehl" w:cs="FrankRuehl"/>
          <w:rtl/>
        </w:rPr>
        <w:t xml:space="preserve">חקיקה שאוזכרה: </w:t>
      </w:r>
    </w:p>
    <w:p w14:paraId="13854FC8" w14:textId="77777777" w:rsidR="00DA4BC4" w:rsidRPr="00DA4BC4" w:rsidRDefault="00DA4BC4" w:rsidP="00DA4BC4">
      <w:pPr>
        <w:spacing w:after="120" w:line="240" w:lineRule="exact"/>
        <w:ind w:left="283" w:hanging="283"/>
        <w:jc w:val="both"/>
        <w:rPr>
          <w:rFonts w:ascii="FrankRuehl" w:hAnsi="FrankRuehl" w:cs="FrankRuehl"/>
          <w:rtl/>
        </w:rPr>
      </w:pPr>
      <w:hyperlink r:id="rId8" w:history="1">
        <w:r w:rsidRPr="00DA4BC4">
          <w:rPr>
            <w:rFonts w:ascii="FrankRuehl" w:hAnsi="FrankRuehl" w:cs="FrankRuehl"/>
            <w:color w:val="0000FF"/>
            <w:u w:val="single"/>
            <w:rtl/>
          </w:rPr>
          <w:t>חוק העונשין, תשל"ז-1977</w:t>
        </w:r>
      </w:hyperlink>
      <w:r w:rsidRPr="00DA4BC4">
        <w:rPr>
          <w:rFonts w:ascii="FrankRuehl" w:hAnsi="FrankRuehl" w:cs="FrankRuehl"/>
          <w:rtl/>
        </w:rPr>
        <w:t xml:space="preserve">: סע'  </w:t>
      </w:r>
      <w:hyperlink r:id="rId9" w:history="1">
        <w:r w:rsidRPr="00DA4BC4">
          <w:rPr>
            <w:rFonts w:ascii="FrankRuehl" w:hAnsi="FrankRuehl" w:cs="FrankRuehl"/>
            <w:color w:val="0000FF"/>
            <w:u w:val="single"/>
            <w:rtl/>
          </w:rPr>
          <w:t>31</w:t>
        </w:r>
      </w:hyperlink>
      <w:r w:rsidRPr="00DA4BC4">
        <w:rPr>
          <w:rFonts w:ascii="FrankRuehl" w:hAnsi="FrankRuehl" w:cs="FrankRuehl"/>
          <w:rtl/>
        </w:rPr>
        <w:t xml:space="preserve">, </w:t>
      </w:r>
      <w:hyperlink r:id="rId10" w:history="1">
        <w:r w:rsidRPr="00DA4BC4">
          <w:rPr>
            <w:rFonts w:ascii="FrankRuehl" w:hAnsi="FrankRuehl" w:cs="FrankRuehl"/>
            <w:color w:val="0000FF"/>
            <w:u w:val="single"/>
            <w:rtl/>
          </w:rPr>
          <w:t>192</w:t>
        </w:r>
      </w:hyperlink>
      <w:r w:rsidRPr="00DA4BC4">
        <w:rPr>
          <w:rFonts w:ascii="FrankRuehl" w:hAnsi="FrankRuehl" w:cs="FrankRuehl"/>
          <w:rtl/>
        </w:rPr>
        <w:t xml:space="preserve">, </w:t>
      </w:r>
      <w:hyperlink r:id="rId11" w:history="1">
        <w:r w:rsidRPr="00DA4BC4">
          <w:rPr>
            <w:rFonts w:ascii="FrankRuehl" w:hAnsi="FrankRuehl" w:cs="FrankRuehl"/>
            <w:color w:val="0000FF"/>
            <w:u w:val="single"/>
            <w:rtl/>
          </w:rPr>
          <w:t>273</w:t>
        </w:r>
      </w:hyperlink>
      <w:r w:rsidRPr="00DA4BC4">
        <w:rPr>
          <w:rFonts w:ascii="FrankRuehl" w:hAnsi="FrankRuehl" w:cs="FrankRuehl"/>
          <w:rtl/>
        </w:rPr>
        <w:t xml:space="preserve">, </w:t>
      </w:r>
      <w:hyperlink r:id="rId12" w:history="1">
        <w:r w:rsidRPr="00DA4BC4">
          <w:rPr>
            <w:rFonts w:ascii="FrankRuehl" w:hAnsi="FrankRuehl" w:cs="FrankRuehl"/>
            <w:color w:val="0000FF"/>
            <w:u w:val="single"/>
            <w:rtl/>
          </w:rPr>
          <w:t>379</w:t>
        </w:r>
      </w:hyperlink>
      <w:r w:rsidRPr="00DA4BC4">
        <w:rPr>
          <w:rFonts w:ascii="FrankRuehl" w:hAnsi="FrankRuehl" w:cs="FrankRuehl"/>
          <w:rtl/>
        </w:rPr>
        <w:t xml:space="preserve">, </w:t>
      </w:r>
      <w:hyperlink r:id="rId13" w:history="1">
        <w:r w:rsidRPr="00DA4BC4">
          <w:rPr>
            <w:rFonts w:ascii="FrankRuehl" w:hAnsi="FrankRuehl" w:cs="FrankRuehl"/>
            <w:color w:val="0000FF"/>
            <w:u w:val="single"/>
            <w:rtl/>
          </w:rPr>
          <w:t>380</w:t>
        </w:r>
      </w:hyperlink>
      <w:r w:rsidRPr="00DA4BC4">
        <w:rPr>
          <w:rFonts w:ascii="FrankRuehl" w:hAnsi="FrankRuehl" w:cs="FrankRuehl"/>
          <w:rtl/>
        </w:rPr>
        <w:t xml:space="preserve">, </w:t>
      </w:r>
      <w:hyperlink r:id="rId14" w:history="1">
        <w:r w:rsidRPr="00DA4BC4">
          <w:rPr>
            <w:rFonts w:ascii="FrankRuehl" w:hAnsi="FrankRuehl" w:cs="FrankRuehl"/>
            <w:color w:val="0000FF"/>
            <w:u w:val="single"/>
            <w:rtl/>
          </w:rPr>
          <w:t>381(א)(2)</w:t>
        </w:r>
      </w:hyperlink>
      <w:r w:rsidRPr="00DA4BC4">
        <w:rPr>
          <w:rFonts w:ascii="FrankRuehl" w:hAnsi="FrankRuehl" w:cs="FrankRuehl"/>
          <w:rtl/>
        </w:rPr>
        <w:t xml:space="preserve">, </w:t>
      </w:r>
      <w:hyperlink r:id="rId15" w:history="1">
        <w:r w:rsidRPr="00DA4BC4">
          <w:rPr>
            <w:rFonts w:ascii="FrankRuehl" w:hAnsi="FrankRuehl" w:cs="FrankRuehl"/>
            <w:color w:val="0000FF"/>
            <w:u w:val="single"/>
            <w:rtl/>
          </w:rPr>
          <w:t>382(א)</w:t>
        </w:r>
      </w:hyperlink>
      <w:r w:rsidRPr="00DA4BC4">
        <w:rPr>
          <w:rFonts w:ascii="FrankRuehl" w:hAnsi="FrankRuehl" w:cs="FrankRuehl"/>
          <w:rtl/>
        </w:rPr>
        <w:t xml:space="preserve">, </w:t>
      </w:r>
      <w:hyperlink r:id="rId16" w:history="1">
        <w:r w:rsidRPr="00DA4BC4">
          <w:rPr>
            <w:rFonts w:ascii="FrankRuehl" w:hAnsi="FrankRuehl" w:cs="FrankRuehl"/>
            <w:color w:val="0000FF"/>
            <w:u w:val="single"/>
            <w:rtl/>
          </w:rPr>
          <w:t>382א(א)</w:t>
        </w:r>
      </w:hyperlink>
      <w:r w:rsidRPr="00DA4BC4">
        <w:rPr>
          <w:rFonts w:ascii="FrankRuehl" w:hAnsi="FrankRuehl" w:cs="FrankRuehl"/>
          <w:rtl/>
        </w:rPr>
        <w:t xml:space="preserve">, </w:t>
      </w:r>
      <w:hyperlink r:id="rId17" w:history="1">
        <w:r w:rsidRPr="00DA4BC4">
          <w:rPr>
            <w:rFonts w:ascii="FrankRuehl" w:hAnsi="FrankRuehl" w:cs="FrankRuehl"/>
            <w:color w:val="0000FF"/>
            <w:u w:val="single"/>
            <w:rtl/>
          </w:rPr>
          <w:t>384</w:t>
        </w:r>
      </w:hyperlink>
      <w:r w:rsidRPr="00DA4BC4">
        <w:rPr>
          <w:rFonts w:ascii="FrankRuehl" w:hAnsi="FrankRuehl" w:cs="FrankRuehl"/>
          <w:rtl/>
        </w:rPr>
        <w:t xml:space="preserve">, </w:t>
      </w:r>
      <w:hyperlink r:id="rId18" w:history="1">
        <w:r w:rsidRPr="00DA4BC4">
          <w:rPr>
            <w:rFonts w:ascii="FrankRuehl" w:hAnsi="FrankRuehl" w:cs="FrankRuehl"/>
            <w:color w:val="0000FF"/>
            <w:u w:val="single"/>
            <w:rtl/>
          </w:rPr>
          <w:t>413</w:t>
        </w:r>
      </w:hyperlink>
      <w:r w:rsidRPr="00DA4BC4">
        <w:rPr>
          <w:rFonts w:ascii="FrankRuehl" w:hAnsi="FrankRuehl" w:cs="FrankRuehl"/>
          <w:rtl/>
        </w:rPr>
        <w:t xml:space="preserve">, </w:t>
      </w:r>
      <w:hyperlink r:id="rId19" w:history="1">
        <w:r w:rsidRPr="00DA4BC4">
          <w:rPr>
            <w:rFonts w:ascii="FrankRuehl" w:hAnsi="FrankRuehl" w:cs="FrankRuehl"/>
            <w:color w:val="0000FF"/>
            <w:u w:val="single"/>
            <w:rtl/>
          </w:rPr>
          <w:t>413ג</w:t>
        </w:r>
      </w:hyperlink>
      <w:r w:rsidRPr="00DA4BC4">
        <w:rPr>
          <w:rFonts w:ascii="FrankRuehl" w:hAnsi="FrankRuehl" w:cs="FrankRuehl"/>
          <w:rtl/>
        </w:rPr>
        <w:t xml:space="preserve">, </w:t>
      </w:r>
      <w:hyperlink r:id="rId20" w:history="1">
        <w:r w:rsidRPr="00DA4BC4">
          <w:rPr>
            <w:rFonts w:ascii="FrankRuehl" w:hAnsi="FrankRuehl" w:cs="FrankRuehl"/>
            <w:color w:val="0000FF"/>
            <w:u w:val="single"/>
            <w:rtl/>
          </w:rPr>
          <w:t>452</w:t>
        </w:r>
      </w:hyperlink>
    </w:p>
    <w:p w14:paraId="7C525E61" w14:textId="77777777" w:rsidR="00DA4BC4" w:rsidRPr="00DA4BC4" w:rsidRDefault="00DA4BC4" w:rsidP="00DA4BC4">
      <w:pPr>
        <w:spacing w:after="120" w:line="240" w:lineRule="exact"/>
        <w:ind w:left="283" w:hanging="283"/>
        <w:jc w:val="both"/>
        <w:rPr>
          <w:rFonts w:ascii="FrankRuehl" w:hAnsi="FrankRuehl" w:cs="FrankRuehl"/>
          <w:rtl/>
        </w:rPr>
      </w:pPr>
      <w:hyperlink r:id="rId21" w:history="1">
        <w:r w:rsidRPr="00DA4BC4">
          <w:rPr>
            <w:rFonts w:ascii="FrankRuehl" w:hAnsi="FrankRuehl" w:cs="FrankRuehl"/>
            <w:color w:val="0000FF"/>
            <w:u w:val="single"/>
            <w:rtl/>
          </w:rPr>
          <w:t>פקודת הסמים המסוכנים [נוסח חדש], תשל"ג-1973</w:t>
        </w:r>
      </w:hyperlink>
      <w:r w:rsidRPr="00DA4BC4">
        <w:rPr>
          <w:rFonts w:ascii="FrankRuehl" w:hAnsi="FrankRuehl" w:cs="FrankRuehl"/>
          <w:rtl/>
        </w:rPr>
        <w:t xml:space="preserve">: סע'  </w:t>
      </w:r>
      <w:hyperlink r:id="rId22" w:history="1">
        <w:r w:rsidRPr="00DA4BC4">
          <w:rPr>
            <w:rFonts w:ascii="FrankRuehl" w:hAnsi="FrankRuehl" w:cs="FrankRuehl"/>
            <w:color w:val="0000FF"/>
            <w:u w:val="single"/>
            <w:rtl/>
          </w:rPr>
          <w:t>13</w:t>
        </w:r>
      </w:hyperlink>
    </w:p>
    <w:p w14:paraId="7EFBAE50" w14:textId="77777777" w:rsidR="00DA4BC4" w:rsidRPr="00DA4BC4" w:rsidRDefault="00DA4BC4" w:rsidP="00DA4BC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722F" w:rsidRPr="00A33BAA" w14:paraId="7E26854F" w14:textId="77777777">
        <w:trPr>
          <w:trHeight w:val="355"/>
          <w:jc w:val="center"/>
        </w:trPr>
        <w:tc>
          <w:tcPr>
            <w:tcW w:w="8820" w:type="dxa"/>
            <w:tcBorders>
              <w:top w:val="nil"/>
              <w:left w:val="nil"/>
              <w:bottom w:val="nil"/>
              <w:right w:val="nil"/>
            </w:tcBorders>
          </w:tcPr>
          <w:p w14:paraId="185B35AA" w14:textId="77777777" w:rsidR="0035722F" w:rsidRPr="00A33BAA" w:rsidRDefault="00A33BAA">
            <w:pPr>
              <w:jc w:val="center"/>
              <w:rPr>
                <w:rFonts w:ascii="Arial" w:hAnsi="Arial" w:cs="FrankRuehl"/>
                <w:sz w:val="32"/>
                <w:szCs w:val="32"/>
                <w:rtl/>
              </w:rPr>
            </w:pPr>
            <w:bookmarkStart w:id="2" w:name="LawTable_End"/>
            <w:bookmarkStart w:id="3" w:name="PsakDin"/>
            <w:bookmarkEnd w:id="2"/>
            <w:r w:rsidRPr="00A33BAA">
              <w:rPr>
                <w:rFonts w:ascii="Arial" w:hAnsi="Arial" w:cs="FrankRuehl" w:hint="cs"/>
                <w:b/>
                <w:bCs/>
                <w:sz w:val="32"/>
                <w:szCs w:val="32"/>
                <w:rtl/>
              </w:rPr>
              <w:t>ג ז ר  - ד י ן</w:t>
            </w:r>
            <w:bookmarkEnd w:id="3"/>
          </w:p>
        </w:tc>
      </w:tr>
    </w:tbl>
    <w:p w14:paraId="26D51DA3" w14:textId="77777777" w:rsidR="0035722F" w:rsidRPr="00A33BAA" w:rsidRDefault="0035722F">
      <w:pPr>
        <w:rPr>
          <w:rFonts w:ascii="Arial" w:hAnsi="Arial"/>
          <w:rtl/>
        </w:rPr>
      </w:pPr>
    </w:p>
    <w:p w14:paraId="58DECC75" w14:textId="77777777" w:rsidR="0035722F" w:rsidRPr="00A33BAA" w:rsidRDefault="0035722F">
      <w:pPr>
        <w:rPr>
          <w:rFonts w:ascii="Arial" w:hAnsi="Arial"/>
          <w:rtl/>
        </w:rPr>
      </w:pPr>
    </w:p>
    <w:p w14:paraId="765680F6" w14:textId="77777777" w:rsidR="0035722F" w:rsidRPr="00A33BAA" w:rsidRDefault="0035722F">
      <w:pPr>
        <w:rPr>
          <w:rtl/>
        </w:rPr>
      </w:pPr>
    </w:p>
    <w:p w14:paraId="6F9E631D" w14:textId="77777777" w:rsidR="0035722F" w:rsidRPr="00A33BAA" w:rsidRDefault="00A33BAA">
      <w:pPr>
        <w:spacing w:line="360" w:lineRule="auto"/>
        <w:rPr>
          <w:rtl/>
        </w:rPr>
      </w:pPr>
      <w:r w:rsidRPr="00A33BAA">
        <w:rPr>
          <w:rFonts w:hint="cs"/>
          <w:b/>
          <w:bCs/>
          <w:sz w:val="28"/>
          <w:szCs w:val="28"/>
          <w:rtl/>
        </w:rPr>
        <w:t>כתב האישום ב-</w:t>
      </w:r>
      <w:hyperlink r:id="rId23" w:history="1">
        <w:r w:rsidRPr="00A33BAA">
          <w:rPr>
            <w:b/>
            <w:bCs/>
            <w:color w:val="0000FF"/>
            <w:sz w:val="28"/>
            <w:szCs w:val="28"/>
            <w:u w:val="single"/>
            <w:rtl/>
          </w:rPr>
          <w:t>ת"פ 43722-02-13</w:t>
        </w:r>
        <w:r w:rsidRPr="00A33BAA">
          <w:rPr>
            <w:b/>
            <w:bCs/>
            <w:color w:val="0000FF"/>
            <w:sz w:val="28"/>
            <w:szCs w:val="28"/>
            <w:u w:val="single"/>
            <w:rtl/>
          </w:rPr>
          <w:cr/>
        </w:r>
      </w:hyperlink>
    </w:p>
    <w:p w14:paraId="2A4D3238" w14:textId="77777777" w:rsidR="0035722F" w:rsidRPr="00A33BAA" w:rsidRDefault="00A33BAA">
      <w:pPr>
        <w:spacing w:line="360" w:lineRule="auto"/>
        <w:ind w:left="720" w:hanging="720"/>
        <w:jc w:val="both"/>
        <w:rPr>
          <w:rtl/>
        </w:rPr>
      </w:pPr>
      <w:r w:rsidRPr="00A33BAA">
        <w:rPr>
          <w:rFonts w:hint="cs"/>
          <w:rtl/>
        </w:rPr>
        <w:t>1.</w:t>
      </w:r>
      <w:r w:rsidRPr="00A33BAA">
        <w:rPr>
          <w:rFonts w:hint="cs"/>
          <w:rtl/>
        </w:rPr>
        <w:tab/>
      </w:r>
      <w:bookmarkStart w:id="4" w:name="ABSTRACT_START"/>
      <w:bookmarkEnd w:id="4"/>
      <w:r w:rsidRPr="00A33BAA">
        <w:rPr>
          <w:rFonts w:hint="cs"/>
          <w:rtl/>
        </w:rPr>
        <w:t xml:space="preserve">הנאשם הורשע בעובדות כתב האישום המתוקן שכולל שני אישומים. באישום הראשון, הנאשם הורשע בביצוע עבירות של איומים לפי </w:t>
      </w:r>
      <w:hyperlink r:id="rId24" w:history="1">
        <w:r w:rsidR="00425AA6" w:rsidRPr="00425AA6">
          <w:rPr>
            <w:color w:val="0000FF"/>
            <w:u w:val="single"/>
            <w:rtl/>
          </w:rPr>
          <w:t>סעיף 192</w:t>
        </w:r>
      </w:hyperlink>
      <w:r w:rsidRPr="00A33BAA">
        <w:rPr>
          <w:rFonts w:hint="cs"/>
          <w:rtl/>
        </w:rPr>
        <w:t xml:space="preserve"> ל</w:t>
      </w:r>
      <w:hyperlink r:id="rId25" w:history="1">
        <w:r w:rsidRPr="00A33BAA">
          <w:rPr>
            <w:color w:val="0000FF"/>
            <w:u w:val="single"/>
            <w:rtl/>
          </w:rPr>
          <w:t>חוק העונשין</w:t>
        </w:r>
      </w:hyperlink>
      <w:r w:rsidRPr="00A33BAA">
        <w:rPr>
          <w:rFonts w:hint="cs"/>
          <w:rtl/>
        </w:rPr>
        <w:t xml:space="preserve">, תשל"ז </w:t>
      </w:r>
      <w:r w:rsidRPr="00A33BAA">
        <w:rPr>
          <w:rtl/>
        </w:rPr>
        <w:t>–</w:t>
      </w:r>
      <w:r w:rsidRPr="00A33BAA">
        <w:rPr>
          <w:rFonts w:hint="cs"/>
          <w:rtl/>
        </w:rPr>
        <w:t xml:space="preserve"> 1977 (להלן: </w:t>
      </w:r>
      <w:r w:rsidRPr="00A33BAA">
        <w:rPr>
          <w:rFonts w:hint="cs"/>
          <w:b/>
          <w:bCs/>
          <w:rtl/>
        </w:rPr>
        <w:t>חוק העונשין</w:t>
      </w:r>
      <w:r w:rsidRPr="00A33BAA">
        <w:rPr>
          <w:rFonts w:hint="cs"/>
          <w:rtl/>
        </w:rPr>
        <w:t xml:space="preserve">) והיזק לרכוש במזיד לפי </w:t>
      </w:r>
      <w:hyperlink r:id="rId26" w:history="1">
        <w:r w:rsidR="00425AA6" w:rsidRPr="00425AA6">
          <w:rPr>
            <w:color w:val="0000FF"/>
            <w:u w:val="single"/>
            <w:rtl/>
          </w:rPr>
          <w:t>סעיף 452</w:t>
        </w:r>
      </w:hyperlink>
      <w:r w:rsidRPr="00A33BAA">
        <w:rPr>
          <w:rFonts w:hint="cs"/>
          <w:rtl/>
        </w:rPr>
        <w:t xml:space="preserve"> לחוק העונשין. על פי עובדות האישום הראשון ביום 14.2.13 הנאשם הגיע לבית הוריו (להלן: </w:t>
      </w:r>
      <w:r w:rsidRPr="00A33BAA">
        <w:rPr>
          <w:rFonts w:hint="cs"/>
          <w:b/>
          <w:bCs/>
          <w:rtl/>
        </w:rPr>
        <w:t>הבית</w:t>
      </w:r>
      <w:r w:rsidRPr="00A33BAA">
        <w:rPr>
          <w:rFonts w:hint="cs"/>
          <w:rtl/>
        </w:rPr>
        <w:t xml:space="preserve">) וביקש שיאפשרו לו </w:t>
      </w:r>
      <w:r w:rsidRPr="00A33BAA">
        <w:rPr>
          <w:rFonts w:hint="cs"/>
          <w:rtl/>
        </w:rPr>
        <w:lastRenderedPageBreak/>
        <w:t xml:space="preserve">להיכנס. הוריו סרבו להכניסו לתוך הבית ולכן ניגש לארון החשמל וניתק את זרם החשמל לבית. באותו יום בשעה מאוחרת יותר הנאשם התקשר לטלפון של הבית ושוחח עם אמו ואמר לה שיהרוג וישרוף את כל המשפחה במידה ולא יאפשרו לו להיכנס לבית. כמו כן, בעת שאביו נטל את הטלפון מידה של אמו של הנאשם אמר לו אני אהרוג אותך וגם את ההורים שלך. למחרת בשעה 01.00 הגיע הנאשם בסמוך לחלון חדר השינה של הוריו וביקש מהם שיאפשרו לו להיכנס לבית. לאחר שסירבו להכניסו, הנאשם יידה אבנים לעבר חלון הבית וכתוצאה ממעשיו נגרם נזק לתריסי הבית שנשברו. </w:t>
      </w:r>
    </w:p>
    <w:p w14:paraId="6E8C4A5C" w14:textId="77777777" w:rsidR="0035722F" w:rsidRPr="00A33BAA" w:rsidRDefault="0035722F">
      <w:pPr>
        <w:spacing w:line="360" w:lineRule="auto"/>
        <w:rPr>
          <w:rtl/>
        </w:rPr>
      </w:pPr>
      <w:bookmarkStart w:id="5" w:name="ABSTRACT_END"/>
      <w:bookmarkEnd w:id="5"/>
    </w:p>
    <w:p w14:paraId="170D9838" w14:textId="77777777" w:rsidR="0035722F" w:rsidRPr="00A33BAA" w:rsidRDefault="00A33BAA">
      <w:pPr>
        <w:spacing w:line="360" w:lineRule="auto"/>
        <w:ind w:left="720" w:hanging="720"/>
        <w:jc w:val="both"/>
        <w:rPr>
          <w:rtl/>
        </w:rPr>
      </w:pPr>
      <w:r w:rsidRPr="00A33BAA">
        <w:rPr>
          <w:rFonts w:hint="cs"/>
          <w:rtl/>
        </w:rPr>
        <w:t>2.</w:t>
      </w:r>
      <w:r w:rsidRPr="00A33BAA">
        <w:rPr>
          <w:rFonts w:hint="cs"/>
          <w:rtl/>
        </w:rPr>
        <w:tab/>
        <w:t xml:space="preserve">באישום השני הנאשם הורשע בביצוע עבירות של תקיפה הגורמת חבלה של ממש לפי </w:t>
      </w:r>
      <w:hyperlink r:id="rId27" w:history="1">
        <w:r w:rsidR="00425AA6" w:rsidRPr="00425AA6">
          <w:rPr>
            <w:color w:val="0000FF"/>
            <w:u w:val="single"/>
            <w:rtl/>
          </w:rPr>
          <w:t>סעיף 380</w:t>
        </w:r>
      </w:hyperlink>
      <w:r w:rsidRPr="00A33BAA">
        <w:rPr>
          <w:rFonts w:hint="cs"/>
          <w:rtl/>
        </w:rPr>
        <w:t xml:space="preserve"> ל</w:t>
      </w:r>
      <w:hyperlink r:id="rId28" w:history="1">
        <w:r w:rsidRPr="00A33BAA">
          <w:rPr>
            <w:color w:val="0000FF"/>
            <w:u w:val="single"/>
            <w:rtl/>
          </w:rPr>
          <w:t>חוק העונשין</w:t>
        </w:r>
      </w:hyperlink>
      <w:r w:rsidRPr="00A33BAA">
        <w:rPr>
          <w:rFonts w:hint="cs"/>
          <w:rtl/>
        </w:rPr>
        <w:t xml:space="preserve"> ואיומים לפי </w:t>
      </w:r>
      <w:hyperlink r:id="rId29" w:history="1">
        <w:r w:rsidR="00425AA6" w:rsidRPr="00425AA6">
          <w:rPr>
            <w:color w:val="0000FF"/>
            <w:u w:val="single"/>
            <w:rtl/>
          </w:rPr>
          <w:t>סעיף 192</w:t>
        </w:r>
      </w:hyperlink>
      <w:r w:rsidRPr="00A33BAA">
        <w:rPr>
          <w:rFonts w:hint="cs"/>
          <w:rtl/>
        </w:rPr>
        <w:t xml:space="preserve"> לחוק העונשין. על פי עובדות  האישום השני ביום 16.2.13 אביו של הנאשם איפשר לו להיכנס לבית על מנת לקחת את חפציו האישיים. הנאשם עשה כן וסירב להיענות לדרישותיו של אביו כי יעזוב את הבית. בתגובה אחז אביו של הנאשם במקל בידו האחת ובידו השנייה אחז בבגדיו של הנאשם והובילו אל מחוץ לבית. בעוד הנאשם ואביו עומדים בפתח הכניסה לבית נשמטה המקל מידו של אביו. הנאשם הרים את המקל, הניפה באוויר ותקף את אביו בכך שהכה באמצעות המקל באמת ידו השמאלית של אביו. כתוצאה ממעשיו של הנאשם נגרמו לאביו חבלות בשורש כף יד שמאל שכוללות שבר באמת יד שמאל ונזקק לטיפול רפואי וגבס. אביו של הנאשם ואחותו של הנאשם ניגשו לתחנת המשטרה בלוד והנאשם התקרב לאביו ואמר לו שיחכה לו בתחנה ויהרוג אותו. </w:t>
      </w:r>
    </w:p>
    <w:p w14:paraId="7F956C4A" w14:textId="77777777" w:rsidR="0035722F" w:rsidRPr="00A33BAA" w:rsidRDefault="0035722F">
      <w:pPr>
        <w:spacing w:line="360" w:lineRule="auto"/>
        <w:ind w:left="720" w:hanging="720"/>
        <w:jc w:val="both"/>
        <w:rPr>
          <w:rtl/>
        </w:rPr>
      </w:pPr>
    </w:p>
    <w:p w14:paraId="22684BD2" w14:textId="77777777" w:rsidR="0035722F" w:rsidRPr="00A33BAA" w:rsidRDefault="00A33BAA">
      <w:pPr>
        <w:spacing w:line="360" w:lineRule="auto"/>
        <w:ind w:left="720"/>
        <w:jc w:val="both"/>
        <w:rPr>
          <w:rtl/>
        </w:rPr>
      </w:pPr>
      <w:r w:rsidRPr="00A33BAA">
        <w:rPr>
          <w:rFonts w:hint="cs"/>
          <w:rtl/>
        </w:rPr>
        <w:t xml:space="preserve">תיק זה יקרא להלן, למען הנוחות, </w:t>
      </w:r>
      <w:r w:rsidRPr="00A33BAA">
        <w:rPr>
          <w:rFonts w:hint="cs"/>
          <w:b/>
          <w:bCs/>
          <w:rtl/>
        </w:rPr>
        <w:t>התיק</w:t>
      </w:r>
      <w:r w:rsidRPr="00A33BAA">
        <w:rPr>
          <w:rFonts w:hint="cs"/>
          <w:rtl/>
        </w:rPr>
        <w:t xml:space="preserve"> </w:t>
      </w:r>
      <w:r w:rsidRPr="00A33BAA">
        <w:rPr>
          <w:rFonts w:hint="cs"/>
          <w:b/>
          <w:bCs/>
          <w:rtl/>
        </w:rPr>
        <w:t xml:space="preserve">הראשי. </w:t>
      </w:r>
    </w:p>
    <w:p w14:paraId="1631715D" w14:textId="77777777" w:rsidR="0035722F" w:rsidRPr="00A33BAA" w:rsidRDefault="0035722F">
      <w:pPr>
        <w:spacing w:line="360" w:lineRule="auto"/>
        <w:jc w:val="both"/>
        <w:rPr>
          <w:b/>
          <w:bCs/>
          <w:sz w:val="28"/>
          <w:szCs w:val="28"/>
          <w:rtl/>
        </w:rPr>
      </w:pPr>
    </w:p>
    <w:p w14:paraId="01D6A780" w14:textId="77777777" w:rsidR="0035722F" w:rsidRPr="00A33BAA" w:rsidRDefault="00A33BAA">
      <w:pPr>
        <w:spacing w:line="360" w:lineRule="auto"/>
        <w:jc w:val="both"/>
        <w:rPr>
          <w:b/>
          <w:bCs/>
          <w:sz w:val="28"/>
          <w:szCs w:val="28"/>
          <w:rtl/>
        </w:rPr>
      </w:pPr>
      <w:r w:rsidRPr="00A33BAA">
        <w:rPr>
          <w:rFonts w:hint="cs"/>
          <w:b/>
          <w:bCs/>
          <w:sz w:val="28"/>
          <w:szCs w:val="28"/>
          <w:rtl/>
        </w:rPr>
        <w:t>התיקים המצורפים</w:t>
      </w:r>
    </w:p>
    <w:p w14:paraId="22E47B25" w14:textId="77777777" w:rsidR="0035722F" w:rsidRPr="00A33BAA" w:rsidRDefault="0035722F">
      <w:pPr>
        <w:spacing w:line="360" w:lineRule="auto"/>
        <w:jc w:val="both"/>
        <w:rPr>
          <w:rtl/>
        </w:rPr>
      </w:pPr>
    </w:p>
    <w:p w14:paraId="32550346" w14:textId="77777777" w:rsidR="0035722F" w:rsidRPr="00A33BAA" w:rsidRDefault="00A33BAA">
      <w:pPr>
        <w:spacing w:line="360" w:lineRule="auto"/>
        <w:jc w:val="both"/>
        <w:rPr>
          <w:rtl/>
        </w:rPr>
      </w:pPr>
      <w:r w:rsidRPr="00A33BAA">
        <w:rPr>
          <w:rFonts w:hint="cs"/>
          <w:rtl/>
        </w:rPr>
        <w:t>3.</w:t>
      </w:r>
      <w:r w:rsidRPr="00A33BAA">
        <w:rPr>
          <w:rFonts w:hint="cs"/>
          <w:rtl/>
        </w:rPr>
        <w:tab/>
        <w:t xml:space="preserve">הנאשם צירף חמישה תיקים לתיק הראשי לפי הפירוט שלהלן: </w:t>
      </w:r>
    </w:p>
    <w:p w14:paraId="026B7431" w14:textId="77777777" w:rsidR="0035722F" w:rsidRPr="00A33BAA" w:rsidRDefault="0035722F">
      <w:pPr>
        <w:spacing w:line="360" w:lineRule="auto"/>
        <w:jc w:val="both"/>
        <w:rPr>
          <w:rtl/>
        </w:rPr>
      </w:pPr>
    </w:p>
    <w:bookmarkEnd w:id="0"/>
    <w:p w14:paraId="6F553485" w14:textId="77777777" w:rsidR="0035722F" w:rsidRDefault="00A33BAA">
      <w:pPr>
        <w:spacing w:line="360" w:lineRule="auto"/>
        <w:ind w:left="1440" w:hanging="720"/>
        <w:jc w:val="both"/>
        <w:rPr>
          <w:rtl/>
        </w:rPr>
      </w:pPr>
      <w:r>
        <w:rPr>
          <w:rFonts w:hint="cs"/>
          <w:rtl/>
        </w:rPr>
        <w:t>א.</w:t>
      </w:r>
      <w:r>
        <w:rPr>
          <w:rtl/>
        </w:rPr>
        <w:tab/>
      </w:r>
      <w:hyperlink r:id="rId30" w:history="1">
        <w:r w:rsidRPr="00A33BAA">
          <w:rPr>
            <w:color w:val="0000FF"/>
            <w:u w:val="single"/>
            <w:rtl/>
          </w:rPr>
          <w:t>ת"פ 4242/06</w:t>
        </w:r>
      </w:hyperlink>
      <w:r>
        <w:rPr>
          <w:rFonts w:hint="cs"/>
          <w:u w:val="single"/>
          <w:rtl/>
        </w:rPr>
        <w:t xml:space="preserve"> של בית המשפט השלום ברמלה</w:t>
      </w:r>
      <w:r>
        <w:rPr>
          <w:rFonts w:hint="cs"/>
          <w:rtl/>
        </w:rPr>
        <w:t xml:space="preserve">. בתיק זה הנאשם הורשע בביצוע עבירה של סחר בסם מסוכן לפי </w:t>
      </w:r>
      <w:hyperlink r:id="rId31" w:history="1">
        <w:r w:rsidR="00425AA6" w:rsidRPr="00425AA6">
          <w:rPr>
            <w:color w:val="0000FF"/>
            <w:u w:val="single"/>
            <w:rtl/>
          </w:rPr>
          <w:t>סעיפים 31</w:t>
        </w:r>
      </w:hyperlink>
      <w:r>
        <w:rPr>
          <w:rFonts w:hint="cs"/>
          <w:rtl/>
        </w:rPr>
        <w:t xml:space="preserve"> ל</w:t>
      </w:r>
      <w:hyperlink r:id="rId32" w:history="1">
        <w:r w:rsidRPr="00A33BAA">
          <w:rPr>
            <w:color w:val="0000FF"/>
            <w:u w:val="single"/>
            <w:rtl/>
          </w:rPr>
          <w:t>חוק העונשין</w:t>
        </w:r>
      </w:hyperlink>
      <w:r>
        <w:rPr>
          <w:rFonts w:hint="cs"/>
          <w:rtl/>
        </w:rPr>
        <w:t xml:space="preserve"> </w:t>
      </w:r>
      <w:hyperlink r:id="rId33" w:history="1">
        <w:r w:rsidR="00425AA6" w:rsidRPr="00425AA6">
          <w:rPr>
            <w:color w:val="0000FF"/>
            <w:u w:val="single"/>
            <w:rtl/>
          </w:rPr>
          <w:t>וסעיף 13</w:t>
        </w:r>
      </w:hyperlink>
      <w:r>
        <w:rPr>
          <w:rFonts w:hint="cs"/>
          <w:rtl/>
        </w:rPr>
        <w:t xml:space="preserve"> ל</w:t>
      </w:r>
      <w:hyperlink r:id="rId34" w:history="1">
        <w:r w:rsidRPr="00A33BAA">
          <w:rPr>
            <w:color w:val="0000FF"/>
            <w:u w:val="single"/>
            <w:rtl/>
          </w:rPr>
          <w:t>פקודת הסמים המסוכנים</w:t>
        </w:r>
      </w:hyperlink>
      <w:r>
        <w:rPr>
          <w:rFonts w:hint="cs"/>
          <w:rtl/>
        </w:rPr>
        <w:t xml:space="preserve"> [נוסח חדש] תשל"ג </w:t>
      </w:r>
      <w:r>
        <w:rPr>
          <w:rtl/>
        </w:rPr>
        <w:t>–</w:t>
      </w:r>
      <w:r>
        <w:rPr>
          <w:rFonts w:hint="cs"/>
          <w:rtl/>
        </w:rPr>
        <w:t xml:space="preserve"> 1973. על פי עובדות כתב האישום ביום 27.11.06 בתחנה לממכר סמים בתחומי העיר לוד (להלן: התחנה) סחר הנאשם ביחד עם אחר בסם מסוכן מסוג חשיש במשקל 3.29 גרם נטו בכך שכאשר הגיע לתחנה אדם מסוים על מנת לרכוש סמים (להלן: </w:t>
      </w:r>
      <w:r>
        <w:rPr>
          <w:rFonts w:hint="cs"/>
          <w:b/>
          <w:bCs/>
          <w:rtl/>
        </w:rPr>
        <w:t>הלקוח</w:t>
      </w:r>
      <w:r>
        <w:rPr>
          <w:rFonts w:hint="cs"/>
          <w:rtl/>
        </w:rPr>
        <w:t xml:space="preserve">) הנאשם מסר ללקוח את הסמים בתמורה לסך של 100 ₪ שקיבל מידיו, וזאת  על פי הוראתו של בעל התחנה  (להלן: </w:t>
      </w:r>
      <w:r>
        <w:rPr>
          <w:rFonts w:hint="cs"/>
          <w:b/>
          <w:bCs/>
          <w:rtl/>
        </w:rPr>
        <w:t>תיק צירוף 1</w:t>
      </w:r>
      <w:r>
        <w:rPr>
          <w:rFonts w:hint="cs"/>
          <w:rtl/>
        </w:rPr>
        <w:t>).</w:t>
      </w:r>
    </w:p>
    <w:p w14:paraId="32CCBF6A" w14:textId="77777777" w:rsidR="0035722F" w:rsidRDefault="0035722F">
      <w:pPr>
        <w:spacing w:line="360" w:lineRule="auto"/>
        <w:ind w:left="1440" w:hanging="720"/>
        <w:jc w:val="both"/>
        <w:rPr>
          <w:rtl/>
        </w:rPr>
      </w:pPr>
    </w:p>
    <w:p w14:paraId="73D8220B" w14:textId="77777777" w:rsidR="0035722F" w:rsidRDefault="00A33BAA">
      <w:pPr>
        <w:spacing w:line="360" w:lineRule="auto"/>
        <w:ind w:left="1440" w:hanging="720"/>
        <w:jc w:val="both"/>
        <w:rPr>
          <w:rtl/>
        </w:rPr>
      </w:pPr>
      <w:r>
        <w:rPr>
          <w:rFonts w:hint="cs"/>
          <w:rtl/>
        </w:rPr>
        <w:lastRenderedPageBreak/>
        <w:t xml:space="preserve">ב. </w:t>
      </w:r>
      <w:r>
        <w:rPr>
          <w:rFonts w:hint="cs"/>
          <w:rtl/>
        </w:rPr>
        <w:tab/>
      </w:r>
      <w:hyperlink r:id="rId35" w:history="1">
        <w:r w:rsidRPr="00A33BAA">
          <w:rPr>
            <w:color w:val="0000FF"/>
            <w:u w:val="single"/>
            <w:rtl/>
          </w:rPr>
          <w:t>ת"פ 9000/08</w:t>
        </w:r>
      </w:hyperlink>
      <w:r>
        <w:rPr>
          <w:rFonts w:hint="cs"/>
          <w:u w:val="single"/>
          <w:rtl/>
        </w:rPr>
        <w:t xml:space="preserve"> של בית המשפט השלום בתל אביב.</w:t>
      </w:r>
      <w:r>
        <w:rPr>
          <w:rFonts w:hint="cs"/>
          <w:rtl/>
        </w:rPr>
        <w:t xml:space="preserve"> במקרה זה הנאשם הורשע בביצוע עבירה של גניבה לפי </w:t>
      </w:r>
      <w:hyperlink r:id="rId36" w:history="1">
        <w:r w:rsidR="00425AA6" w:rsidRPr="00425AA6">
          <w:rPr>
            <w:color w:val="0000FF"/>
            <w:u w:val="single"/>
            <w:rtl/>
          </w:rPr>
          <w:t>סעיף 384</w:t>
        </w:r>
      </w:hyperlink>
      <w:r>
        <w:rPr>
          <w:rFonts w:hint="cs"/>
          <w:rtl/>
        </w:rPr>
        <w:t xml:space="preserve"> ל</w:t>
      </w:r>
      <w:hyperlink r:id="rId37" w:history="1">
        <w:r w:rsidRPr="00A33BAA">
          <w:rPr>
            <w:color w:val="0000FF"/>
            <w:u w:val="single"/>
            <w:rtl/>
          </w:rPr>
          <w:t>חוק העונשין</w:t>
        </w:r>
      </w:hyperlink>
      <w:r>
        <w:rPr>
          <w:rFonts w:hint="cs"/>
          <w:rtl/>
        </w:rPr>
        <w:t xml:space="preserve">. על פי עובדות כתב האישום, ביום 27.2.08 הנאשם גנב מתוך חנות שני זוגות משקפי שמש בשווי כולל של 1,098 ₪ בכך שנטלם מהמדף והחביאם במכנסיו ויצא עימם מהחנות (להלן: </w:t>
      </w:r>
      <w:r>
        <w:rPr>
          <w:rFonts w:hint="cs"/>
          <w:b/>
          <w:bCs/>
          <w:rtl/>
        </w:rPr>
        <w:t>תיק צירוף 2</w:t>
      </w:r>
      <w:r>
        <w:rPr>
          <w:rFonts w:hint="cs"/>
          <w:rtl/>
        </w:rPr>
        <w:t>).</w:t>
      </w:r>
    </w:p>
    <w:p w14:paraId="459EE659" w14:textId="77777777" w:rsidR="0035722F" w:rsidRDefault="0035722F">
      <w:pPr>
        <w:spacing w:line="360" w:lineRule="auto"/>
        <w:ind w:left="1440" w:hanging="720"/>
        <w:jc w:val="both"/>
        <w:rPr>
          <w:rtl/>
        </w:rPr>
      </w:pPr>
    </w:p>
    <w:p w14:paraId="7BF7C2F7" w14:textId="77777777" w:rsidR="0035722F" w:rsidRDefault="00A33BAA">
      <w:pPr>
        <w:spacing w:line="360" w:lineRule="auto"/>
        <w:ind w:left="1440" w:hanging="720"/>
        <w:jc w:val="both"/>
        <w:rPr>
          <w:rtl/>
        </w:rPr>
      </w:pPr>
      <w:r>
        <w:rPr>
          <w:rFonts w:hint="cs"/>
          <w:rtl/>
        </w:rPr>
        <w:t>ג.</w:t>
      </w:r>
      <w:r>
        <w:rPr>
          <w:rFonts w:hint="cs"/>
          <w:rtl/>
        </w:rPr>
        <w:tab/>
      </w:r>
      <w:hyperlink r:id="rId38" w:history="1">
        <w:r w:rsidR="009E4212" w:rsidRPr="009E4212">
          <w:rPr>
            <w:rStyle w:val="Hyperlink"/>
            <w:rFonts w:hint="eastAsia"/>
            <w:rtl/>
          </w:rPr>
          <w:t>ת</w:t>
        </w:r>
        <w:r w:rsidR="009E4212" w:rsidRPr="009E4212">
          <w:rPr>
            <w:rStyle w:val="Hyperlink"/>
            <w:rtl/>
          </w:rPr>
          <w:t xml:space="preserve">"פ 2274/08 </w:t>
        </w:r>
      </w:hyperlink>
      <w:r>
        <w:rPr>
          <w:rFonts w:hint="cs"/>
          <w:u w:val="single"/>
          <w:rtl/>
        </w:rPr>
        <w:t xml:space="preserve"> של בית משפט השלום ברמלה ואשר כולל שני אישומים.</w:t>
      </w:r>
      <w:r>
        <w:rPr>
          <w:rFonts w:hint="cs"/>
          <w:rtl/>
        </w:rPr>
        <w:t xml:space="preserve"> באישום הראשון הנאשם הורשע בעבירות של תקיפה לפי </w:t>
      </w:r>
      <w:hyperlink r:id="rId39" w:history="1">
        <w:r w:rsidR="00425AA6" w:rsidRPr="00425AA6">
          <w:rPr>
            <w:color w:val="0000FF"/>
            <w:u w:val="single"/>
            <w:rtl/>
          </w:rPr>
          <w:t>סעיף 379</w:t>
        </w:r>
      </w:hyperlink>
      <w:r>
        <w:rPr>
          <w:rFonts w:hint="cs"/>
          <w:rtl/>
        </w:rPr>
        <w:t xml:space="preserve"> ל</w:t>
      </w:r>
      <w:hyperlink r:id="rId40" w:history="1">
        <w:r w:rsidRPr="00A33BAA">
          <w:rPr>
            <w:color w:val="0000FF"/>
            <w:u w:val="single"/>
            <w:rtl/>
          </w:rPr>
          <w:t>חוק העונשין</w:t>
        </w:r>
      </w:hyperlink>
      <w:r>
        <w:rPr>
          <w:rFonts w:hint="cs"/>
          <w:rtl/>
        </w:rPr>
        <w:t xml:space="preserve"> ואיומים לפי </w:t>
      </w:r>
      <w:hyperlink r:id="rId41" w:history="1">
        <w:r w:rsidR="00425AA6" w:rsidRPr="00425AA6">
          <w:rPr>
            <w:color w:val="0000FF"/>
            <w:u w:val="single"/>
            <w:rtl/>
          </w:rPr>
          <w:t>סעיף 192</w:t>
        </w:r>
      </w:hyperlink>
      <w:r>
        <w:rPr>
          <w:rFonts w:hint="cs"/>
          <w:rtl/>
        </w:rPr>
        <w:t xml:space="preserve"> לחוק העונשין. על פי האישום הראשון הנאשם תקף את המתלונן בכך שמשך עגיל שהיה באוזנו וכן איים עליו באומרו "אם אתה לא מוריד את העגיל, אז אני הורג אותך, מזיין אותך במכות". בעקבות האיומים הוריד המתלונן את העגיל מאוזנו ומסר אותו לנאשם. באישום השני הנאשם הורשע בביצוע עבירות של איומים לפי </w:t>
      </w:r>
      <w:hyperlink r:id="rId42" w:history="1">
        <w:r w:rsidR="00425AA6" w:rsidRPr="00425AA6">
          <w:rPr>
            <w:color w:val="0000FF"/>
            <w:u w:val="single"/>
            <w:rtl/>
          </w:rPr>
          <w:t>סעיף 192</w:t>
        </w:r>
      </w:hyperlink>
      <w:r>
        <w:rPr>
          <w:rFonts w:hint="cs"/>
          <w:rtl/>
        </w:rPr>
        <w:t xml:space="preserve"> ל</w:t>
      </w:r>
      <w:hyperlink r:id="rId43" w:history="1">
        <w:r w:rsidRPr="00A33BAA">
          <w:rPr>
            <w:color w:val="0000FF"/>
            <w:u w:val="single"/>
            <w:rtl/>
          </w:rPr>
          <w:t>חוק העונשין</w:t>
        </w:r>
      </w:hyperlink>
      <w:r>
        <w:rPr>
          <w:rFonts w:hint="cs"/>
          <w:rtl/>
        </w:rPr>
        <w:t xml:space="preserve">, תקיפה לפי </w:t>
      </w:r>
      <w:hyperlink r:id="rId44" w:history="1">
        <w:r w:rsidR="00425AA6" w:rsidRPr="00425AA6">
          <w:rPr>
            <w:color w:val="0000FF"/>
            <w:u w:val="single"/>
            <w:rtl/>
          </w:rPr>
          <w:t>סעיף 379</w:t>
        </w:r>
      </w:hyperlink>
      <w:r>
        <w:rPr>
          <w:rFonts w:hint="cs"/>
          <w:rtl/>
        </w:rPr>
        <w:t xml:space="preserve"> לחוק העונשין, תקיפה בנסיבות מחמירות לפי </w:t>
      </w:r>
      <w:hyperlink r:id="rId45" w:history="1">
        <w:r w:rsidR="00425AA6" w:rsidRPr="00425AA6">
          <w:rPr>
            <w:color w:val="0000FF"/>
            <w:u w:val="single"/>
            <w:rtl/>
          </w:rPr>
          <w:t>סעיף 379</w:t>
        </w:r>
      </w:hyperlink>
      <w:r>
        <w:rPr>
          <w:rFonts w:hint="cs"/>
          <w:rtl/>
        </w:rPr>
        <w:t xml:space="preserve"> ו- </w:t>
      </w:r>
      <w:hyperlink r:id="rId46" w:history="1">
        <w:r w:rsidR="00425AA6" w:rsidRPr="00425AA6">
          <w:rPr>
            <w:color w:val="0000FF"/>
            <w:u w:val="single"/>
            <w:rtl/>
          </w:rPr>
          <w:t xml:space="preserve">382(א) </w:t>
        </w:r>
      </w:hyperlink>
      <w:r>
        <w:rPr>
          <w:rFonts w:hint="cs"/>
          <w:rtl/>
        </w:rPr>
        <w:t xml:space="preserve">  לחוק העונשין וכן תקיפה כדי לגנוב לפי </w:t>
      </w:r>
      <w:hyperlink r:id="rId47" w:history="1">
        <w:r w:rsidR="00425AA6" w:rsidRPr="00425AA6">
          <w:rPr>
            <w:color w:val="0000FF"/>
            <w:u w:val="single"/>
            <w:rtl/>
          </w:rPr>
          <w:t>סעיף 381(א)(2)</w:t>
        </w:r>
      </w:hyperlink>
      <w:r>
        <w:rPr>
          <w:rFonts w:hint="cs"/>
          <w:rtl/>
        </w:rPr>
        <w:t xml:space="preserve"> לחוק העונשין. במקרה זה הנאשם יחד עם שני קטינים נוספים תקפו את המתלונן שבאישום הראשון באותו היום בהזדמנות אחרת בכך שהיכו אותו בסטירות ובעיטות וזאת בכוונה לגנוב את הטלפון הנייד שהיה ברשותו (להלן: </w:t>
      </w:r>
      <w:r>
        <w:rPr>
          <w:rFonts w:hint="cs"/>
          <w:b/>
          <w:bCs/>
          <w:rtl/>
        </w:rPr>
        <w:t>תיק צירוף 3</w:t>
      </w:r>
      <w:r>
        <w:rPr>
          <w:rFonts w:hint="cs"/>
          <w:rtl/>
        </w:rPr>
        <w:t>).</w:t>
      </w:r>
    </w:p>
    <w:p w14:paraId="6AFF6761" w14:textId="77777777" w:rsidR="0035722F" w:rsidRDefault="0035722F">
      <w:pPr>
        <w:spacing w:line="360" w:lineRule="auto"/>
        <w:ind w:left="1440" w:hanging="720"/>
        <w:jc w:val="both"/>
        <w:rPr>
          <w:rtl/>
        </w:rPr>
      </w:pPr>
    </w:p>
    <w:p w14:paraId="632DD292" w14:textId="77777777" w:rsidR="0035722F" w:rsidRDefault="00A33BAA">
      <w:pPr>
        <w:spacing w:line="360" w:lineRule="auto"/>
        <w:ind w:left="1440" w:hanging="720"/>
        <w:jc w:val="both"/>
        <w:rPr>
          <w:rtl/>
        </w:rPr>
      </w:pPr>
      <w:r>
        <w:rPr>
          <w:rFonts w:hint="cs"/>
          <w:rtl/>
        </w:rPr>
        <w:t xml:space="preserve">ד. </w:t>
      </w:r>
      <w:r>
        <w:rPr>
          <w:rFonts w:hint="cs"/>
          <w:rtl/>
        </w:rPr>
        <w:tab/>
      </w:r>
      <w:r>
        <w:rPr>
          <w:rFonts w:hint="cs"/>
          <w:u w:val="single"/>
          <w:rtl/>
        </w:rPr>
        <w:t>ת"פ 16767-11-12 של בית המשפט השלום בתל אביב</w:t>
      </w:r>
      <w:r>
        <w:rPr>
          <w:rFonts w:hint="cs"/>
          <w:rtl/>
        </w:rPr>
        <w:t xml:space="preserve">. במקרה זה הנאשם הורשע בביצוע עבירה של שימוש ברכב ללא רשות לפי </w:t>
      </w:r>
      <w:hyperlink r:id="rId48" w:history="1">
        <w:r w:rsidR="00425AA6" w:rsidRPr="00425AA6">
          <w:rPr>
            <w:color w:val="0000FF"/>
            <w:u w:val="single"/>
            <w:rtl/>
          </w:rPr>
          <w:t>סעיף 413ג</w:t>
        </w:r>
      </w:hyperlink>
      <w:r>
        <w:rPr>
          <w:rFonts w:hint="cs"/>
          <w:rtl/>
        </w:rPr>
        <w:t xml:space="preserve"> ל</w:t>
      </w:r>
      <w:hyperlink r:id="rId49" w:history="1">
        <w:r w:rsidRPr="00A33BAA">
          <w:rPr>
            <w:color w:val="0000FF"/>
            <w:u w:val="single"/>
            <w:rtl/>
          </w:rPr>
          <w:t>חוק העונשין</w:t>
        </w:r>
      </w:hyperlink>
      <w:r>
        <w:rPr>
          <w:rFonts w:hint="cs"/>
          <w:rtl/>
        </w:rPr>
        <w:t xml:space="preserve">. על פי עובדות כתב האישום ביום 13.5.11 בשעה 03.35 הנאשם יחד עם אחר העבירו ממקום למקום קטנוע ללא רשות בעליו. הנאשם והאחר נראו על ידי שוטרים גוררים את הקטנוע ונעצרו על ידם. (להלן: </w:t>
      </w:r>
      <w:r>
        <w:rPr>
          <w:rFonts w:hint="cs"/>
          <w:b/>
          <w:bCs/>
          <w:rtl/>
        </w:rPr>
        <w:t>תיק צירוף 4</w:t>
      </w:r>
      <w:r>
        <w:rPr>
          <w:rFonts w:hint="cs"/>
          <w:rtl/>
        </w:rPr>
        <w:t>).</w:t>
      </w:r>
    </w:p>
    <w:p w14:paraId="6FF41F40" w14:textId="77777777" w:rsidR="0035722F" w:rsidRDefault="0035722F">
      <w:pPr>
        <w:spacing w:line="360" w:lineRule="auto"/>
        <w:ind w:left="1440" w:hanging="720"/>
        <w:jc w:val="both"/>
        <w:rPr>
          <w:rtl/>
        </w:rPr>
      </w:pPr>
    </w:p>
    <w:p w14:paraId="035FCFE4" w14:textId="77777777" w:rsidR="0035722F" w:rsidRDefault="00A33BAA">
      <w:pPr>
        <w:spacing w:line="360" w:lineRule="auto"/>
        <w:ind w:left="1440" w:hanging="720"/>
        <w:jc w:val="both"/>
        <w:rPr>
          <w:rtl/>
        </w:rPr>
      </w:pPr>
      <w:r>
        <w:rPr>
          <w:rFonts w:hint="cs"/>
          <w:rtl/>
        </w:rPr>
        <w:t>ה.</w:t>
      </w:r>
      <w:r>
        <w:rPr>
          <w:rFonts w:hint="cs"/>
          <w:rtl/>
        </w:rPr>
        <w:tab/>
      </w:r>
      <w:hyperlink r:id="rId50" w:history="1">
        <w:r w:rsidRPr="00A33BAA">
          <w:rPr>
            <w:color w:val="0000FF"/>
            <w:u w:val="single"/>
            <w:rtl/>
          </w:rPr>
          <w:t>ת"פ 24153-07-13</w:t>
        </w:r>
      </w:hyperlink>
      <w:r>
        <w:rPr>
          <w:rFonts w:hint="cs"/>
          <w:u w:val="single"/>
          <w:rtl/>
        </w:rPr>
        <w:t xml:space="preserve"> של בית המשפט השלום ברמלה</w:t>
      </w:r>
      <w:r>
        <w:rPr>
          <w:rFonts w:hint="cs"/>
          <w:rtl/>
        </w:rPr>
        <w:t xml:space="preserve">. בתיק זה הנאשם הורשע בביצוע עבירות של תקיפת שוטר לפי </w:t>
      </w:r>
      <w:hyperlink r:id="rId51" w:history="1">
        <w:r w:rsidR="00425AA6" w:rsidRPr="00425AA6">
          <w:rPr>
            <w:color w:val="0000FF"/>
            <w:u w:val="single"/>
            <w:rtl/>
          </w:rPr>
          <w:t>סעיף 273</w:t>
        </w:r>
      </w:hyperlink>
      <w:r>
        <w:rPr>
          <w:rFonts w:hint="cs"/>
          <w:rtl/>
        </w:rPr>
        <w:t xml:space="preserve"> ל</w:t>
      </w:r>
      <w:hyperlink r:id="rId52" w:history="1">
        <w:r w:rsidRPr="00A33BAA">
          <w:rPr>
            <w:color w:val="0000FF"/>
            <w:u w:val="single"/>
            <w:rtl/>
          </w:rPr>
          <w:t>חוק העונשין</w:t>
        </w:r>
      </w:hyperlink>
      <w:r>
        <w:rPr>
          <w:rFonts w:hint="cs"/>
          <w:rtl/>
        </w:rPr>
        <w:t xml:space="preserve"> וכן תקיפת עובד ציבור לפי </w:t>
      </w:r>
      <w:hyperlink r:id="rId53" w:history="1">
        <w:r w:rsidR="00425AA6" w:rsidRPr="00425AA6">
          <w:rPr>
            <w:color w:val="0000FF"/>
            <w:u w:val="single"/>
            <w:rtl/>
          </w:rPr>
          <w:t>סעיף 382א(א)</w:t>
        </w:r>
      </w:hyperlink>
      <w:r>
        <w:rPr>
          <w:rFonts w:hint="cs"/>
          <w:rtl/>
        </w:rPr>
        <w:t xml:space="preserve"> לחוק העונשין. על פי עובדות כתב האישום ביום 1.12.12 ביצעו שוטרי סיור שגרתי בגן ציבורי בתחומי העיר לוד. הנאשם שהה במקום יחד עם אחר והחזיק בידיו כוס ובה משקה אלכוהולי. אחד השוטרים הודיע לנאשם כי חל איסור על שתיית משקה אלכוהולי באותו מקום ובאותה שעה ובתגובה הנאשם תקף את השוטר בכך שדחף אותו בכתפו. בנוסף הנאשם תקף פקח עירוני שהיה במקום בכך שדחפו בחזהו. (להלן: </w:t>
      </w:r>
      <w:r>
        <w:rPr>
          <w:rFonts w:hint="cs"/>
          <w:b/>
          <w:bCs/>
          <w:rtl/>
        </w:rPr>
        <w:t>תיק צירוף 5</w:t>
      </w:r>
      <w:r>
        <w:rPr>
          <w:rFonts w:hint="cs"/>
          <w:rtl/>
        </w:rPr>
        <w:t xml:space="preserve">). </w:t>
      </w:r>
    </w:p>
    <w:p w14:paraId="0DB71833" w14:textId="77777777" w:rsidR="0035722F" w:rsidRDefault="0035722F">
      <w:pPr>
        <w:spacing w:line="360" w:lineRule="auto"/>
        <w:ind w:left="720" w:hanging="720"/>
        <w:jc w:val="both"/>
        <w:rPr>
          <w:rtl/>
        </w:rPr>
      </w:pPr>
    </w:p>
    <w:p w14:paraId="4428231C" w14:textId="77777777" w:rsidR="0035722F" w:rsidRDefault="00A33BAA">
      <w:pPr>
        <w:spacing w:line="360" w:lineRule="auto"/>
        <w:ind w:left="720" w:hanging="720"/>
        <w:jc w:val="both"/>
        <w:rPr>
          <w:b/>
          <w:bCs/>
          <w:sz w:val="28"/>
          <w:szCs w:val="28"/>
          <w:u w:val="single"/>
          <w:rtl/>
        </w:rPr>
      </w:pPr>
      <w:r>
        <w:rPr>
          <w:rFonts w:hint="cs"/>
          <w:b/>
          <w:bCs/>
          <w:sz w:val="28"/>
          <w:szCs w:val="28"/>
          <w:u w:val="single"/>
          <w:rtl/>
        </w:rPr>
        <w:t>טענות הצדדים</w:t>
      </w:r>
    </w:p>
    <w:p w14:paraId="52D7C70E" w14:textId="77777777" w:rsidR="0035722F" w:rsidRDefault="0035722F">
      <w:pPr>
        <w:spacing w:line="360" w:lineRule="auto"/>
        <w:ind w:left="720" w:hanging="720"/>
        <w:jc w:val="both"/>
        <w:rPr>
          <w:rtl/>
        </w:rPr>
      </w:pPr>
    </w:p>
    <w:p w14:paraId="3AFC54C7" w14:textId="77777777" w:rsidR="0035722F" w:rsidRDefault="00A33BAA">
      <w:pPr>
        <w:spacing w:line="360" w:lineRule="auto"/>
        <w:ind w:left="720" w:hanging="720"/>
        <w:jc w:val="both"/>
        <w:rPr>
          <w:rtl/>
        </w:rPr>
      </w:pPr>
      <w:r>
        <w:rPr>
          <w:rFonts w:hint="cs"/>
          <w:rtl/>
        </w:rPr>
        <w:t>4.</w:t>
      </w:r>
      <w:r>
        <w:rPr>
          <w:rFonts w:hint="cs"/>
          <w:rtl/>
        </w:rPr>
        <w:tab/>
        <w:t xml:space="preserve">באת כוח המאשימה עמדה על החומרה הרבה שנובעת ממכלול העבירות שבוצעו על ידי הנאשם ואשר החומרה המצטברת של כל העבירות שבוצעו במסגרת כל התיקים שציינתי לעיל מחייבת הטלת עונש מאסר בפועל מאחורי סורג ובריח לתקופה ממושכת. באת כוח הנאשם הפנתה לתסקירי שירות המבחן שהתקבלו בעניינו, ואשר אעמוד עליהם בהמשך, ולפיהם יש להסתפק בהטלת צו מבחן ומאסר על תנאי. מן הראוי לציין שלנאשם אין עבר פלילי קודם. </w:t>
      </w:r>
    </w:p>
    <w:p w14:paraId="7D4D3752" w14:textId="77777777" w:rsidR="0035722F" w:rsidRDefault="0035722F">
      <w:pPr>
        <w:spacing w:line="360" w:lineRule="auto"/>
        <w:jc w:val="both"/>
        <w:rPr>
          <w:rtl/>
        </w:rPr>
      </w:pPr>
    </w:p>
    <w:p w14:paraId="16504D9C" w14:textId="77777777" w:rsidR="0035722F" w:rsidRDefault="0035722F">
      <w:pPr>
        <w:spacing w:line="360" w:lineRule="auto"/>
        <w:jc w:val="both"/>
        <w:rPr>
          <w:rtl/>
        </w:rPr>
      </w:pPr>
    </w:p>
    <w:p w14:paraId="21BE273A" w14:textId="77777777" w:rsidR="0035722F" w:rsidRDefault="00A33BAA">
      <w:pPr>
        <w:spacing w:line="360" w:lineRule="auto"/>
        <w:jc w:val="both"/>
        <w:rPr>
          <w:b/>
          <w:bCs/>
          <w:sz w:val="28"/>
          <w:szCs w:val="28"/>
          <w:u w:val="single"/>
          <w:rtl/>
        </w:rPr>
      </w:pPr>
      <w:r>
        <w:rPr>
          <w:rFonts w:hint="cs"/>
          <w:b/>
          <w:bCs/>
          <w:sz w:val="28"/>
          <w:szCs w:val="28"/>
          <w:u w:val="single"/>
          <w:rtl/>
        </w:rPr>
        <w:t xml:space="preserve">תסקירי שירות המבחן </w:t>
      </w:r>
    </w:p>
    <w:p w14:paraId="16F38F79" w14:textId="77777777" w:rsidR="0035722F" w:rsidRDefault="0035722F">
      <w:pPr>
        <w:spacing w:line="360" w:lineRule="auto"/>
        <w:jc w:val="both"/>
        <w:rPr>
          <w:rtl/>
        </w:rPr>
      </w:pPr>
    </w:p>
    <w:p w14:paraId="18D3DFAA" w14:textId="77777777" w:rsidR="0035722F" w:rsidRDefault="00A33BAA">
      <w:pPr>
        <w:spacing w:line="360" w:lineRule="auto"/>
        <w:ind w:left="720" w:hanging="720"/>
        <w:jc w:val="both"/>
        <w:rPr>
          <w:rtl/>
        </w:rPr>
      </w:pPr>
      <w:r>
        <w:rPr>
          <w:rFonts w:hint="cs"/>
          <w:rtl/>
        </w:rPr>
        <w:t>5.</w:t>
      </w:r>
      <w:r>
        <w:rPr>
          <w:rFonts w:hint="cs"/>
          <w:rtl/>
        </w:rPr>
        <w:tab/>
        <w:t xml:space="preserve">התקבלו 4 תסקירים מטעם שירות המבחן מיום 10.3.14, 2.7.14, 13.11.14 ו- 9.2.15 ואשר מהם עולה, בתמצית, התמונה הבאה: </w:t>
      </w:r>
    </w:p>
    <w:p w14:paraId="133833E8" w14:textId="77777777" w:rsidR="0035722F" w:rsidRDefault="0035722F">
      <w:pPr>
        <w:spacing w:line="360" w:lineRule="auto"/>
        <w:ind w:left="720" w:hanging="720"/>
        <w:jc w:val="both"/>
        <w:rPr>
          <w:rtl/>
        </w:rPr>
      </w:pPr>
    </w:p>
    <w:p w14:paraId="6E2C1921" w14:textId="77777777" w:rsidR="0035722F" w:rsidRDefault="00A33BAA">
      <w:pPr>
        <w:spacing w:line="360" w:lineRule="auto"/>
        <w:ind w:left="1440" w:hanging="720"/>
        <w:jc w:val="both"/>
        <w:rPr>
          <w:rtl/>
        </w:rPr>
      </w:pPr>
      <w:r>
        <w:rPr>
          <w:rFonts w:hint="cs"/>
          <w:rtl/>
        </w:rPr>
        <w:t>א.</w:t>
      </w:r>
      <w:r>
        <w:rPr>
          <w:rtl/>
        </w:rPr>
        <w:tab/>
      </w:r>
      <w:r>
        <w:rPr>
          <w:rFonts w:hint="cs"/>
          <w:rtl/>
        </w:rPr>
        <w:t xml:space="preserve">הנאשם החל לנהל אורח חיים שולי ועברייני מעת היותו נער ועד לתחילת שנות העשרים לחייו. </w:t>
      </w:r>
    </w:p>
    <w:p w14:paraId="2CCCFCA1" w14:textId="77777777" w:rsidR="0035722F" w:rsidRDefault="0035722F">
      <w:pPr>
        <w:spacing w:line="360" w:lineRule="auto"/>
        <w:ind w:left="1440" w:hanging="720"/>
        <w:jc w:val="both"/>
        <w:rPr>
          <w:rtl/>
        </w:rPr>
      </w:pPr>
    </w:p>
    <w:p w14:paraId="4F0466DB" w14:textId="77777777" w:rsidR="0035722F" w:rsidRDefault="00A33BAA">
      <w:pPr>
        <w:spacing w:line="360" w:lineRule="auto"/>
        <w:ind w:left="1440" w:hanging="720"/>
        <w:jc w:val="both"/>
        <w:rPr>
          <w:rtl/>
        </w:rPr>
      </w:pPr>
      <w:r>
        <w:rPr>
          <w:rFonts w:hint="cs"/>
          <w:rtl/>
        </w:rPr>
        <w:t>ב.</w:t>
      </w:r>
      <w:r>
        <w:rPr>
          <w:rFonts w:hint="cs"/>
          <w:rtl/>
        </w:rPr>
        <w:tab/>
        <w:t xml:space="preserve">הנאשם כיום בן 26 שנים והחל מגיל 18 לערך חלה התדרדרות במצבו שכללה התמכרות לסמים ולאלכוהול ואשר גרמה להוריו ואחיו לנתק קשר עמו ולסרב  להכניסו לתוך הבית של המשפחה. </w:t>
      </w:r>
    </w:p>
    <w:p w14:paraId="76EACC80" w14:textId="77777777" w:rsidR="0035722F" w:rsidRDefault="0035722F">
      <w:pPr>
        <w:spacing w:line="360" w:lineRule="auto"/>
        <w:ind w:left="1440" w:hanging="720"/>
        <w:jc w:val="both"/>
        <w:rPr>
          <w:rtl/>
        </w:rPr>
      </w:pPr>
    </w:p>
    <w:p w14:paraId="28B44EC0" w14:textId="77777777" w:rsidR="0035722F" w:rsidRDefault="00A33BAA">
      <w:pPr>
        <w:spacing w:line="360" w:lineRule="auto"/>
        <w:ind w:left="1440" w:hanging="720"/>
        <w:jc w:val="both"/>
        <w:rPr>
          <w:rtl/>
        </w:rPr>
      </w:pPr>
      <w:r>
        <w:rPr>
          <w:rFonts w:hint="cs"/>
          <w:rtl/>
        </w:rPr>
        <w:t xml:space="preserve">ג. </w:t>
      </w:r>
      <w:r>
        <w:rPr>
          <w:rFonts w:hint="cs"/>
          <w:rtl/>
        </w:rPr>
        <w:tab/>
        <w:t xml:space="preserve">בחודש יוני 2013 הנאשם השתלב בקהילה סגורה לצורך גמילה מאלכוהול וסמים. הנאשם שהה בקהילה למשך תשעה חודשים וסיים אותה בהצלחה. בנוסף, לאחר מכן השתלב בהוסטל לצורך הכנה לחזרת השתלבותו בקהילה. הנאשם שהה בהוסטל למשך  שישה חודשים וגם את תקופה זו סיים בהצלחה. </w:t>
      </w:r>
    </w:p>
    <w:p w14:paraId="283DE628" w14:textId="77777777" w:rsidR="0035722F" w:rsidRDefault="0035722F">
      <w:pPr>
        <w:spacing w:line="360" w:lineRule="auto"/>
        <w:ind w:left="1440" w:hanging="720"/>
        <w:jc w:val="both"/>
        <w:rPr>
          <w:rtl/>
        </w:rPr>
      </w:pPr>
    </w:p>
    <w:p w14:paraId="69B34E2B" w14:textId="77777777" w:rsidR="0035722F" w:rsidRDefault="00A33BAA">
      <w:pPr>
        <w:spacing w:line="360" w:lineRule="auto"/>
        <w:ind w:left="1440" w:hanging="720"/>
        <w:jc w:val="both"/>
        <w:rPr>
          <w:rtl/>
        </w:rPr>
      </w:pPr>
      <w:r>
        <w:rPr>
          <w:rFonts w:hint="cs"/>
          <w:rtl/>
        </w:rPr>
        <w:t>ד.</w:t>
      </w:r>
      <w:r>
        <w:rPr>
          <w:rFonts w:hint="cs"/>
          <w:rtl/>
        </w:rPr>
        <w:tab/>
        <w:t xml:space="preserve">הנאשם התנתק מהעולם העברייני ומנהל כיום אורח חיים נורמטיבי שכולל קשר זוגי וכן השתלבות במקום עבודה. הנאשם עובד לפרנסתו ומגלה תובנה להשלכות השליליות של השימוש בסמים ואלכוהול על תפקודו הכללי לרבות חשיבות הקשר עם בני משפחתו ושיקום היחסים עמם. </w:t>
      </w:r>
    </w:p>
    <w:p w14:paraId="1ECAA5F5" w14:textId="77777777" w:rsidR="0035722F" w:rsidRDefault="0035722F">
      <w:pPr>
        <w:spacing w:line="360" w:lineRule="auto"/>
        <w:ind w:left="1440" w:hanging="720"/>
        <w:jc w:val="both"/>
        <w:rPr>
          <w:rtl/>
        </w:rPr>
      </w:pPr>
    </w:p>
    <w:p w14:paraId="5F4D75C7" w14:textId="77777777" w:rsidR="0035722F" w:rsidRDefault="00A33BAA">
      <w:pPr>
        <w:spacing w:line="360" w:lineRule="auto"/>
        <w:ind w:left="1440" w:hanging="720"/>
        <w:jc w:val="both"/>
        <w:rPr>
          <w:rtl/>
        </w:rPr>
      </w:pPr>
      <w:r>
        <w:rPr>
          <w:rFonts w:hint="cs"/>
          <w:rtl/>
        </w:rPr>
        <w:t>ה.</w:t>
      </w:r>
      <w:r>
        <w:rPr>
          <w:rFonts w:hint="cs"/>
          <w:rtl/>
        </w:rPr>
        <w:tab/>
        <w:t xml:space="preserve">לאור כל האמור לעיל שירות המבחן ממליץ כיום לסיים את ההליך בתיק זה, לגבי מכלול התיקים, בענישה מרתיעה הצופה את פני העתיד והטלת צו מבחן. </w:t>
      </w:r>
    </w:p>
    <w:p w14:paraId="39AC41F6" w14:textId="77777777" w:rsidR="0035722F" w:rsidRDefault="0035722F">
      <w:pPr>
        <w:spacing w:line="360" w:lineRule="auto"/>
        <w:ind w:left="720" w:hanging="720"/>
        <w:jc w:val="both"/>
        <w:rPr>
          <w:rtl/>
        </w:rPr>
      </w:pPr>
    </w:p>
    <w:p w14:paraId="206B5F13" w14:textId="77777777" w:rsidR="0035722F" w:rsidRDefault="0035722F">
      <w:pPr>
        <w:spacing w:line="360" w:lineRule="auto"/>
        <w:ind w:left="720" w:hanging="720"/>
        <w:jc w:val="both"/>
        <w:rPr>
          <w:rtl/>
        </w:rPr>
      </w:pPr>
    </w:p>
    <w:p w14:paraId="522B142C" w14:textId="77777777" w:rsidR="0035722F" w:rsidRDefault="0035722F">
      <w:pPr>
        <w:spacing w:line="360" w:lineRule="auto"/>
        <w:ind w:left="720" w:hanging="720"/>
        <w:jc w:val="both"/>
        <w:rPr>
          <w:rtl/>
        </w:rPr>
      </w:pPr>
    </w:p>
    <w:p w14:paraId="59B1C5A2" w14:textId="77777777" w:rsidR="0035722F" w:rsidRDefault="0035722F">
      <w:pPr>
        <w:spacing w:line="360" w:lineRule="auto"/>
        <w:ind w:left="720" w:hanging="720"/>
        <w:jc w:val="both"/>
        <w:rPr>
          <w:rtl/>
        </w:rPr>
      </w:pPr>
    </w:p>
    <w:p w14:paraId="13F7B60A" w14:textId="77777777" w:rsidR="0035722F" w:rsidRDefault="00A33BAA">
      <w:pPr>
        <w:spacing w:line="360" w:lineRule="auto"/>
        <w:ind w:left="720" w:hanging="720"/>
        <w:jc w:val="both"/>
        <w:rPr>
          <w:b/>
          <w:bCs/>
          <w:sz w:val="28"/>
          <w:szCs w:val="28"/>
          <w:u w:val="single"/>
          <w:rtl/>
        </w:rPr>
      </w:pPr>
      <w:r>
        <w:rPr>
          <w:rFonts w:hint="cs"/>
          <w:b/>
          <w:bCs/>
          <w:sz w:val="28"/>
          <w:szCs w:val="28"/>
          <w:u w:val="single"/>
          <w:rtl/>
        </w:rPr>
        <w:t>מתחמי העונש ההולם</w:t>
      </w:r>
    </w:p>
    <w:p w14:paraId="210F5D79" w14:textId="77777777" w:rsidR="0035722F" w:rsidRDefault="0035722F">
      <w:pPr>
        <w:spacing w:line="360" w:lineRule="auto"/>
        <w:ind w:left="720" w:hanging="720"/>
        <w:jc w:val="both"/>
        <w:rPr>
          <w:rtl/>
        </w:rPr>
      </w:pPr>
    </w:p>
    <w:p w14:paraId="6581BB81" w14:textId="77777777" w:rsidR="0035722F" w:rsidRDefault="00A33BAA">
      <w:pPr>
        <w:spacing w:line="360" w:lineRule="auto"/>
        <w:ind w:left="720" w:hanging="720"/>
        <w:jc w:val="both"/>
        <w:rPr>
          <w:rtl/>
        </w:rPr>
      </w:pPr>
      <w:r>
        <w:rPr>
          <w:rFonts w:hint="cs"/>
          <w:rtl/>
        </w:rPr>
        <w:t>6.</w:t>
      </w:r>
      <w:r>
        <w:rPr>
          <w:rFonts w:hint="cs"/>
          <w:rtl/>
        </w:rPr>
        <w:tab/>
        <w:t xml:space="preserve">מקובלת עלי טענת המאשימה שמכלול התיקים בתיק זה מצדיקים הטלת מאסר מאחורי סורג ובריח ועוד לפרק זמן ממושך. כל אחד מהאישומים בכל אחד מהתיקים שאותם צירף הנאשם מהווה אירוע העומד בפני עצמו ואשר יש לקבוע לגביו מתחם עונש הולם נפרד.  לאחר קביעת מתחם העונש ההולם לכל אירוע יש לעשות שקלול של העונש הסופי המתאים בהתחשב בנסיבותיו האישיות של הנאשם וחומרת העבירות שביצע. עם זאת, לאור העובדה שממילא הנני סבור </w:t>
      </w:r>
      <w:r>
        <w:rPr>
          <w:rFonts w:hint="cs"/>
          <w:u w:val="single"/>
          <w:rtl/>
        </w:rPr>
        <w:t>שמטעמים של שיקום</w:t>
      </w:r>
      <w:r>
        <w:rPr>
          <w:rFonts w:hint="cs"/>
          <w:rtl/>
        </w:rPr>
        <w:t xml:space="preserve"> יש לסטות ממתחמי העונש ההולמים  ולא להשית על הנאשם עונש מאסר ויש להסתפק בהמלצות שירות המבחן, לא מצאתי צורך להגדיר את מתחמי העונש ההולם לגבי כל אירוע ואירוע.</w:t>
      </w:r>
    </w:p>
    <w:p w14:paraId="3D0327D1" w14:textId="77777777" w:rsidR="0035722F" w:rsidRDefault="0035722F">
      <w:pPr>
        <w:spacing w:line="360" w:lineRule="auto"/>
        <w:jc w:val="both"/>
        <w:rPr>
          <w:rtl/>
        </w:rPr>
      </w:pPr>
    </w:p>
    <w:p w14:paraId="3D1B629B" w14:textId="77777777" w:rsidR="0035722F" w:rsidRDefault="00A33BAA">
      <w:pPr>
        <w:spacing w:line="360" w:lineRule="auto"/>
        <w:jc w:val="both"/>
        <w:rPr>
          <w:b/>
          <w:bCs/>
          <w:sz w:val="28"/>
          <w:szCs w:val="28"/>
          <w:u w:val="single"/>
          <w:rtl/>
        </w:rPr>
      </w:pPr>
      <w:r>
        <w:rPr>
          <w:rFonts w:hint="cs"/>
          <w:b/>
          <w:bCs/>
          <w:sz w:val="28"/>
          <w:szCs w:val="28"/>
          <w:u w:val="single"/>
          <w:rtl/>
        </w:rPr>
        <w:t>סטייה ממתחמי העונש ההולם מטעמים של שיקום</w:t>
      </w:r>
    </w:p>
    <w:p w14:paraId="5EA29A71" w14:textId="77777777" w:rsidR="0035722F" w:rsidRDefault="0035722F">
      <w:pPr>
        <w:spacing w:line="360" w:lineRule="auto"/>
        <w:jc w:val="both"/>
        <w:rPr>
          <w:rtl/>
        </w:rPr>
      </w:pPr>
    </w:p>
    <w:p w14:paraId="1F0BBB7E" w14:textId="77777777" w:rsidR="0035722F" w:rsidRDefault="00A33BAA">
      <w:pPr>
        <w:spacing w:line="360" w:lineRule="auto"/>
        <w:ind w:left="720" w:hanging="720"/>
        <w:jc w:val="both"/>
        <w:rPr>
          <w:rtl/>
        </w:rPr>
      </w:pPr>
      <w:r>
        <w:rPr>
          <w:rFonts w:hint="cs"/>
          <w:rtl/>
        </w:rPr>
        <w:t>7.</w:t>
      </w:r>
      <w:r>
        <w:rPr>
          <w:rFonts w:hint="cs"/>
          <w:rtl/>
        </w:rPr>
        <w:tab/>
        <w:t xml:space="preserve">להלן נימוקיי לצורך סטייה ממתחם העונש ההולם מטעמים של שיקום ואימוץ המלצות שירות המבחן: </w:t>
      </w:r>
    </w:p>
    <w:p w14:paraId="20248D78" w14:textId="77777777" w:rsidR="0035722F" w:rsidRDefault="0035722F">
      <w:pPr>
        <w:spacing w:line="360" w:lineRule="auto"/>
        <w:ind w:left="720" w:hanging="720"/>
        <w:jc w:val="both"/>
        <w:rPr>
          <w:rtl/>
        </w:rPr>
      </w:pPr>
    </w:p>
    <w:p w14:paraId="3553ED04" w14:textId="77777777" w:rsidR="0035722F" w:rsidRDefault="00A33BAA">
      <w:pPr>
        <w:spacing w:line="360" w:lineRule="auto"/>
        <w:ind w:left="1440" w:hanging="720"/>
        <w:jc w:val="both"/>
        <w:rPr>
          <w:rtl/>
        </w:rPr>
      </w:pPr>
      <w:r>
        <w:rPr>
          <w:rFonts w:hint="cs"/>
          <w:rtl/>
        </w:rPr>
        <w:t>א.</w:t>
      </w:r>
      <w:r>
        <w:rPr>
          <w:rFonts w:hint="cs"/>
          <w:rtl/>
        </w:rPr>
        <w:tab/>
      </w:r>
      <w:r>
        <w:rPr>
          <w:rFonts w:hint="cs"/>
          <w:u w:val="single"/>
          <w:rtl/>
        </w:rPr>
        <w:t>בתיק הראשי</w:t>
      </w:r>
      <w:r>
        <w:rPr>
          <w:rFonts w:hint="cs"/>
          <w:rtl/>
        </w:rPr>
        <w:t xml:space="preserve"> מדובר בשני אישומים ואין ספק שיש לראות בחומרה רבה את התקיפה של הנאשם את אביו וגרימת חבלה בידו שהצריכה השמתה בגבס. יחד עם זאת, אביו של הנאשם העיד בפני במהלך הטיעונים לעונש והבהיר שמדובר באירועים ששייכים לתקופה שבה היה הנאשם מכור לסמים ואלכוהול וניהל אורח חיים עברייני. כיום יושרו ההדורים ביניהם והנאשם מקיים עם שני הוריו ואחיו קשר חיובי וקרוב. הנאשם הביע חרטה על מעשיו והאב מבקש לפתוח דף חדש ביחסים עם בנו והוא מוחל לו על חטאי העבר. בנוסף לכך, באת כוחו של הנאשם הבהירה במהלך הטיעונים לעונש שבמועד ביצוע העבירות נשוא התיק הראשי היה חורף והנאשם רצה לקבל ביגוד וציוד אישי מתוך בית הוריו והוא סולק על ידם, דבר שגרם לו לתסכול וכעסים שעקב בעיית ההתמכרות שממנה סבל ניתב אותם לכיוונים שליליים שהובילו לביצוע העבירות. </w:t>
      </w:r>
    </w:p>
    <w:p w14:paraId="6FB883AC" w14:textId="77777777" w:rsidR="0035722F" w:rsidRDefault="0035722F">
      <w:pPr>
        <w:spacing w:line="360" w:lineRule="auto"/>
        <w:ind w:left="1440" w:hanging="720"/>
        <w:jc w:val="both"/>
        <w:rPr>
          <w:rtl/>
        </w:rPr>
      </w:pPr>
    </w:p>
    <w:p w14:paraId="14A059CB" w14:textId="77777777" w:rsidR="0035722F" w:rsidRDefault="00A33BAA">
      <w:pPr>
        <w:spacing w:line="360" w:lineRule="auto"/>
        <w:ind w:left="1440" w:hanging="720"/>
        <w:jc w:val="both"/>
        <w:rPr>
          <w:rtl/>
        </w:rPr>
      </w:pPr>
      <w:r>
        <w:rPr>
          <w:rFonts w:hint="cs"/>
          <w:rtl/>
        </w:rPr>
        <w:t>ב.</w:t>
      </w:r>
      <w:r>
        <w:rPr>
          <w:rFonts w:hint="cs"/>
          <w:rtl/>
        </w:rPr>
        <w:tab/>
      </w:r>
      <w:r>
        <w:rPr>
          <w:rFonts w:hint="cs"/>
          <w:u w:val="single"/>
          <w:rtl/>
        </w:rPr>
        <w:t>תיק צירוף 1</w:t>
      </w:r>
      <w:r>
        <w:rPr>
          <w:rFonts w:hint="cs"/>
          <w:rtl/>
        </w:rPr>
        <w:t xml:space="preserve"> בוצע בשנת 2006 בעת שהנאשם היה בן 18 שנים, בהיותו בגיר צעיר. מאז חלפו למעלה מ- 8 שנים. תיק זה בוצע עם מידת אשם נמוכה מאחר שכפי שעולה בבירור מתוך עובדות כתב האישום הנאשם היה עושה דברו של אחר שהיה בעל התחנה לממכר סמים. כמו כן, באת כוח הנאשם הסבירה במהלך הטיעונים לעונש שבאותה עת הנאשם סולק מבית הוריו ומצא מחסה אצל אותו אדם וזאת תמורת פעילותו של הנאשם עבורו בתחום ממכר הסמים. </w:t>
      </w:r>
    </w:p>
    <w:p w14:paraId="66A18168" w14:textId="77777777" w:rsidR="0035722F" w:rsidRDefault="0035722F">
      <w:pPr>
        <w:spacing w:line="360" w:lineRule="auto"/>
        <w:ind w:left="1440" w:hanging="720"/>
        <w:jc w:val="both"/>
        <w:rPr>
          <w:rtl/>
        </w:rPr>
      </w:pPr>
    </w:p>
    <w:p w14:paraId="5CEE699E" w14:textId="77777777" w:rsidR="0035722F" w:rsidRDefault="00A33BAA">
      <w:pPr>
        <w:spacing w:line="360" w:lineRule="auto"/>
        <w:ind w:left="720"/>
        <w:jc w:val="both"/>
        <w:rPr>
          <w:rtl/>
        </w:rPr>
      </w:pPr>
      <w:r>
        <w:rPr>
          <w:rFonts w:hint="cs"/>
          <w:rtl/>
        </w:rPr>
        <w:t>ג.</w:t>
      </w:r>
      <w:r>
        <w:rPr>
          <w:rFonts w:hint="cs"/>
          <w:rtl/>
        </w:rPr>
        <w:tab/>
      </w:r>
      <w:r>
        <w:rPr>
          <w:rFonts w:hint="cs"/>
          <w:u w:val="single"/>
          <w:rtl/>
        </w:rPr>
        <w:t>תיקי צירוף 2 ו- 3</w:t>
      </w:r>
      <w:r>
        <w:rPr>
          <w:rFonts w:hint="cs"/>
          <w:rtl/>
        </w:rPr>
        <w:t xml:space="preserve">  עניינם עבירות שבוצעו לפני כ- 7 שנים ויש חשיבות לחלוף הזמן. </w:t>
      </w:r>
    </w:p>
    <w:p w14:paraId="4156AF62" w14:textId="77777777" w:rsidR="0035722F" w:rsidRDefault="0035722F">
      <w:pPr>
        <w:spacing w:line="360" w:lineRule="auto"/>
        <w:ind w:left="720"/>
        <w:jc w:val="both"/>
        <w:rPr>
          <w:rtl/>
        </w:rPr>
      </w:pPr>
    </w:p>
    <w:p w14:paraId="35932C67" w14:textId="77777777" w:rsidR="0035722F" w:rsidRDefault="00A33BAA">
      <w:pPr>
        <w:spacing w:line="360" w:lineRule="auto"/>
        <w:ind w:left="1440" w:hanging="720"/>
        <w:jc w:val="both"/>
        <w:rPr>
          <w:rtl/>
        </w:rPr>
      </w:pPr>
      <w:r>
        <w:rPr>
          <w:rFonts w:hint="cs"/>
          <w:rtl/>
        </w:rPr>
        <w:t>ד.</w:t>
      </w:r>
      <w:r>
        <w:rPr>
          <w:rFonts w:hint="cs"/>
          <w:rtl/>
        </w:rPr>
        <w:tab/>
      </w:r>
      <w:r>
        <w:rPr>
          <w:rFonts w:hint="cs"/>
          <w:u w:val="single"/>
          <w:rtl/>
        </w:rPr>
        <w:t>תיקי צירוף 4 ו- 5</w:t>
      </w:r>
      <w:r>
        <w:rPr>
          <w:rFonts w:hint="cs"/>
          <w:rtl/>
        </w:rPr>
        <w:t xml:space="preserve"> בוצעו בעת שהנאשם כבר הגיע לתחתית מדרון ההתדרדרות בחייו ואשר מיד לאחריהם השכיל להבין את חומרת מצבו והצורך להשתלב בקהילה טיפולית לגמילה מסמים ואלכוהול. </w:t>
      </w:r>
    </w:p>
    <w:p w14:paraId="6A1B312D" w14:textId="77777777" w:rsidR="0035722F" w:rsidRDefault="0035722F">
      <w:pPr>
        <w:spacing w:line="360" w:lineRule="auto"/>
        <w:ind w:left="720" w:hanging="720"/>
        <w:jc w:val="both"/>
        <w:rPr>
          <w:rtl/>
        </w:rPr>
      </w:pPr>
    </w:p>
    <w:p w14:paraId="303A694F" w14:textId="77777777" w:rsidR="0035722F" w:rsidRDefault="00A33BAA">
      <w:pPr>
        <w:spacing w:line="360" w:lineRule="auto"/>
        <w:ind w:left="1440" w:hanging="720"/>
        <w:jc w:val="both"/>
        <w:rPr>
          <w:rtl/>
        </w:rPr>
      </w:pPr>
      <w:r>
        <w:rPr>
          <w:rFonts w:hint="cs"/>
          <w:rtl/>
        </w:rPr>
        <w:t>ה.</w:t>
      </w:r>
      <w:r>
        <w:rPr>
          <w:rFonts w:hint="cs"/>
          <w:rtl/>
        </w:rPr>
        <w:tab/>
        <w:t xml:space="preserve">הנאשם עבר בהצלחה </w:t>
      </w:r>
      <w:r>
        <w:rPr>
          <w:rFonts w:hint="cs"/>
          <w:u w:val="single"/>
          <w:rtl/>
        </w:rPr>
        <w:t>הליך טיפולי ממושך וארוך</w:t>
      </w:r>
      <w:r>
        <w:rPr>
          <w:rFonts w:hint="cs"/>
          <w:rtl/>
        </w:rPr>
        <w:t xml:space="preserve">.  לא מדובר בעניין של מה בכך אלא במסלול שיקומי משמעותי הדורש תעצומות נפש ועריכת תפנית חדה לאחר ניהול אורח חיים שולי ועברייני במשך שנים רבות. בנסיבות אלה על בית המשפט להושיט יד לנאשם על ידי הטלת ענישה מקלה במטרה לשמר ולפתח את גחלת השיקום. לא מצאתי מקום להטיל על הנאשם מאסר בדרך של עבודות שירות וזאת על מנת שלא להוציאו מהמסגרת התעסוקתית שבה הוא נמצא כיום וניכר שיש לה תרומה חיובית להמשך עלייתו על דרך הישר. </w:t>
      </w:r>
    </w:p>
    <w:p w14:paraId="4BE6CCFF" w14:textId="77777777" w:rsidR="0035722F" w:rsidRDefault="0035722F">
      <w:pPr>
        <w:spacing w:line="360" w:lineRule="auto"/>
        <w:ind w:left="720" w:hanging="720"/>
        <w:jc w:val="both"/>
        <w:rPr>
          <w:rtl/>
        </w:rPr>
      </w:pPr>
    </w:p>
    <w:p w14:paraId="70532F8C" w14:textId="77777777" w:rsidR="0035722F" w:rsidRDefault="00A33BAA">
      <w:pPr>
        <w:spacing w:line="360" w:lineRule="auto"/>
        <w:jc w:val="both"/>
        <w:rPr>
          <w:rtl/>
        </w:rPr>
      </w:pPr>
      <w:r>
        <w:rPr>
          <w:rFonts w:hint="cs"/>
          <w:rtl/>
        </w:rPr>
        <w:t>8.</w:t>
      </w:r>
      <w:r>
        <w:rPr>
          <w:rFonts w:hint="cs"/>
          <w:rtl/>
        </w:rPr>
        <w:tab/>
        <w:t>לאור כל האמור לעיל הנני משית על הנאשם את העונשים הבאים:</w:t>
      </w:r>
    </w:p>
    <w:p w14:paraId="4253F0B1" w14:textId="77777777" w:rsidR="0035722F" w:rsidRDefault="0035722F">
      <w:pPr>
        <w:spacing w:line="360" w:lineRule="auto"/>
        <w:jc w:val="both"/>
        <w:rPr>
          <w:rtl/>
        </w:rPr>
      </w:pPr>
    </w:p>
    <w:p w14:paraId="29458042" w14:textId="77777777" w:rsidR="0035722F" w:rsidRDefault="00A33BAA">
      <w:pPr>
        <w:spacing w:line="360" w:lineRule="auto"/>
        <w:ind w:left="1440" w:hanging="720"/>
        <w:jc w:val="both"/>
        <w:rPr>
          <w:rtl/>
        </w:rPr>
      </w:pPr>
      <w:r>
        <w:rPr>
          <w:rFonts w:hint="cs"/>
          <w:rtl/>
        </w:rPr>
        <w:t>א.</w:t>
      </w:r>
      <w:r>
        <w:rPr>
          <w:rtl/>
        </w:rPr>
        <w:tab/>
      </w:r>
      <w:r>
        <w:rPr>
          <w:rFonts w:hint="cs"/>
          <w:rtl/>
        </w:rPr>
        <w:t>6 חודשי מאסר על תנאי והתנאי הוא שבמשך 3 שנים מהיום הנאשם לא יבצע עבירת אלימות.</w:t>
      </w:r>
    </w:p>
    <w:p w14:paraId="6A56222A" w14:textId="77777777" w:rsidR="0035722F" w:rsidRDefault="0035722F">
      <w:pPr>
        <w:spacing w:line="360" w:lineRule="auto"/>
        <w:ind w:left="1440" w:hanging="720"/>
        <w:jc w:val="both"/>
        <w:rPr>
          <w:rtl/>
        </w:rPr>
      </w:pPr>
    </w:p>
    <w:p w14:paraId="05699C53" w14:textId="77777777" w:rsidR="0035722F" w:rsidRDefault="00A33BAA">
      <w:pPr>
        <w:spacing w:line="360" w:lineRule="auto"/>
        <w:ind w:left="1440" w:hanging="720"/>
        <w:jc w:val="both"/>
        <w:rPr>
          <w:rtl/>
        </w:rPr>
      </w:pPr>
      <w:r>
        <w:rPr>
          <w:rFonts w:hint="cs"/>
          <w:rtl/>
        </w:rPr>
        <w:t>ב.</w:t>
      </w:r>
      <w:r>
        <w:rPr>
          <w:rFonts w:hint="cs"/>
          <w:rtl/>
        </w:rPr>
        <w:tab/>
        <w:t xml:space="preserve">6 חודשי מאסר על תנאי והתנאי הוא שבמשך 3 שנים מהיום הנאשם לא יבצע עבירה מסוג פשע לפי </w:t>
      </w:r>
      <w:hyperlink r:id="rId54" w:history="1">
        <w:r w:rsidRPr="00A33BAA">
          <w:rPr>
            <w:color w:val="0000FF"/>
            <w:u w:val="single"/>
            <w:rtl/>
          </w:rPr>
          <w:t>פקודת הסמים המסוכנים</w:t>
        </w:r>
      </w:hyperlink>
      <w:r>
        <w:rPr>
          <w:rFonts w:hint="cs"/>
          <w:rtl/>
        </w:rPr>
        <w:t xml:space="preserve">. </w:t>
      </w:r>
    </w:p>
    <w:p w14:paraId="3F9EC151" w14:textId="77777777" w:rsidR="0035722F" w:rsidRDefault="0035722F">
      <w:pPr>
        <w:spacing w:line="360" w:lineRule="auto"/>
        <w:ind w:left="1440" w:hanging="720"/>
        <w:jc w:val="both"/>
        <w:rPr>
          <w:rtl/>
        </w:rPr>
      </w:pPr>
    </w:p>
    <w:p w14:paraId="486B1DDC" w14:textId="77777777" w:rsidR="0035722F" w:rsidRDefault="00A33BAA">
      <w:pPr>
        <w:spacing w:line="360" w:lineRule="auto"/>
        <w:ind w:left="1440" w:hanging="720"/>
        <w:jc w:val="both"/>
        <w:rPr>
          <w:rtl/>
        </w:rPr>
      </w:pPr>
      <w:r>
        <w:rPr>
          <w:rFonts w:hint="cs"/>
          <w:rtl/>
        </w:rPr>
        <w:t>ג.</w:t>
      </w:r>
      <w:r>
        <w:rPr>
          <w:rFonts w:hint="cs"/>
          <w:rtl/>
        </w:rPr>
        <w:tab/>
        <w:t xml:space="preserve">4 חודשי מאסר על תנאי והתנאי הוא שבמשך 3 שנים מהיום הנאשם לא יבצע עבירת רכוש, למעט עבירה לפי </w:t>
      </w:r>
      <w:hyperlink r:id="rId55" w:history="1">
        <w:r w:rsidR="00DA4BC4" w:rsidRPr="00DA4BC4">
          <w:rPr>
            <w:color w:val="0000FF"/>
            <w:u w:val="single"/>
            <w:rtl/>
          </w:rPr>
          <w:t>סעיף 413</w:t>
        </w:r>
      </w:hyperlink>
      <w:r>
        <w:rPr>
          <w:rFonts w:hint="cs"/>
          <w:rtl/>
        </w:rPr>
        <w:t xml:space="preserve"> ל</w:t>
      </w:r>
      <w:hyperlink r:id="rId56" w:history="1">
        <w:r w:rsidRPr="00A33BAA">
          <w:rPr>
            <w:color w:val="0000FF"/>
            <w:u w:val="single"/>
            <w:rtl/>
          </w:rPr>
          <w:t>חוק העונשין</w:t>
        </w:r>
      </w:hyperlink>
      <w:r>
        <w:rPr>
          <w:rFonts w:hint="cs"/>
          <w:rtl/>
        </w:rPr>
        <w:t xml:space="preserve">. </w:t>
      </w:r>
    </w:p>
    <w:p w14:paraId="50656E2B" w14:textId="77777777" w:rsidR="0035722F" w:rsidRDefault="0035722F">
      <w:pPr>
        <w:spacing w:line="360" w:lineRule="auto"/>
        <w:ind w:left="1440" w:hanging="720"/>
        <w:jc w:val="both"/>
        <w:rPr>
          <w:rtl/>
        </w:rPr>
      </w:pPr>
    </w:p>
    <w:p w14:paraId="5E403B04" w14:textId="77777777" w:rsidR="0035722F" w:rsidRDefault="00A33BAA">
      <w:pPr>
        <w:spacing w:line="360" w:lineRule="auto"/>
        <w:ind w:left="1440" w:hanging="720"/>
        <w:jc w:val="both"/>
        <w:rPr>
          <w:rtl/>
        </w:rPr>
      </w:pPr>
      <w:r>
        <w:rPr>
          <w:rFonts w:hint="cs"/>
          <w:rtl/>
        </w:rPr>
        <w:t>ד.</w:t>
      </w:r>
      <w:r>
        <w:rPr>
          <w:rFonts w:hint="cs"/>
          <w:rtl/>
        </w:rPr>
        <w:tab/>
        <w:t xml:space="preserve">הנני מטיל על הנאשם צו מבחן שתוקפו לשנה מהיום. מובהר לנאשם שחובה עליו לשתף פעולה עם שירות המבחן וכי במידה ויפר את צו המבחן או שיפתחו נגדו תיקים נוספים, בית המשפט יהיה רשאי לבטל את צו המבחן ולהטיל עליו ענישה חדשה נוספת בגין העבירות נשוא התיק הראשי ותיקי הצירוף השונים. </w:t>
      </w:r>
    </w:p>
    <w:p w14:paraId="6124E8A9" w14:textId="77777777" w:rsidR="0035722F" w:rsidRDefault="0035722F">
      <w:pPr>
        <w:spacing w:line="360" w:lineRule="auto"/>
        <w:ind w:left="1440" w:hanging="720"/>
        <w:jc w:val="both"/>
        <w:rPr>
          <w:rtl/>
        </w:rPr>
      </w:pPr>
    </w:p>
    <w:p w14:paraId="5FFE7DEC" w14:textId="77777777" w:rsidR="0035722F" w:rsidRDefault="00A33BAA">
      <w:pPr>
        <w:spacing w:line="360" w:lineRule="auto"/>
        <w:ind w:left="720" w:hanging="720"/>
        <w:jc w:val="both"/>
        <w:rPr>
          <w:b/>
          <w:bCs/>
          <w:rtl/>
        </w:rPr>
      </w:pPr>
      <w:r>
        <w:rPr>
          <w:rFonts w:hint="cs"/>
          <w:b/>
          <w:bCs/>
          <w:rtl/>
        </w:rPr>
        <w:t xml:space="preserve">המזכירות תעביר העתק גזר הדין לשירות המבחן. </w:t>
      </w:r>
    </w:p>
    <w:p w14:paraId="4131C178" w14:textId="77777777" w:rsidR="0035722F" w:rsidRDefault="0035722F">
      <w:pPr>
        <w:spacing w:line="360" w:lineRule="auto"/>
        <w:ind w:left="720" w:hanging="720"/>
        <w:jc w:val="both"/>
        <w:rPr>
          <w:rtl/>
        </w:rPr>
      </w:pPr>
    </w:p>
    <w:p w14:paraId="2CD7E04D" w14:textId="77777777" w:rsidR="0035722F" w:rsidRDefault="00A33BAA">
      <w:pPr>
        <w:spacing w:line="360" w:lineRule="auto"/>
        <w:ind w:left="720" w:hanging="720"/>
        <w:jc w:val="both"/>
        <w:rPr>
          <w:rtl/>
        </w:rPr>
      </w:pPr>
      <w:r>
        <w:rPr>
          <w:rFonts w:hint="cs"/>
          <w:rtl/>
        </w:rPr>
        <w:t xml:space="preserve">זכות ערעור תוך 45 יום. </w:t>
      </w:r>
    </w:p>
    <w:p w14:paraId="70C4BD4A" w14:textId="77777777" w:rsidR="0035722F" w:rsidRPr="00A33BAA" w:rsidRDefault="00A33BAA">
      <w:pPr>
        <w:rPr>
          <w:color w:val="FFFFFF"/>
          <w:sz w:val="2"/>
          <w:szCs w:val="2"/>
          <w:rtl/>
        </w:rPr>
      </w:pPr>
      <w:r w:rsidRPr="00A33BAA">
        <w:rPr>
          <w:color w:val="FFFFFF"/>
          <w:sz w:val="2"/>
          <w:szCs w:val="2"/>
          <w:rtl/>
        </w:rPr>
        <w:t>5129371</w:t>
      </w:r>
    </w:p>
    <w:p w14:paraId="469EBF7C" w14:textId="77777777" w:rsidR="0035722F" w:rsidRDefault="00A33BAA">
      <w:pPr>
        <w:rPr>
          <w:rFonts w:cs="FrankRuehl"/>
          <w:sz w:val="28"/>
          <w:szCs w:val="28"/>
          <w:rtl/>
        </w:rPr>
      </w:pPr>
      <w:r w:rsidRPr="00A33BAA">
        <w:rPr>
          <w:rFonts w:ascii="Arial" w:hAnsi="Arial"/>
          <w:color w:val="FFFFFF"/>
          <w:sz w:val="2"/>
          <w:szCs w:val="2"/>
          <w:rtl/>
        </w:rPr>
        <w:t>54678313</w:t>
      </w:r>
      <w:r>
        <w:rPr>
          <w:rFonts w:ascii="Arial" w:hAnsi="Arial"/>
          <w:rtl/>
        </w:rPr>
        <w:t xml:space="preserve">ניתן היום,  י"ב אדר תשע"ה, 03 מרץ 2015, במעמד הצדדים. </w:t>
      </w:r>
    </w:p>
    <w:p w14:paraId="5324DEC6" w14:textId="77777777" w:rsidR="0035722F" w:rsidRDefault="00A33BA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8832CE4" w14:textId="77777777" w:rsidR="0035722F" w:rsidRDefault="0035722F">
      <w:pPr>
        <w:jc w:val="center"/>
        <w:rPr>
          <w:rFonts w:ascii="Arial" w:hAnsi="Arial" w:cs="FrankRuehl"/>
          <w:sz w:val="28"/>
          <w:szCs w:val="28"/>
          <w:rtl/>
        </w:rPr>
      </w:pPr>
    </w:p>
    <w:p w14:paraId="6B5E144C" w14:textId="77777777" w:rsidR="0035722F" w:rsidRDefault="0035722F">
      <w:pPr>
        <w:rPr>
          <w:rFonts w:cs="FrankRuehl"/>
          <w:sz w:val="28"/>
          <w:szCs w:val="28"/>
          <w:rtl/>
        </w:rPr>
      </w:pPr>
    </w:p>
    <w:p w14:paraId="133D8FEA" w14:textId="77777777" w:rsidR="0035722F" w:rsidRPr="00425AA6" w:rsidRDefault="00425AA6">
      <w:pPr>
        <w:pStyle w:val="a3"/>
        <w:jc w:val="center"/>
        <w:rPr>
          <w:color w:val="FFFFFF"/>
          <w:sz w:val="2"/>
          <w:szCs w:val="2"/>
          <w:rtl/>
        </w:rPr>
      </w:pPr>
      <w:bookmarkStart w:id="6" w:name="_GoBack"/>
      <w:bookmarkEnd w:id="6"/>
      <w:r w:rsidRPr="00425AA6">
        <w:rPr>
          <w:color w:val="FFFFFF"/>
          <w:sz w:val="2"/>
          <w:szCs w:val="2"/>
          <w:rtl/>
        </w:rPr>
        <w:t>5129371</w:t>
      </w:r>
    </w:p>
    <w:p w14:paraId="3BC6B17D" w14:textId="77777777" w:rsidR="00A33BAA" w:rsidRPr="00425AA6" w:rsidRDefault="00425AA6" w:rsidP="00A33BAA">
      <w:pPr>
        <w:keepNext/>
        <w:rPr>
          <w:rFonts w:ascii="David" w:hAnsi="David"/>
          <w:color w:val="FFFFFF"/>
          <w:sz w:val="2"/>
          <w:szCs w:val="2"/>
          <w:rtl/>
        </w:rPr>
      </w:pPr>
      <w:r w:rsidRPr="00425AA6">
        <w:rPr>
          <w:rFonts w:ascii="David" w:hAnsi="David"/>
          <w:color w:val="FFFFFF"/>
          <w:sz w:val="2"/>
          <w:szCs w:val="2"/>
          <w:rtl/>
        </w:rPr>
        <w:t>54678313</w:t>
      </w:r>
    </w:p>
    <w:p w14:paraId="5093EC10" w14:textId="77777777" w:rsidR="00A33BAA" w:rsidRDefault="00A33BAA" w:rsidP="00A33BAA">
      <w:r w:rsidRPr="00A33BAA">
        <w:rPr>
          <w:color w:val="000000"/>
          <w:rtl/>
        </w:rPr>
        <w:t>נוסח מסמך זה כפוף לשינויי ניסוח ועריכה</w:t>
      </w:r>
    </w:p>
    <w:p w14:paraId="55D411FB" w14:textId="77777777" w:rsidR="00A33BAA" w:rsidRDefault="00A33BAA" w:rsidP="00A33BAA">
      <w:pPr>
        <w:rPr>
          <w:rtl/>
        </w:rPr>
      </w:pPr>
    </w:p>
    <w:p w14:paraId="43C2A0CD" w14:textId="77777777" w:rsidR="00A33BAA" w:rsidRDefault="00A33BAA" w:rsidP="00A33BAA">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1C9FB16A" w14:textId="77777777" w:rsidR="00425AA6" w:rsidRPr="00425AA6" w:rsidRDefault="00425AA6" w:rsidP="00425AA6">
      <w:pPr>
        <w:keepNext/>
        <w:rPr>
          <w:rFonts w:ascii="David" w:hAnsi="David"/>
          <w:color w:val="000000"/>
          <w:sz w:val="22"/>
          <w:szCs w:val="22"/>
          <w:rtl/>
        </w:rPr>
      </w:pPr>
    </w:p>
    <w:p w14:paraId="3565FA4A" w14:textId="77777777" w:rsidR="00425AA6" w:rsidRPr="00425AA6" w:rsidRDefault="00425AA6" w:rsidP="00425AA6">
      <w:pPr>
        <w:keepNext/>
        <w:rPr>
          <w:rFonts w:ascii="David" w:hAnsi="David"/>
          <w:color w:val="000000"/>
          <w:sz w:val="22"/>
          <w:szCs w:val="22"/>
          <w:rtl/>
        </w:rPr>
      </w:pPr>
      <w:r w:rsidRPr="00425AA6">
        <w:rPr>
          <w:rFonts w:ascii="David" w:hAnsi="David"/>
          <w:color w:val="000000"/>
          <w:sz w:val="22"/>
          <w:szCs w:val="22"/>
          <w:rtl/>
        </w:rPr>
        <w:t>הישאם אבו שחאדה 54678313-/</w:t>
      </w:r>
      <w:r w:rsidR="009E4212">
        <w:rPr>
          <w:rFonts w:ascii="David" w:hAnsi="David" w:hint="cs"/>
          <w:color w:val="000000"/>
          <w:sz w:val="22"/>
          <w:szCs w:val="22"/>
          <w:rtl/>
        </w:rPr>
        <w:t xml:space="preserve">  </w:t>
      </w:r>
    </w:p>
    <w:sectPr w:rsidR="00425AA6" w:rsidRPr="00425AA6" w:rsidSect="00425AA6">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462E3" w14:textId="77777777" w:rsidR="00CE29E6" w:rsidRPr="009525E6" w:rsidRDefault="00CE29E6">
      <w:pPr>
        <w:rPr>
          <w:rFonts w:cs="Arial"/>
          <w:szCs w:val="20"/>
        </w:rPr>
      </w:pPr>
      <w:r>
        <w:separator/>
      </w:r>
    </w:p>
  </w:endnote>
  <w:endnote w:type="continuationSeparator" w:id="0">
    <w:p w14:paraId="011A501D" w14:textId="77777777" w:rsidR="00CE29E6" w:rsidRPr="009525E6" w:rsidRDefault="00CE29E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476C1" w14:textId="77777777" w:rsidR="00425AA6" w:rsidRDefault="00425AA6" w:rsidP="00425A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ECD050" w14:textId="77777777" w:rsidR="0035722F" w:rsidRPr="00425AA6" w:rsidRDefault="00425AA6" w:rsidP="00425AA6">
    <w:pPr>
      <w:pStyle w:val="a4"/>
      <w:pBdr>
        <w:top w:val="single" w:sz="4" w:space="1" w:color="auto"/>
        <w:between w:val="single" w:sz="4" w:space="0" w:color="auto"/>
      </w:pBdr>
      <w:spacing w:after="60"/>
      <w:jc w:val="center"/>
      <w:rPr>
        <w:rFonts w:ascii="FrankRuehl" w:hAnsi="FrankRuehl" w:cs="FrankRuehl"/>
        <w:color w:val="000000"/>
      </w:rPr>
    </w:pPr>
    <w:r w:rsidRPr="00425A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2A98" w14:textId="77777777" w:rsidR="00425AA6" w:rsidRDefault="00425AA6" w:rsidP="00425A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6EF1">
      <w:rPr>
        <w:rFonts w:ascii="FrankRuehl" w:hAnsi="FrankRuehl" w:cs="FrankRuehl"/>
        <w:noProof/>
        <w:rtl/>
      </w:rPr>
      <w:t>1</w:t>
    </w:r>
    <w:r>
      <w:rPr>
        <w:rFonts w:ascii="FrankRuehl" w:hAnsi="FrankRuehl" w:cs="FrankRuehl"/>
        <w:rtl/>
      </w:rPr>
      <w:fldChar w:fldCharType="end"/>
    </w:r>
  </w:p>
  <w:p w14:paraId="71BEF171" w14:textId="77777777" w:rsidR="0035722F" w:rsidRPr="00425AA6" w:rsidRDefault="00425AA6" w:rsidP="00425AA6">
    <w:pPr>
      <w:pStyle w:val="a4"/>
      <w:pBdr>
        <w:top w:val="single" w:sz="4" w:space="1" w:color="auto"/>
        <w:between w:val="single" w:sz="4" w:space="0" w:color="auto"/>
      </w:pBdr>
      <w:spacing w:after="60"/>
      <w:jc w:val="center"/>
      <w:rPr>
        <w:rFonts w:ascii="FrankRuehl" w:hAnsi="FrankRuehl" w:cs="FrankRuehl"/>
        <w:color w:val="000000"/>
      </w:rPr>
    </w:pPr>
    <w:r w:rsidRPr="00425AA6">
      <w:rPr>
        <w:rFonts w:ascii="FrankRuehl" w:hAnsi="FrankRuehl" w:cs="FrankRuehl"/>
        <w:color w:val="000000"/>
      </w:rPr>
      <w:pict w14:anchorId="712DD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674BB" w14:textId="77777777" w:rsidR="00CE29E6" w:rsidRPr="009525E6" w:rsidRDefault="00CE29E6">
      <w:pPr>
        <w:rPr>
          <w:rFonts w:cs="Arial"/>
          <w:szCs w:val="20"/>
        </w:rPr>
      </w:pPr>
      <w:r>
        <w:separator/>
      </w:r>
    </w:p>
  </w:footnote>
  <w:footnote w:type="continuationSeparator" w:id="0">
    <w:p w14:paraId="41BBA631" w14:textId="77777777" w:rsidR="00CE29E6" w:rsidRPr="009525E6" w:rsidRDefault="00CE29E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A22FF" w14:textId="77777777" w:rsidR="00A33BAA" w:rsidRPr="00425AA6" w:rsidRDefault="00425AA6" w:rsidP="00425A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43722-02-13</w:t>
    </w:r>
    <w:r>
      <w:rPr>
        <w:rFonts w:ascii="David" w:hAnsi="David"/>
        <w:color w:val="000000"/>
        <w:sz w:val="22"/>
        <w:szCs w:val="22"/>
        <w:rtl/>
      </w:rPr>
      <w:tab/>
      <w:t xml:space="preserve"> מדינת ישראל משטרת ישראל תביעות רמלה  נ' רדה פנטה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8BF5B" w14:textId="77777777" w:rsidR="00A33BAA" w:rsidRPr="00425AA6" w:rsidRDefault="00425AA6" w:rsidP="00425A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43722-02-13</w:t>
    </w:r>
    <w:r>
      <w:rPr>
        <w:rFonts w:ascii="David" w:hAnsi="David"/>
        <w:color w:val="000000"/>
        <w:sz w:val="22"/>
        <w:szCs w:val="22"/>
        <w:rtl/>
      </w:rPr>
      <w:tab/>
      <w:t xml:space="preserve"> מדינת ישראל משטרת ישראל תביעות רמלה  נ' רדה פנטה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722F"/>
    <w:rsid w:val="00093373"/>
    <w:rsid w:val="0035722F"/>
    <w:rsid w:val="00425AA6"/>
    <w:rsid w:val="009E4212"/>
    <w:rsid w:val="00A33BAA"/>
    <w:rsid w:val="00BB4FBB"/>
    <w:rsid w:val="00BB739C"/>
    <w:rsid w:val="00C16EF1"/>
    <w:rsid w:val="00CE29E6"/>
    <w:rsid w:val="00DA4BC4"/>
    <w:rsid w:val="00E32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AA4351"/>
  <w15:chartTrackingRefBased/>
  <w15:docId w15:val="{6EB7AED7-44C7-428B-A850-C3203F45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722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5722F"/>
    <w:pPr>
      <w:tabs>
        <w:tab w:val="center" w:pos="4153"/>
        <w:tab w:val="right" w:pos="8306"/>
      </w:tabs>
    </w:pPr>
  </w:style>
  <w:style w:type="paragraph" w:styleId="a4">
    <w:name w:val="footer"/>
    <w:basedOn w:val="a"/>
    <w:rsid w:val="0035722F"/>
    <w:pPr>
      <w:tabs>
        <w:tab w:val="center" w:pos="4153"/>
        <w:tab w:val="right" w:pos="8306"/>
      </w:tabs>
    </w:pPr>
  </w:style>
  <w:style w:type="character" w:styleId="a5">
    <w:name w:val="page number"/>
    <w:basedOn w:val="a0"/>
    <w:rsid w:val="0035722F"/>
  </w:style>
  <w:style w:type="character" w:styleId="Hyperlink">
    <w:name w:val="Hyperlink"/>
    <w:rsid w:val="00A33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0" TargetMode="External"/><Relationship Id="rId18" Type="http://schemas.openxmlformats.org/officeDocument/2006/relationships/hyperlink" Target="http://www.nevo.co.il/law/70301/413" TargetMode="External"/><Relationship Id="rId26" Type="http://schemas.openxmlformats.org/officeDocument/2006/relationships/hyperlink" Target="http://www.nevo.co.il/law/70301/452" TargetMode="External"/><Relationship Id="rId39" Type="http://schemas.openxmlformats.org/officeDocument/2006/relationships/hyperlink" Target="http://www.nevo.co.il/law/70301/379" TargetMode="External"/><Relationship Id="rId21" Type="http://schemas.openxmlformats.org/officeDocument/2006/relationships/hyperlink" Target="http://www.nevo.co.il/law/4216" TargetMode="External"/><Relationship Id="rId34" Type="http://schemas.openxmlformats.org/officeDocument/2006/relationships/hyperlink" Target="http://www.nevo.co.il/law/4216" TargetMode="External"/><Relationship Id="rId42" Type="http://schemas.openxmlformats.org/officeDocument/2006/relationships/hyperlink" Target="http://www.nevo.co.il/law/70301/192" TargetMode="External"/><Relationship Id="rId47" Type="http://schemas.openxmlformats.org/officeDocument/2006/relationships/hyperlink" Target="http://www.nevo.co.il/law/70301/381.a.2" TargetMode="External"/><Relationship Id="rId50" Type="http://schemas.openxmlformats.org/officeDocument/2006/relationships/hyperlink" Target="http://www.nevo.co.il/case/7786902" TargetMode="External"/><Relationship Id="rId55" Type="http://schemas.openxmlformats.org/officeDocument/2006/relationships/hyperlink" Target="http://www.nevo.co.il/law/70301/413"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70301/382a.a" TargetMode="External"/><Relationship Id="rId29" Type="http://schemas.openxmlformats.org/officeDocument/2006/relationships/hyperlink" Target="http://www.nevo.co.il/law/70301/192" TargetMode="External"/><Relationship Id="rId11" Type="http://schemas.openxmlformats.org/officeDocument/2006/relationships/hyperlink" Target="http://www.nevo.co.il/law/70301/273"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79" TargetMode="External"/><Relationship Id="rId53" Type="http://schemas.openxmlformats.org/officeDocument/2006/relationships/hyperlink" Target="http://www.nevo.co.il/law/70301/382a.a"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413c" TargetMode="External"/><Relationship Id="rId14" Type="http://schemas.openxmlformats.org/officeDocument/2006/relationships/hyperlink" Target="http://www.nevo.co.il/law/70301/381.a.2"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380" TargetMode="External"/><Relationship Id="rId30" Type="http://schemas.openxmlformats.org/officeDocument/2006/relationships/hyperlink" Target="http://www.nevo.co.il/case/2406308" TargetMode="External"/><Relationship Id="rId35" Type="http://schemas.openxmlformats.org/officeDocument/2006/relationships/hyperlink" Target="http://www.nevo.co.il/case/2457239"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13c"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273" TargetMode="External"/><Relationship Id="rId3" Type="http://schemas.openxmlformats.org/officeDocument/2006/relationships/webSettings" Target="webSettings.xml"/><Relationship Id="rId12" Type="http://schemas.openxmlformats.org/officeDocument/2006/relationships/hyperlink" Target="http://www.nevo.co.il/law/70301/379" TargetMode="External"/><Relationship Id="rId17" Type="http://schemas.openxmlformats.org/officeDocument/2006/relationships/hyperlink" Target="http://www.nevo.co.il/law/70301/384"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13" TargetMode="External"/><Relationship Id="rId38" Type="http://schemas.openxmlformats.org/officeDocument/2006/relationships/hyperlink" Target="http://www.nevo.co.il/case/2431057" TargetMode="External"/><Relationship Id="rId46" Type="http://schemas.openxmlformats.org/officeDocument/2006/relationships/hyperlink" Target="http://www.nevo.co.il/law/70301/382.a" TargetMode="External"/><Relationship Id="rId59" Type="http://schemas.openxmlformats.org/officeDocument/2006/relationships/header" Target="header2.xml"/><Relationship Id="rId20" Type="http://schemas.openxmlformats.org/officeDocument/2006/relationships/hyperlink" Target="http://www.nevo.co.il/law/70301/452" TargetMode="External"/><Relationship Id="rId41" Type="http://schemas.openxmlformats.org/officeDocument/2006/relationships/hyperlink" Target="http://www.nevo.co.il/law/70301/192" TargetMode="External"/><Relationship Id="rId54" Type="http://schemas.openxmlformats.org/officeDocument/2006/relationships/hyperlink" Target="http://www.nevo.co.il/law/4216"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82.a" TargetMode="External"/><Relationship Id="rId23" Type="http://schemas.openxmlformats.org/officeDocument/2006/relationships/hyperlink" Target="http://www.nevo.co.il/case/6554606"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84" TargetMode="External"/><Relationship Id="rId49" Type="http://schemas.openxmlformats.org/officeDocument/2006/relationships/hyperlink" Target="http://www.nevo.co.il/law/7030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70301/31" TargetMode="External"/><Relationship Id="rId44" Type="http://schemas.openxmlformats.org/officeDocument/2006/relationships/hyperlink" Target="http://www.nevo.co.il/law/70301/379"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2059</Words>
  <Characters>10297</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12332</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6553697</vt:i4>
      </vt:variant>
      <vt:variant>
        <vt:i4>147</vt:i4>
      </vt:variant>
      <vt:variant>
        <vt:i4>0</vt:i4>
      </vt:variant>
      <vt:variant>
        <vt:i4>5</vt:i4>
      </vt:variant>
      <vt:variant>
        <vt:lpwstr>http://www.nevo.co.il/law/70301/413</vt:lpwstr>
      </vt:variant>
      <vt:variant>
        <vt:lpwstr/>
      </vt:variant>
      <vt:variant>
        <vt:i4>8257637</vt:i4>
      </vt:variant>
      <vt:variant>
        <vt:i4>144</vt:i4>
      </vt:variant>
      <vt:variant>
        <vt:i4>0</vt:i4>
      </vt:variant>
      <vt:variant>
        <vt:i4>5</vt:i4>
      </vt:variant>
      <vt:variant>
        <vt:lpwstr>http://www.nevo.co.il/law/4216</vt:lpwstr>
      </vt:variant>
      <vt:variant>
        <vt:lpwstr/>
      </vt:variant>
      <vt:variant>
        <vt:i4>7143546</vt:i4>
      </vt:variant>
      <vt:variant>
        <vt:i4>141</vt:i4>
      </vt:variant>
      <vt:variant>
        <vt:i4>0</vt:i4>
      </vt:variant>
      <vt:variant>
        <vt:i4>5</vt:i4>
      </vt:variant>
      <vt:variant>
        <vt:lpwstr>http://www.nevo.co.il/law/70301/382a.a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6422631</vt:i4>
      </vt:variant>
      <vt:variant>
        <vt:i4>135</vt:i4>
      </vt:variant>
      <vt:variant>
        <vt:i4>0</vt:i4>
      </vt:variant>
      <vt:variant>
        <vt:i4>5</vt:i4>
      </vt:variant>
      <vt:variant>
        <vt:lpwstr>http://www.nevo.co.il/law/70301/273</vt:lpwstr>
      </vt:variant>
      <vt:variant>
        <vt:lpwstr/>
      </vt:variant>
      <vt:variant>
        <vt:i4>3407989</vt:i4>
      </vt:variant>
      <vt:variant>
        <vt:i4>132</vt:i4>
      </vt:variant>
      <vt:variant>
        <vt:i4>0</vt:i4>
      </vt:variant>
      <vt:variant>
        <vt:i4>5</vt:i4>
      </vt:variant>
      <vt:variant>
        <vt:lpwstr>http://www.nevo.co.il/case/7786902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458834</vt:i4>
      </vt:variant>
      <vt:variant>
        <vt:i4>126</vt:i4>
      </vt:variant>
      <vt:variant>
        <vt:i4>0</vt:i4>
      </vt:variant>
      <vt:variant>
        <vt:i4>5</vt:i4>
      </vt:variant>
      <vt:variant>
        <vt:lpwstr>http://www.nevo.co.il/law/70301/413c</vt:lpwstr>
      </vt:variant>
      <vt:variant>
        <vt:lpwstr/>
      </vt:variant>
      <vt:variant>
        <vt:i4>7143478</vt:i4>
      </vt:variant>
      <vt:variant>
        <vt:i4>123</vt:i4>
      </vt:variant>
      <vt:variant>
        <vt:i4>0</vt:i4>
      </vt:variant>
      <vt:variant>
        <vt:i4>5</vt:i4>
      </vt:variant>
      <vt:variant>
        <vt:lpwstr>http://www.nevo.co.il/law/70301/381.a.2</vt:lpwstr>
      </vt:variant>
      <vt:variant>
        <vt:lpwstr/>
      </vt:variant>
      <vt:variant>
        <vt:i4>4390996</vt:i4>
      </vt:variant>
      <vt:variant>
        <vt:i4>120</vt:i4>
      </vt:variant>
      <vt:variant>
        <vt:i4>0</vt:i4>
      </vt:variant>
      <vt:variant>
        <vt:i4>5</vt:i4>
      </vt:variant>
      <vt:variant>
        <vt:lpwstr>http://www.nevo.co.il/law/70301/382.a</vt:lpwstr>
      </vt:variant>
      <vt:variant>
        <vt:lpwstr/>
      </vt:variant>
      <vt:variant>
        <vt:i4>6422630</vt:i4>
      </vt:variant>
      <vt:variant>
        <vt:i4>117</vt:i4>
      </vt:variant>
      <vt:variant>
        <vt:i4>0</vt:i4>
      </vt:variant>
      <vt:variant>
        <vt:i4>5</vt:i4>
      </vt:variant>
      <vt:variant>
        <vt:lpwstr>http://www.nevo.co.il/law/70301/379</vt:lpwstr>
      </vt:variant>
      <vt:variant>
        <vt:lpwstr/>
      </vt:variant>
      <vt:variant>
        <vt:i4>6422630</vt:i4>
      </vt:variant>
      <vt:variant>
        <vt:i4>114</vt:i4>
      </vt:variant>
      <vt:variant>
        <vt:i4>0</vt:i4>
      </vt:variant>
      <vt:variant>
        <vt:i4>5</vt:i4>
      </vt:variant>
      <vt:variant>
        <vt:lpwstr>http://www.nevo.co.il/law/70301/379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7077988</vt:i4>
      </vt:variant>
      <vt:variant>
        <vt:i4>108</vt:i4>
      </vt:variant>
      <vt:variant>
        <vt:i4>0</vt:i4>
      </vt:variant>
      <vt:variant>
        <vt:i4>5</vt:i4>
      </vt:variant>
      <vt:variant>
        <vt:lpwstr>http://www.nevo.co.il/law/70301/192</vt:lpwstr>
      </vt:variant>
      <vt:variant>
        <vt:lpwstr/>
      </vt:variant>
      <vt:variant>
        <vt:i4>7077988</vt:i4>
      </vt:variant>
      <vt:variant>
        <vt:i4>105</vt:i4>
      </vt:variant>
      <vt:variant>
        <vt:i4>0</vt:i4>
      </vt:variant>
      <vt:variant>
        <vt:i4>5</vt:i4>
      </vt:variant>
      <vt:variant>
        <vt:lpwstr>http://www.nevo.co.il/law/70301/192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6422630</vt:i4>
      </vt:variant>
      <vt:variant>
        <vt:i4>99</vt:i4>
      </vt:variant>
      <vt:variant>
        <vt:i4>0</vt:i4>
      </vt:variant>
      <vt:variant>
        <vt:i4>5</vt:i4>
      </vt:variant>
      <vt:variant>
        <vt:lpwstr>http://www.nevo.co.il/law/70301/379</vt:lpwstr>
      </vt:variant>
      <vt:variant>
        <vt:lpwstr/>
      </vt:variant>
      <vt:variant>
        <vt:i4>3539060</vt:i4>
      </vt:variant>
      <vt:variant>
        <vt:i4>96</vt:i4>
      </vt:variant>
      <vt:variant>
        <vt:i4>0</vt:i4>
      </vt:variant>
      <vt:variant>
        <vt:i4>5</vt:i4>
      </vt:variant>
      <vt:variant>
        <vt:lpwstr>http://www.nevo.co.il/case/2431057</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7143526</vt:i4>
      </vt:variant>
      <vt:variant>
        <vt:i4>90</vt:i4>
      </vt:variant>
      <vt:variant>
        <vt:i4>0</vt:i4>
      </vt:variant>
      <vt:variant>
        <vt:i4>5</vt:i4>
      </vt:variant>
      <vt:variant>
        <vt:lpwstr>http://www.nevo.co.il/law/70301/384</vt:lpwstr>
      </vt:variant>
      <vt:variant>
        <vt:lpwstr/>
      </vt:variant>
      <vt:variant>
        <vt:i4>3932276</vt:i4>
      </vt:variant>
      <vt:variant>
        <vt:i4>87</vt:i4>
      </vt:variant>
      <vt:variant>
        <vt:i4>0</vt:i4>
      </vt:variant>
      <vt:variant>
        <vt:i4>5</vt:i4>
      </vt:variant>
      <vt:variant>
        <vt:lpwstr>http://www.nevo.co.il/case/2457239</vt:lpwstr>
      </vt:variant>
      <vt:variant>
        <vt:lpwstr/>
      </vt:variant>
      <vt:variant>
        <vt:i4>8257637</vt:i4>
      </vt:variant>
      <vt:variant>
        <vt:i4>84</vt:i4>
      </vt:variant>
      <vt:variant>
        <vt:i4>0</vt:i4>
      </vt:variant>
      <vt:variant>
        <vt:i4>5</vt:i4>
      </vt:variant>
      <vt:variant>
        <vt:lpwstr>http://www.nevo.co.il/law/4216</vt:lpwstr>
      </vt:variant>
      <vt:variant>
        <vt:lpwstr/>
      </vt:variant>
      <vt:variant>
        <vt:i4>5177418</vt:i4>
      </vt:variant>
      <vt:variant>
        <vt:i4>81</vt:i4>
      </vt:variant>
      <vt:variant>
        <vt:i4>0</vt:i4>
      </vt:variant>
      <vt:variant>
        <vt:i4>5</vt:i4>
      </vt:variant>
      <vt:variant>
        <vt:lpwstr>http://www.nevo.co.il/law/4216/13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6553702</vt:i4>
      </vt:variant>
      <vt:variant>
        <vt:i4>75</vt:i4>
      </vt:variant>
      <vt:variant>
        <vt:i4>0</vt:i4>
      </vt:variant>
      <vt:variant>
        <vt:i4>5</vt:i4>
      </vt:variant>
      <vt:variant>
        <vt:lpwstr>http://www.nevo.co.il/law/70301/31</vt:lpwstr>
      </vt:variant>
      <vt:variant>
        <vt:lpwstr/>
      </vt:variant>
      <vt:variant>
        <vt:i4>3735670</vt:i4>
      </vt:variant>
      <vt:variant>
        <vt:i4>72</vt:i4>
      </vt:variant>
      <vt:variant>
        <vt:i4>0</vt:i4>
      </vt:variant>
      <vt:variant>
        <vt:i4>5</vt:i4>
      </vt:variant>
      <vt:variant>
        <vt:lpwstr>http://www.nevo.co.il/case/2406308</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7995492</vt:i4>
      </vt:variant>
      <vt:variant>
        <vt:i4>66</vt:i4>
      </vt:variant>
      <vt:variant>
        <vt:i4>0</vt:i4>
      </vt:variant>
      <vt:variant>
        <vt:i4>5</vt:i4>
      </vt:variant>
      <vt:variant>
        <vt:lpwstr>http://www.nevo.co.il/law/70301</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6291553</vt:i4>
      </vt:variant>
      <vt:variant>
        <vt:i4>60</vt:i4>
      </vt:variant>
      <vt:variant>
        <vt:i4>0</vt:i4>
      </vt:variant>
      <vt:variant>
        <vt:i4>5</vt:i4>
      </vt:variant>
      <vt:variant>
        <vt:lpwstr>http://www.nevo.co.il/law/70301/452</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3342453</vt:i4>
      </vt:variant>
      <vt:variant>
        <vt:i4>51</vt:i4>
      </vt:variant>
      <vt:variant>
        <vt:i4>0</vt:i4>
      </vt:variant>
      <vt:variant>
        <vt:i4>5</vt:i4>
      </vt:variant>
      <vt:variant>
        <vt:lpwstr>http://www.nevo.co.il/case/6554606</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458834</vt:i4>
      </vt:variant>
      <vt:variant>
        <vt:i4>39</vt:i4>
      </vt:variant>
      <vt:variant>
        <vt:i4>0</vt:i4>
      </vt:variant>
      <vt:variant>
        <vt:i4>5</vt:i4>
      </vt:variant>
      <vt:variant>
        <vt:lpwstr>http://www.nevo.co.il/law/70301/413c</vt:lpwstr>
      </vt:variant>
      <vt:variant>
        <vt:lpwstr/>
      </vt:variant>
      <vt:variant>
        <vt:i4>6553697</vt:i4>
      </vt:variant>
      <vt:variant>
        <vt:i4>36</vt:i4>
      </vt:variant>
      <vt:variant>
        <vt:i4>0</vt:i4>
      </vt:variant>
      <vt:variant>
        <vt:i4>5</vt:i4>
      </vt:variant>
      <vt:variant>
        <vt:lpwstr>http://www.nevo.co.il/law/70301/413</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7143546</vt:i4>
      </vt:variant>
      <vt:variant>
        <vt:i4>30</vt:i4>
      </vt:variant>
      <vt:variant>
        <vt:i4>0</vt:i4>
      </vt:variant>
      <vt:variant>
        <vt:i4>5</vt:i4>
      </vt:variant>
      <vt:variant>
        <vt:lpwstr>http://www.nevo.co.il/law/70301/382a.a</vt:lpwstr>
      </vt:variant>
      <vt:variant>
        <vt:lpwstr/>
      </vt:variant>
      <vt:variant>
        <vt:i4>4390996</vt:i4>
      </vt:variant>
      <vt:variant>
        <vt:i4>27</vt:i4>
      </vt:variant>
      <vt:variant>
        <vt:i4>0</vt:i4>
      </vt:variant>
      <vt:variant>
        <vt:i4>5</vt:i4>
      </vt:variant>
      <vt:variant>
        <vt:lpwstr>http://www.nevo.co.il/law/70301/382.a</vt:lpwstr>
      </vt:variant>
      <vt:variant>
        <vt:lpwstr/>
      </vt:variant>
      <vt:variant>
        <vt:i4>7143478</vt:i4>
      </vt:variant>
      <vt:variant>
        <vt:i4>24</vt:i4>
      </vt:variant>
      <vt:variant>
        <vt:i4>0</vt:i4>
      </vt:variant>
      <vt:variant>
        <vt:i4>5</vt:i4>
      </vt:variant>
      <vt:variant>
        <vt:lpwstr>http://www.nevo.co.il/law/70301/381.a.2</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43722</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 משטרת ישראל תביעות רמלה </vt:lpwstr>
  </property>
  <property fmtid="{D5CDD505-2E9C-101B-9397-08002B2CF9AE}" pid="9" name="APPELLEE">
    <vt:lpwstr>רדה פנטה </vt:lpwstr>
  </property>
  <property fmtid="{D5CDD505-2E9C-101B-9397-08002B2CF9AE}" pid="10" name="JUDGE">
    <vt:lpwstr>הישאם אבו שחאדה</vt:lpwstr>
  </property>
  <property fmtid="{D5CDD505-2E9C-101B-9397-08002B2CF9AE}" pid="11" name="CITY">
    <vt:lpwstr>רמ'</vt:lpwstr>
  </property>
  <property fmtid="{D5CDD505-2E9C-101B-9397-08002B2CF9AE}" pid="12" name="DATE">
    <vt:lpwstr>20150303</vt:lpwstr>
  </property>
  <property fmtid="{D5CDD505-2E9C-101B-9397-08002B2CF9AE}" pid="13" name="TYPE_N_DATE">
    <vt:lpwstr>38020150303</vt:lpwstr>
  </property>
  <property fmtid="{D5CDD505-2E9C-101B-9397-08002B2CF9AE}" pid="14" name="WORDNUMPAGES">
    <vt:lpwstr>7</vt:lpwstr>
  </property>
  <property fmtid="{D5CDD505-2E9C-101B-9397-08002B2CF9AE}" pid="15" name="TYPE_ABS_DATE">
    <vt:lpwstr>380020150303</vt:lpwstr>
  </property>
  <property fmtid="{D5CDD505-2E9C-101B-9397-08002B2CF9AE}" pid="16" name="ISABSTRACT">
    <vt:lpwstr>Y</vt:lpwstr>
  </property>
  <property fmtid="{D5CDD505-2E9C-101B-9397-08002B2CF9AE}" pid="17" name="LAWYER">
    <vt:lpwstr>שלי היאט;איריס אהרונוב</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70301/192:4;452;380;031;384;379:3;382.a;381.a.2;413c;273;382a.a;413</vt:lpwstr>
  </property>
  <property fmtid="{D5CDD505-2E9C-101B-9397-08002B2CF9AE}" pid="36" name="LAWLISTTMP2">
    <vt:lpwstr>4216/013</vt:lpwstr>
  </property>
  <property fmtid="{D5CDD505-2E9C-101B-9397-08002B2CF9AE}" pid="37" name="CASESLISTTMP1">
    <vt:lpwstr>2406308;2457239;2431057</vt:lpwstr>
  </property>
</Properties>
</file>