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1B02F3" w:rsidRPr="003E7712" w14:paraId="5EC68FE7" w14:textId="77777777">
        <w:trPr>
          <w:trHeight w:hRule="exact" w:val="418"/>
          <w:jc w:val="center"/>
        </w:trPr>
        <w:tc>
          <w:tcPr>
            <w:tcW w:w="8721" w:type="dxa"/>
            <w:gridSpan w:val="2"/>
          </w:tcPr>
          <w:p w14:paraId="5682460F" w14:textId="77777777" w:rsidR="001B02F3" w:rsidRPr="003E7712" w:rsidRDefault="003E7712">
            <w:pPr>
              <w:pStyle w:val="a3"/>
              <w:jc w:val="center"/>
              <w:rPr>
                <w:rFonts w:ascii="Tahoma" w:hAnsi="Tahoma" w:cs="Tahoma"/>
                <w:color w:val="000080"/>
                <w:rtl/>
              </w:rPr>
            </w:pPr>
            <w:bookmarkStart w:id="0" w:name="LastJudge"/>
            <w:r w:rsidRPr="003E7712">
              <w:rPr>
                <w:rFonts w:ascii="Tahoma" w:hAnsi="Tahoma" w:cs="Tahoma"/>
                <w:b/>
                <w:bCs/>
                <w:color w:val="000080"/>
                <w:rtl/>
              </w:rPr>
              <w:t>בית משפט השלום ברחובות</w:t>
            </w:r>
          </w:p>
        </w:tc>
      </w:tr>
      <w:tr w:rsidR="001B02F3" w:rsidRPr="003E7712" w14:paraId="59585E8C" w14:textId="77777777">
        <w:trPr>
          <w:trHeight w:val="337"/>
          <w:jc w:val="center"/>
        </w:trPr>
        <w:tc>
          <w:tcPr>
            <w:tcW w:w="5056" w:type="dxa"/>
          </w:tcPr>
          <w:p w14:paraId="028B84B0" w14:textId="77777777" w:rsidR="001B02F3" w:rsidRPr="003E7712" w:rsidRDefault="003E7712">
            <w:pPr>
              <w:rPr>
                <w:rFonts w:cs="FrankRuehl"/>
                <w:sz w:val="28"/>
                <w:szCs w:val="28"/>
                <w:rtl/>
              </w:rPr>
            </w:pPr>
            <w:r w:rsidRPr="003E7712">
              <w:rPr>
                <w:rFonts w:cs="FrankRuehl"/>
                <w:sz w:val="28"/>
                <w:szCs w:val="28"/>
                <w:rtl/>
              </w:rPr>
              <w:t>ת"פ</w:t>
            </w:r>
            <w:r w:rsidRPr="003E7712">
              <w:rPr>
                <w:rFonts w:cs="FrankRuehl" w:hint="cs"/>
                <w:sz w:val="28"/>
                <w:szCs w:val="28"/>
                <w:rtl/>
              </w:rPr>
              <w:t xml:space="preserve"> </w:t>
            </w:r>
            <w:r w:rsidRPr="003E7712">
              <w:rPr>
                <w:rFonts w:cs="FrankRuehl"/>
                <w:sz w:val="28"/>
                <w:szCs w:val="28"/>
                <w:rtl/>
              </w:rPr>
              <w:t>44772-02-13</w:t>
            </w:r>
            <w:r w:rsidRPr="003E7712">
              <w:rPr>
                <w:rFonts w:cs="FrankRuehl" w:hint="cs"/>
                <w:sz w:val="28"/>
                <w:szCs w:val="28"/>
                <w:rtl/>
              </w:rPr>
              <w:t xml:space="preserve"> </w:t>
            </w:r>
            <w:r w:rsidRPr="003E7712">
              <w:rPr>
                <w:rFonts w:cs="FrankRuehl"/>
                <w:sz w:val="28"/>
                <w:szCs w:val="28"/>
                <w:rtl/>
              </w:rPr>
              <w:t>פרקליטות מחוז מרכז נ' וטורי</w:t>
            </w:r>
          </w:p>
          <w:p w14:paraId="3D6DF967" w14:textId="77777777" w:rsidR="001B02F3" w:rsidRPr="003E7712" w:rsidRDefault="001B02F3">
            <w:pPr>
              <w:pStyle w:val="a3"/>
              <w:rPr>
                <w:rFonts w:cs="FrankRuehl"/>
                <w:sz w:val="28"/>
                <w:szCs w:val="28"/>
                <w:rtl/>
              </w:rPr>
            </w:pPr>
          </w:p>
        </w:tc>
        <w:tc>
          <w:tcPr>
            <w:tcW w:w="3665" w:type="dxa"/>
          </w:tcPr>
          <w:p w14:paraId="3F05B75E" w14:textId="77777777" w:rsidR="001B02F3" w:rsidRPr="003E7712" w:rsidRDefault="001B02F3">
            <w:pPr>
              <w:pStyle w:val="a3"/>
              <w:jc w:val="right"/>
              <w:rPr>
                <w:rFonts w:cs="FrankRuehl"/>
                <w:sz w:val="28"/>
                <w:szCs w:val="28"/>
                <w:rtl/>
              </w:rPr>
            </w:pPr>
          </w:p>
        </w:tc>
      </w:tr>
    </w:tbl>
    <w:p w14:paraId="2E30130D" w14:textId="77777777" w:rsidR="001B02F3" w:rsidRPr="003E7712" w:rsidRDefault="003E7712">
      <w:pPr>
        <w:pStyle w:val="a3"/>
        <w:rPr>
          <w:rtl/>
        </w:rPr>
      </w:pPr>
      <w:r w:rsidRPr="003E7712">
        <w:rPr>
          <w:rFonts w:hint="cs"/>
          <w:rtl/>
        </w:rPr>
        <w:t xml:space="preserve"> </w:t>
      </w:r>
    </w:p>
    <w:p w14:paraId="0557ACAC" w14:textId="77777777" w:rsidR="001B02F3" w:rsidRPr="003E7712" w:rsidRDefault="001B02F3">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B02F3" w:rsidRPr="003E7712" w14:paraId="4E8AE5ED" w14:textId="77777777">
        <w:trPr>
          <w:trHeight w:val="295"/>
          <w:jc w:val="center"/>
        </w:trPr>
        <w:tc>
          <w:tcPr>
            <w:tcW w:w="923" w:type="dxa"/>
            <w:tcBorders>
              <w:top w:val="nil"/>
              <w:left w:val="nil"/>
              <w:bottom w:val="nil"/>
              <w:right w:val="nil"/>
            </w:tcBorders>
          </w:tcPr>
          <w:p w14:paraId="0F87F8E3" w14:textId="77777777" w:rsidR="001B02F3" w:rsidRPr="003E7712" w:rsidRDefault="003E7712">
            <w:pPr>
              <w:spacing w:line="360" w:lineRule="auto"/>
              <w:jc w:val="both"/>
              <w:rPr>
                <w:rFonts w:ascii="Arial" w:hAnsi="Arial"/>
                <w:b/>
                <w:bCs/>
              </w:rPr>
            </w:pPr>
            <w:r w:rsidRPr="003E7712">
              <w:rPr>
                <w:rFonts w:ascii="Arial" w:hAnsi="Arial" w:hint="cs"/>
                <w:b/>
                <w:bCs/>
                <w:rtl/>
              </w:rPr>
              <w:t>ב</w:t>
            </w:r>
            <w:r w:rsidRPr="003E7712">
              <w:rPr>
                <w:rFonts w:ascii="Arial" w:hAnsi="Arial"/>
                <w:b/>
                <w:bCs/>
                <w:rtl/>
              </w:rPr>
              <w:t xml:space="preserve">פני </w:t>
            </w:r>
          </w:p>
        </w:tc>
        <w:tc>
          <w:tcPr>
            <w:tcW w:w="7897" w:type="dxa"/>
            <w:gridSpan w:val="2"/>
            <w:tcBorders>
              <w:top w:val="nil"/>
              <w:left w:val="nil"/>
              <w:bottom w:val="nil"/>
              <w:right w:val="nil"/>
            </w:tcBorders>
          </w:tcPr>
          <w:p w14:paraId="6E63CAFE" w14:textId="77777777" w:rsidR="001B02F3" w:rsidRPr="003E7712" w:rsidRDefault="003E7712">
            <w:pPr>
              <w:spacing w:line="360" w:lineRule="auto"/>
              <w:rPr>
                <w:rFonts w:ascii="Arial" w:hAnsi="Arial"/>
                <w:b/>
                <w:bCs/>
                <w:rtl/>
              </w:rPr>
            </w:pPr>
            <w:r w:rsidRPr="003E7712">
              <w:rPr>
                <w:rFonts w:ascii="Arial" w:hAnsi="Arial" w:hint="cs"/>
                <w:b/>
                <w:bCs/>
                <w:rtl/>
              </w:rPr>
              <w:t>כב' ה</w:t>
            </w:r>
            <w:r w:rsidRPr="003E7712">
              <w:rPr>
                <w:rFonts w:hint="cs"/>
                <w:b/>
                <w:bCs/>
                <w:rtl/>
              </w:rPr>
              <w:t>סגנית נשיאה</w:t>
            </w:r>
            <w:r w:rsidRPr="003E7712">
              <w:rPr>
                <w:rFonts w:ascii="Arial" w:hAnsi="Arial" w:hint="cs"/>
                <w:b/>
                <w:bCs/>
                <w:rtl/>
              </w:rPr>
              <w:t xml:space="preserve">  </w:t>
            </w:r>
            <w:r w:rsidRPr="003E7712">
              <w:rPr>
                <w:rFonts w:hint="cs"/>
                <w:b/>
                <w:bCs/>
                <w:rtl/>
              </w:rPr>
              <w:t>עינת רון</w:t>
            </w:r>
          </w:p>
          <w:p w14:paraId="056F6AC3" w14:textId="77777777" w:rsidR="001B02F3" w:rsidRPr="003E7712" w:rsidRDefault="001B02F3">
            <w:pPr>
              <w:spacing w:line="360" w:lineRule="auto"/>
              <w:rPr>
                <w:b/>
                <w:bCs/>
                <w:rtl/>
              </w:rPr>
            </w:pPr>
          </w:p>
          <w:p w14:paraId="1E5F7151" w14:textId="77777777" w:rsidR="001B02F3" w:rsidRPr="003E7712" w:rsidRDefault="001B02F3">
            <w:pPr>
              <w:spacing w:line="360" w:lineRule="auto"/>
              <w:jc w:val="both"/>
              <w:rPr>
                <w:rFonts w:ascii="Arial" w:hAnsi="Arial"/>
                <w:b/>
                <w:bCs/>
              </w:rPr>
            </w:pPr>
          </w:p>
        </w:tc>
      </w:tr>
      <w:tr w:rsidR="001B02F3" w:rsidRPr="003E7712" w14:paraId="6CC10640" w14:textId="77777777">
        <w:trPr>
          <w:trHeight w:val="355"/>
          <w:jc w:val="center"/>
        </w:trPr>
        <w:tc>
          <w:tcPr>
            <w:tcW w:w="923" w:type="dxa"/>
            <w:tcBorders>
              <w:top w:val="nil"/>
              <w:left w:val="nil"/>
              <w:bottom w:val="nil"/>
              <w:right w:val="nil"/>
            </w:tcBorders>
          </w:tcPr>
          <w:p w14:paraId="41A38319" w14:textId="77777777" w:rsidR="001B02F3" w:rsidRPr="003E7712" w:rsidRDefault="003E7712">
            <w:pPr>
              <w:spacing w:line="360" w:lineRule="auto"/>
              <w:jc w:val="both"/>
              <w:rPr>
                <w:rFonts w:ascii="Arial" w:hAnsi="Arial"/>
                <w:b/>
                <w:bCs/>
              </w:rPr>
            </w:pPr>
            <w:bookmarkStart w:id="1" w:name="FirstAppellant"/>
            <w:r w:rsidRPr="003E7712">
              <w:rPr>
                <w:rFonts w:ascii="Arial" w:hAnsi="Arial" w:hint="cs"/>
                <w:b/>
                <w:bCs/>
                <w:rtl/>
              </w:rPr>
              <w:t>בעניין:</w:t>
            </w:r>
          </w:p>
        </w:tc>
        <w:tc>
          <w:tcPr>
            <w:tcW w:w="4126" w:type="dxa"/>
            <w:tcBorders>
              <w:top w:val="nil"/>
              <w:left w:val="nil"/>
              <w:bottom w:val="nil"/>
              <w:right w:val="nil"/>
            </w:tcBorders>
          </w:tcPr>
          <w:p w14:paraId="38E9334B" w14:textId="77777777" w:rsidR="001B02F3" w:rsidRPr="003E7712" w:rsidRDefault="003E7712">
            <w:pPr>
              <w:spacing w:line="360" w:lineRule="auto"/>
              <w:rPr>
                <w:b/>
                <w:bCs/>
              </w:rPr>
            </w:pPr>
            <w:r w:rsidRPr="003E7712">
              <w:rPr>
                <w:rFonts w:hint="cs"/>
                <w:b/>
                <w:bCs/>
                <w:rtl/>
              </w:rPr>
              <w:t>פרקליטות מחוז מרכז</w:t>
            </w:r>
          </w:p>
        </w:tc>
        <w:tc>
          <w:tcPr>
            <w:tcW w:w="3771" w:type="dxa"/>
            <w:tcBorders>
              <w:top w:val="nil"/>
              <w:left w:val="nil"/>
              <w:bottom w:val="nil"/>
              <w:right w:val="nil"/>
            </w:tcBorders>
          </w:tcPr>
          <w:p w14:paraId="65619C96" w14:textId="77777777" w:rsidR="001B02F3" w:rsidRPr="003E7712" w:rsidRDefault="001B02F3">
            <w:pPr>
              <w:spacing w:line="360" w:lineRule="auto"/>
              <w:jc w:val="both"/>
              <w:rPr>
                <w:rFonts w:ascii="Arial" w:hAnsi="Arial"/>
                <w:b/>
                <w:bCs/>
              </w:rPr>
            </w:pPr>
          </w:p>
        </w:tc>
      </w:tr>
      <w:bookmarkEnd w:id="1"/>
      <w:tr w:rsidR="001B02F3" w:rsidRPr="003E7712" w14:paraId="3810A722" w14:textId="77777777">
        <w:trPr>
          <w:trHeight w:val="355"/>
          <w:jc w:val="center"/>
        </w:trPr>
        <w:tc>
          <w:tcPr>
            <w:tcW w:w="923" w:type="dxa"/>
            <w:tcBorders>
              <w:top w:val="nil"/>
              <w:left w:val="nil"/>
              <w:bottom w:val="nil"/>
              <w:right w:val="nil"/>
            </w:tcBorders>
          </w:tcPr>
          <w:p w14:paraId="4419A456" w14:textId="77777777" w:rsidR="001B02F3" w:rsidRPr="003E7712" w:rsidRDefault="001B02F3">
            <w:pPr>
              <w:spacing w:line="360" w:lineRule="auto"/>
              <w:jc w:val="both"/>
              <w:rPr>
                <w:rFonts w:ascii="Arial" w:hAnsi="Arial"/>
                <w:b/>
                <w:bCs/>
                <w:rtl/>
              </w:rPr>
            </w:pPr>
          </w:p>
        </w:tc>
        <w:tc>
          <w:tcPr>
            <w:tcW w:w="4126" w:type="dxa"/>
            <w:tcBorders>
              <w:top w:val="nil"/>
              <w:left w:val="nil"/>
              <w:bottom w:val="nil"/>
              <w:right w:val="nil"/>
            </w:tcBorders>
          </w:tcPr>
          <w:p w14:paraId="26C23E0D" w14:textId="77777777" w:rsidR="001B02F3" w:rsidRPr="003E7712" w:rsidRDefault="001B02F3">
            <w:pPr>
              <w:spacing w:line="360" w:lineRule="auto"/>
              <w:jc w:val="both"/>
              <w:rPr>
                <w:b/>
                <w:bCs/>
                <w:rtl/>
              </w:rPr>
            </w:pPr>
          </w:p>
        </w:tc>
        <w:tc>
          <w:tcPr>
            <w:tcW w:w="3771" w:type="dxa"/>
            <w:tcBorders>
              <w:top w:val="nil"/>
              <w:left w:val="nil"/>
              <w:bottom w:val="nil"/>
              <w:right w:val="nil"/>
            </w:tcBorders>
          </w:tcPr>
          <w:p w14:paraId="04D34527" w14:textId="77777777" w:rsidR="001B02F3" w:rsidRPr="003E7712" w:rsidRDefault="003E7712">
            <w:pPr>
              <w:spacing w:line="360" w:lineRule="auto"/>
              <w:jc w:val="right"/>
              <w:rPr>
                <w:rFonts w:ascii="Arial" w:hAnsi="Arial"/>
                <w:b/>
                <w:bCs/>
                <w:rtl/>
              </w:rPr>
            </w:pPr>
            <w:r w:rsidRPr="003E7712">
              <w:rPr>
                <w:rFonts w:ascii="Arial" w:hAnsi="Arial" w:hint="cs"/>
                <w:b/>
                <w:bCs/>
                <w:rtl/>
              </w:rPr>
              <w:t>ה</w:t>
            </w:r>
            <w:r w:rsidRPr="003E7712">
              <w:rPr>
                <w:rFonts w:hint="cs"/>
                <w:b/>
                <w:bCs/>
                <w:rtl/>
              </w:rPr>
              <w:t>מאשימה</w:t>
            </w:r>
          </w:p>
        </w:tc>
      </w:tr>
      <w:tr w:rsidR="001B02F3" w:rsidRPr="003E7712" w14:paraId="5B1F268D" w14:textId="77777777">
        <w:trPr>
          <w:trHeight w:val="355"/>
          <w:jc w:val="center"/>
        </w:trPr>
        <w:tc>
          <w:tcPr>
            <w:tcW w:w="923" w:type="dxa"/>
            <w:tcBorders>
              <w:top w:val="nil"/>
              <w:left w:val="nil"/>
              <w:bottom w:val="nil"/>
              <w:right w:val="nil"/>
            </w:tcBorders>
          </w:tcPr>
          <w:p w14:paraId="71E8A581" w14:textId="77777777" w:rsidR="001B02F3" w:rsidRPr="003E7712" w:rsidRDefault="001B02F3">
            <w:pPr>
              <w:spacing w:line="360" w:lineRule="auto"/>
              <w:jc w:val="both"/>
              <w:rPr>
                <w:rFonts w:ascii="Arial" w:hAnsi="Arial"/>
                <w:b/>
                <w:bCs/>
                <w:rtl/>
              </w:rPr>
            </w:pPr>
          </w:p>
        </w:tc>
        <w:tc>
          <w:tcPr>
            <w:tcW w:w="7897" w:type="dxa"/>
            <w:gridSpan w:val="2"/>
            <w:tcBorders>
              <w:top w:val="nil"/>
              <w:left w:val="nil"/>
              <w:bottom w:val="nil"/>
              <w:right w:val="nil"/>
            </w:tcBorders>
          </w:tcPr>
          <w:p w14:paraId="0522441F" w14:textId="77777777" w:rsidR="001B02F3" w:rsidRPr="003E7712" w:rsidRDefault="001B02F3">
            <w:pPr>
              <w:spacing w:line="360" w:lineRule="auto"/>
              <w:jc w:val="center"/>
              <w:rPr>
                <w:rFonts w:ascii="Arial" w:hAnsi="Arial"/>
                <w:b/>
                <w:bCs/>
                <w:rtl/>
              </w:rPr>
            </w:pPr>
          </w:p>
          <w:p w14:paraId="0E9C0F4A" w14:textId="77777777" w:rsidR="001B02F3" w:rsidRPr="003E7712" w:rsidRDefault="003E7712">
            <w:pPr>
              <w:spacing w:line="360" w:lineRule="auto"/>
              <w:jc w:val="center"/>
              <w:rPr>
                <w:rFonts w:ascii="Arial" w:hAnsi="Arial"/>
                <w:b/>
                <w:bCs/>
                <w:rtl/>
              </w:rPr>
            </w:pPr>
            <w:r w:rsidRPr="003E7712">
              <w:rPr>
                <w:rFonts w:ascii="Arial" w:hAnsi="Arial"/>
                <w:b/>
                <w:bCs/>
                <w:rtl/>
              </w:rPr>
              <w:t>נגד</w:t>
            </w:r>
          </w:p>
          <w:p w14:paraId="14033BF0" w14:textId="77777777" w:rsidR="001B02F3" w:rsidRPr="003E7712" w:rsidRDefault="001B02F3">
            <w:pPr>
              <w:spacing w:line="360" w:lineRule="auto"/>
              <w:jc w:val="both"/>
              <w:rPr>
                <w:rFonts w:ascii="Arial" w:hAnsi="Arial"/>
                <w:b/>
                <w:bCs/>
              </w:rPr>
            </w:pPr>
          </w:p>
        </w:tc>
      </w:tr>
      <w:tr w:rsidR="001B02F3" w:rsidRPr="003E7712" w14:paraId="765C5BF3" w14:textId="77777777">
        <w:trPr>
          <w:trHeight w:val="355"/>
          <w:jc w:val="center"/>
        </w:trPr>
        <w:tc>
          <w:tcPr>
            <w:tcW w:w="923" w:type="dxa"/>
            <w:tcBorders>
              <w:top w:val="nil"/>
              <w:left w:val="nil"/>
              <w:bottom w:val="nil"/>
              <w:right w:val="nil"/>
            </w:tcBorders>
          </w:tcPr>
          <w:p w14:paraId="5516CA2F" w14:textId="77777777" w:rsidR="001B02F3" w:rsidRPr="003E7712" w:rsidRDefault="001B02F3">
            <w:pPr>
              <w:spacing w:line="360" w:lineRule="auto"/>
              <w:rPr>
                <w:rFonts w:ascii="Arial" w:hAnsi="Arial"/>
                <w:b/>
                <w:bCs/>
                <w:rtl/>
              </w:rPr>
            </w:pPr>
          </w:p>
        </w:tc>
        <w:tc>
          <w:tcPr>
            <w:tcW w:w="4126" w:type="dxa"/>
            <w:tcBorders>
              <w:top w:val="nil"/>
              <w:left w:val="nil"/>
              <w:bottom w:val="nil"/>
              <w:right w:val="nil"/>
            </w:tcBorders>
          </w:tcPr>
          <w:p w14:paraId="66575A8B" w14:textId="77777777" w:rsidR="001B02F3" w:rsidRPr="003E7712" w:rsidRDefault="003E7712">
            <w:pPr>
              <w:spacing w:line="360" w:lineRule="auto"/>
              <w:rPr>
                <w:b/>
                <w:bCs/>
                <w:rtl/>
              </w:rPr>
            </w:pPr>
            <w:r w:rsidRPr="003E7712">
              <w:rPr>
                <w:rFonts w:hint="cs"/>
                <w:b/>
                <w:bCs/>
                <w:rtl/>
              </w:rPr>
              <w:t>דוד וטורי</w:t>
            </w:r>
          </w:p>
        </w:tc>
        <w:tc>
          <w:tcPr>
            <w:tcW w:w="3771" w:type="dxa"/>
            <w:tcBorders>
              <w:top w:val="nil"/>
              <w:left w:val="nil"/>
              <w:bottom w:val="nil"/>
              <w:right w:val="nil"/>
            </w:tcBorders>
          </w:tcPr>
          <w:p w14:paraId="40396ECC" w14:textId="77777777" w:rsidR="001B02F3" w:rsidRPr="003E7712" w:rsidRDefault="001B02F3">
            <w:pPr>
              <w:spacing w:line="360" w:lineRule="auto"/>
              <w:jc w:val="right"/>
              <w:rPr>
                <w:rFonts w:ascii="Arial" w:hAnsi="Arial"/>
                <w:b/>
                <w:bCs/>
              </w:rPr>
            </w:pPr>
          </w:p>
        </w:tc>
      </w:tr>
      <w:tr w:rsidR="001B02F3" w:rsidRPr="003E7712" w14:paraId="37529159" w14:textId="77777777">
        <w:trPr>
          <w:trHeight w:val="355"/>
          <w:jc w:val="center"/>
        </w:trPr>
        <w:tc>
          <w:tcPr>
            <w:tcW w:w="923" w:type="dxa"/>
            <w:tcBorders>
              <w:top w:val="nil"/>
              <w:left w:val="nil"/>
              <w:bottom w:val="nil"/>
              <w:right w:val="nil"/>
            </w:tcBorders>
          </w:tcPr>
          <w:p w14:paraId="5040834B" w14:textId="77777777" w:rsidR="001B02F3" w:rsidRPr="003E7712" w:rsidRDefault="001B02F3">
            <w:pPr>
              <w:spacing w:line="360" w:lineRule="auto"/>
              <w:jc w:val="both"/>
              <w:rPr>
                <w:rFonts w:ascii="Arial" w:hAnsi="Arial"/>
                <w:b/>
                <w:bCs/>
                <w:rtl/>
              </w:rPr>
            </w:pPr>
          </w:p>
        </w:tc>
        <w:tc>
          <w:tcPr>
            <w:tcW w:w="4126" w:type="dxa"/>
            <w:tcBorders>
              <w:top w:val="nil"/>
              <w:left w:val="nil"/>
              <w:bottom w:val="nil"/>
              <w:right w:val="nil"/>
            </w:tcBorders>
          </w:tcPr>
          <w:p w14:paraId="55F9C490" w14:textId="77777777" w:rsidR="001B02F3" w:rsidRPr="003E7712" w:rsidRDefault="001B02F3">
            <w:pPr>
              <w:spacing w:line="360" w:lineRule="auto"/>
              <w:jc w:val="both"/>
              <w:rPr>
                <w:b/>
                <w:bCs/>
                <w:rtl/>
              </w:rPr>
            </w:pPr>
          </w:p>
        </w:tc>
        <w:tc>
          <w:tcPr>
            <w:tcW w:w="3771" w:type="dxa"/>
            <w:tcBorders>
              <w:top w:val="nil"/>
              <w:left w:val="nil"/>
              <w:bottom w:val="nil"/>
              <w:right w:val="nil"/>
            </w:tcBorders>
          </w:tcPr>
          <w:p w14:paraId="69F6ACDD" w14:textId="77777777" w:rsidR="001B02F3" w:rsidRPr="003E7712" w:rsidRDefault="003E7712">
            <w:pPr>
              <w:spacing w:line="360" w:lineRule="auto"/>
              <w:jc w:val="right"/>
              <w:rPr>
                <w:rFonts w:ascii="Arial" w:hAnsi="Arial"/>
                <w:b/>
                <w:bCs/>
              </w:rPr>
            </w:pPr>
            <w:r w:rsidRPr="003E7712">
              <w:rPr>
                <w:rFonts w:ascii="Arial" w:hAnsi="Arial" w:hint="cs"/>
                <w:b/>
                <w:bCs/>
                <w:rtl/>
              </w:rPr>
              <w:t>ה</w:t>
            </w:r>
            <w:r w:rsidRPr="003E7712">
              <w:rPr>
                <w:rFonts w:hint="cs"/>
                <w:b/>
                <w:bCs/>
                <w:rtl/>
              </w:rPr>
              <w:t>נאשם</w:t>
            </w:r>
          </w:p>
        </w:tc>
      </w:tr>
    </w:tbl>
    <w:p w14:paraId="759ECEDB" w14:textId="77777777" w:rsidR="001B02F3" w:rsidRPr="003E7712" w:rsidRDefault="001B02F3">
      <w:pPr>
        <w:spacing w:line="360" w:lineRule="auto"/>
        <w:rPr>
          <w:b/>
          <w:bCs/>
          <w:rtl/>
        </w:rPr>
      </w:pPr>
    </w:p>
    <w:p w14:paraId="6872AB5B" w14:textId="77777777" w:rsidR="001B02F3" w:rsidRPr="003E7712" w:rsidRDefault="003E7712">
      <w:pPr>
        <w:spacing w:line="360" w:lineRule="auto"/>
        <w:rPr>
          <w:b/>
          <w:bCs/>
          <w:rtl/>
        </w:rPr>
      </w:pPr>
      <w:r w:rsidRPr="003E7712">
        <w:rPr>
          <w:rFonts w:hint="cs"/>
          <w:b/>
          <w:bCs/>
          <w:rtl/>
        </w:rPr>
        <w:t xml:space="preserve">נוכחים: </w:t>
      </w:r>
      <w:bookmarkStart w:id="2" w:name="FirstLawyer"/>
      <w:r w:rsidRPr="003E7712">
        <w:rPr>
          <w:rFonts w:hint="cs"/>
          <w:b/>
          <w:bCs/>
          <w:rtl/>
        </w:rPr>
        <w:t>ב"כ</w:t>
      </w:r>
      <w:bookmarkEnd w:id="2"/>
      <w:r w:rsidRPr="003E7712">
        <w:rPr>
          <w:rFonts w:hint="cs"/>
          <w:b/>
          <w:bCs/>
          <w:rtl/>
        </w:rPr>
        <w:t xml:space="preserve"> המאשימה: עו"ד מיכאל סטופ</w:t>
      </w:r>
    </w:p>
    <w:p w14:paraId="1224AF62" w14:textId="77777777" w:rsidR="00DC23C3" w:rsidRDefault="003E7712">
      <w:pPr>
        <w:spacing w:line="360" w:lineRule="auto"/>
        <w:rPr>
          <w:rtl/>
        </w:rPr>
      </w:pPr>
      <w:r w:rsidRPr="003E7712">
        <w:rPr>
          <w:rFonts w:hint="cs"/>
          <w:b/>
          <w:bCs/>
          <w:rtl/>
        </w:rPr>
        <w:t xml:space="preserve">               ב"כ הנאשם: עו"ד שי נודל </w:t>
      </w:r>
      <w:bookmarkStart w:id="3" w:name="LawTable"/>
      <w:bookmarkEnd w:id="3"/>
    </w:p>
    <w:p w14:paraId="2468F69B" w14:textId="77777777" w:rsidR="00DC23C3" w:rsidRPr="00DC23C3" w:rsidRDefault="00DC23C3" w:rsidP="00DC23C3">
      <w:pPr>
        <w:spacing w:after="120" w:line="240" w:lineRule="exact"/>
        <w:ind w:left="283" w:hanging="283"/>
        <w:jc w:val="both"/>
        <w:rPr>
          <w:rFonts w:ascii="FrankRuehl" w:hAnsi="FrankRuehl" w:cs="FrankRuehl"/>
          <w:rtl/>
        </w:rPr>
      </w:pPr>
    </w:p>
    <w:p w14:paraId="69C94E08" w14:textId="77777777" w:rsidR="00DC23C3" w:rsidRPr="00DC23C3" w:rsidRDefault="00DC23C3" w:rsidP="00DC23C3">
      <w:pPr>
        <w:spacing w:after="120" w:line="240" w:lineRule="exact"/>
        <w:ind w:left="283" w:hanging="283"/>
        <w:jc w:val="both"/>
        <w:rPr>
          <w:rFonts w:ascii="FrankRuehl" w:hAnsi="FrankRuehl" w:cs="FrankRuehl"/>
          <w:rtl/>
        </w:rPr>
      </w:pPr>
      <w:r w:rsidRPr="00DC23C3">
        <w:rPr>
          <w:rFonts w:ascii="FrankRuehl" w:hAnsi="FrankRuehl" w:cs="FrankRuehl"/>
          <w:rtl/>
        </w:rPr>
        <w:t xml:space="preserve">חקיקה שאוזכרה: </w:t>
      </w:r>
    </w:p>
    <w:p w14:paraId="6AC36BCF" w14:textId="77777777" w:rsidR="00DC23C3" w:rsidRPr="00DC23C3" w:rsidRDefault="00DC23C3" w:rsidP="00DC23C3">
      <w:pPr>
        <w:spacing w:after="120" w:line="240" w:lineRule="exact"/>
        <w:ind w:left="283" w:hanging="283"/>
        <w:jc w:val="both"/>
        <w:rPr>
          <w:rFonts w:ascii="FrankRuehl" w:hAnsi="FrankRuehl" w:cs="FrankRuehl"/>
          <w:rtl/>
        </w:rPr>
      </w:pPr>
      <w:hyperlink r:id="rId6" w:history="1">
        <w:r w:rsidRPr="00DC23C3">
          <w:rPr>
            <w:rFonts w:ascii="FrankRuehl" w:hAnsi="FrankRuehl" w:cs="FrankRuehl"/>
            <w:color w:val="0000FF"/>
            <w:u w:val="single"/>
            <w:rtl/>
          </w:rPr>
          <w:t>פקודת הסמים המסוכנים [נוסח חדש], תשל"ג-1973</w:t>
        </w:r>
      </w:hyperlink>
    </w:p>
    <w:p w14:paraId="660BDB68" w14:textId="77777777" w:rsidR="00DC23C3" w:rsidRPr="00DC23C3" w:rsidRDefault="00DC23C3" w:rsidP="00DC23C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B02F3" w:rsidRPr="003E7712" w14:paraId="05ED2375" w14:textId="77777777">
        <w:trPr>
          <w:trHeight w:val="355"/>
          <w:jc w:val="center"/>
        </w:trPr>
        <w:tc>
          <w:tcPr>
            <w:tcW w:w="8820" w:type="dxa"/>
            <w:tcBorders>
              <w:top w:val="nil"/>
              <w:left w:val="nil"/>
              <w:bottom w:val="nil"/>
              <w:right w:val="nil"/>
            </w:tcBorders>
          </w:tcPr>
          <w:p w14:paraId="6FED249B" w14:textId="77777777" w:rsidR="003E7712" w:rsidRPr="003E7712" w:rsidRDefault="003E7712" w:rsidP="003E7712">
            <w:pPr>
              <w:spacing w:line="360" w:lineRule="auto"/>
              <w:jc w:val="center"/>
              <w:rPr>
                <w:rFonts w:ascii="Arial" w:hAnsi="Arial"/>
                <w:b/>
                <w:bCs/>
                <w:rtl/>
              </w:rPr>
            </w:pPr>
            <w:bookmarkStart w:id="4" w:name="LawTable_End"/>
            <w:bookmarkStart w:id="5" w:name="PsakDin" w:colFirst="0" w:colLast="0"/>
            <w:bookmarkEnd w:id="0"/>
            <w:bookmarkEnd w:id="4"/>
          </w:p>
          <w:p w14:paraId="77A249DD" w14:textId="77777777" w:rsidR="003E7712" w:rsidRPr="003E7712" w:rsidRDefault="003E7712" w:rsidP="003E7712">
            <w:pPr>
              <w:spacing w:line="360" w:lineRule="auto"/>
              <w:jc w:val="center"/>
              <w:rPr>
                <w:rFonts w:ascii="Arial" w:hAnsi="Arial"/>
                <w:b/>
                <w:bCs/>
                <w:rtl/>
              </w:rPr>
            </w:pPr>
            <w:r w:rsidRPr="003E7712">
              <w:rPr>
                <w:rFonts w:ascii="Arial" w:hAnsi="Arial"/>
                <w:b/>
                <w:bCs/>
                <w:rtl/>
              </w:rPr>
              <w:t>גזר דין</w:t>
            </w:r>
          </w:p>
          <w:p w14:paraId="27F8915B" w14:textId="77777777" w:rsidR="001B02F3" w:rsidRPr="003E7712" w:rsidRDefault="001B02F3" w:rsidP="003E7712">
            <w:pPr>
              <w:spacing w:line="360" w:lineRule="auto"/>
              <w:jc w:val="center"/>
              <w:rPr>
                <w:rFonts w:ascii="Arial" w:hAnsi="Arial"/>
                <w:b/>
                <w:bCs/>
                <w:rtl/>
              </w:rPr>
            </w:pPr>
          </w:p>
        </w:tc>
      </w:tr>
      <w:bookmarkEnd w:id="5"/>
    </w:tbl>
    <w:p w14:paraId="7575F958" w14:textId="77777777" w:rsidR="001B02F3" w:rsidRDefault="001B02F3">
      <w:pPr>
        <w:spacing w:line="360" w:lineRule="auto"/>
        <w:rPr>
          <w:b/>
          <w:bCs/>
          <w:rtl/>
        </w:rPr>
      </w:pPr>
    </w:p>
    <w:p w14:paraId="49EBADDD" w14:textId="77777777" w:rsidR="001B02F3" w:rsidRDefault="003E7712">
      <w:pPr>
        <w:bidi w:val="0"/>
        <w:spacing w:line="360" w:lineRule="auto"/>
        <w:jc w:val="right"/>
        <w:rPr>
          <w:b/>
          <w:bCs/>
        </w:rPr>
      </w:pPr>
      <w:bookmarkStart w:id="6" w:name="ABSTRACT_START"/>
      <w:bookmarkEnd w:id="6"/>
      <w:r>
        <w:rPr>
          <w:rFonts w:hint="cs"/>
          <w:b/>
          <w:bCs/>
          <w:rtl/>
        </w:rPr>
        <w:t xml:space="preserve">על פי הודעתו הורשע הנאשם בהחזקת סמים מסוכנים שלא לצריכה עצמית בכך שביום 14.2.13, בשעה 23:55 לערך, נעצר הנאשם אשר נהג באותה העת ברכבו, במחסום משטרתי בסמוך לצומת בילו ברחובות. </w:t>
      </w:r>
      <w:bookmarkStart w:id="7" w:name="ABSTRACT_END"/>
      <w:bookmarkEnd w:id="7"/>
      <w:r>
        <w:rPr>
          <w:rFonts w:hint="cs"/>
          <w:b/>
          <w:bCs/>
          <w:rtl/>
        </w:rPr>
        <w:t>בחיפוש שנערך ברכבו נמצאו:</w:t>
      </w:r>
    </w:p>
    <w:p w14:paraId="7179CBBA" w14:textId="77777777" w:rsidR="001B02F3" w:rsidRDefault="003E7712">
      <w:pPr>
        <w:bidi w:val="0"/>
        <w:spacing w:line="360" w:lineRule="auto"/>
        <w:jc w:val="right"/>
        <w:rPr>
          <w:b/>
          <w:bCs/>
          <w:rtl/>
        </w:rPr>
      </w:pPr>
      <w:r>
        <w:rPr>
          <w:rFonts w:hint="cs"/>
          <w:b/>
          <w:bCs/>
          <w:rtl/>
        </w:rPr>
        <w:t xml:space="preserve">א. קופסא ובה 10 מנות מחולקות של קוקאין, במשקל כולל </w:t>
      </w:r>
      <w:smartTag w:uri="urn:schemas-microsoft-com:office:smarttags" w:element="metricconverter">
        <w:smartTagPr>
          <w:attr w:name="ProductID" w:val="8.203 גרם"/>
        </w:smartTagPr>
        <w:r>
          <w:rPr>
            <w:rFonts w:hint="cs"/>
            <w:b/>
            <w:bCs/>
            <w:rtl/>
          </w:rPr>
          <w:t>8.203 גרם</w:t>
        </w:r>
      </w:smartTag>
      <w:r>
        <w:rPr>
          <w:rFonts w:hint="cs"/>
          <w:b/>
          <w:bCs/>
          <w:rtl/>
        </w:rPr>
        <w:t xml:space="preserve"> נטו.</w:t>
      </w:r>
    </w:p>
    <w:p w14:paraId="6889939B" w14:textId="77777777" w:rsidR="001B02F3" w:rsidRDefault="003E7712">
      <w:pPr>
        <w:bidi w:val="0"/>
        <w:spacing w:line="360" w:lineRule="auto"/>
        <w:jc w:val="right"/>
        <w:rPr>
          <w:b/>
          <w:bCs/>
          <w:rtl/>
        </w:rPr>
      </w:pPr>
      <w:r>
        <w:rPr>
          <w:rFonts w:hint="cs"/>
          <w:b/>
          <w:bCs/>
          <w:rtl/>
        </w:rPr>
        <w:t xml:space="preserve">ב. קופסא ובה 3 מנות מחולקות של קוקאין, במשקל כולל </w:t>
      </w:r>
      <w:smartTag w:uri="urn:schemas-microsoft-com:office:smarttags" w:element="metricconverter">
        <w:smartTagPr>
          <w:attr w:name="ProductID" w:val="2.4377 גרם"/>
        </w:smartTagPr>
        <w:r>
          <w:rPr>
            <w:rFonts w:hint="cs"/>
            <w:b/>
            <w:bCs/>
            <w:rtl/>
          </w:rPr>
          <w:t>2.4377 גרם</w:t>
        </w:r>
      </w:smartTag>
      <w:r>
        <w:rPr>
          <w:rFonts w:hint="cs"/>
          <w:b/>
          <w:bCs/>
          <w:rtl/>
        </w:rPr>
        <w:t xml:space="preserve"> נטו. </w:t>
      </w:r>
    </w:p>
    <w:p w14:paraId="00F09706" w14:textId="77777777" w:rsidR="001B02F3" w:rsidRDefault="003E7712">
      <w:pPr>
        <w:bidi w:val="0"/>
        <w:spacing w:line="360" w:lineRule="auto"/>
        <w:jc w:val="right"/>
        <w:rPr>
          <w:b/>
          <w:bCs/>
          <w:rtl/>
        </w:rPr>
      </w:pPr>
      <w:r>
        <w:rPr>
          <w:rFonts w:hint="cs"/>
          <w:b/>
          <w:bCs/>
          <w:rtl/>
        </w:rPr>
        <w:t xml:space="preserve">ג. קופסא ובה קוקאין עטוף בניילון, במשקל </w:t>
      </w:r>
      <w:smartTag w:uri="urn:schemas-microsoft-com:office:smarttags" w:element="metricconverter">
        <w:smartTagPr>
          <w:attr w:name="ProductID" w:val="4.4439 גרם"/>
        </w:smartTagPr>
        <w:r>
          <w:rPr>
            <w:rFonts w:hint="cs"/>
            <w:b/>
            <w:bCs/>
            <w:rtl/>
          </w:rPr>
          <w:t>4.4439 גרם</w:t>
        </w:r>
      </w:smartTag>
      <w:r>
        <w:rPr>
          <w:rFonts w:hint="cs"/>
          <w:b/>
          <w:bCs/>
          <w:rtl/>
        </w:rPr>
        <w:t xml:space="preserve"> נטו. </w:t>
      </w:r>
    </w:p>
    <w:p w14:paraId="28DE825E" w14:textId="77777777" w:rsidR="001B02F3" w:rsidRDefault="003E7712">
      <w:pPr>
        <w:bidi w:val="0"/>
        <w:spacing w:line="360" w:lineRule="auto"/>
        <w:jc w:val="right"/>
        <w:rPr>
          <w:b/>
          <w:bCs/>
          <w:rtl/>
        </w:rPr>
      </w:pPr>
      <w:r>
        <w:rPr>
          <w:rFonts w:hint="cs"/>
          <w:b/>
          <w:bCs/>
          <w:rtl/>
        </w:rPr>
        <w:t xml:space="preserve">ד. פנקס עם רשימת שמות ובצדם מספרים שונים, כך למשל: הנרי 3.7, אייל 3.4, מאיר 1.4, חייקה 2.0. </w:t>
      </w:r>
    </w:p>
    <w:p w14:paraId="7B3C2B09" w14:textId="77777777" w:rsidR="001B02F3" w:rsidRDefault="003E7712">
      <w:pPr>
        <w:bidi w:val="0"/>
        <w:spacing w:line="360" w:lineRule="auto"/>
        <w:jc w:val="right"/>
        <w:rPr>
          <w:b/>
          <w:bCs/>
          <w:rtl/>
        </w:rPr>
      </w:pPr>
      <w:r>
        <w:rPr>
          <w:rFonts w:hint="cs"/>
          <w:b/>
          <w:bCs/>
          <w:rtl/>
        </w:rPr>
        <w:lastRenderedPageBreak/>
        <w:t xml:space="preserve">בהמשך , בחיפוש שנערך בביתו, נמצאה בארון חדרו של הנאשם קופסא ובה 7 מנות מחולקות של קוקאין, במשקל כולל </w:t>
      </w:r>
      <w:smartTag w:uri="urn:schemas-microsoft-com:office:smarttags" w:element="metricconverter">
        <w:smartTagPr>
          <w:attr w:name="ProductID" w:val="6.0417 גרם"/>
        </w:smartTagPr>
        <w:r>
          <w:rPr>
            <w:rFonts w:hint="cs"/>
            <w:b/>
            <w:bCs/>
            <w:rtl/>
          </w:rPr>
          <w:t>6.0417 גרם</w:t>
        </w:r>
      </w:smartTag>
      <w:r>
        <w:rPr>
          <w:rFonts w:hint="cs"/>
          <w:b/>
          <w:bCs/>
          <w:rtl/>
        </w:rPr>
        <w:t xml:space="preserve"> נטו. </w:t>
      </w:r>
    </w:p>
    <w:p w14:paraId="4E4BEA46" w14:textId="77777777" w:rsidR="001B02F3" w:rsidRDefault="003E7712">
      <w:pPr>
        <w:spacing w:line="360" w:lineRule="auto"/>
        <w:rPr>
          <w:b/>
          <w:bCs/>
          <w:rtl/>
        </w:rPr>
      </w:pPr>
      <w:r>
        <w:rPr>
          <w:rFonts w:hint="cs"/>
          <w:b/>
          <w:bCs/>
          <w:rtl/>
        </w:rPr>
        <w:t xml:space="preserve">המשקל הכולל של הקוקאין, מחולק למנות, שהחזיק הנאשם הוא  </w:t>
      </w:r>
      <w:smartTag w:uri="urn:schemas-microsoft-com:office:smarttags" w:element="metricconverter">
        <w:smartTagPr>
          <w:attr w:name="ProductID" w:val="21.1263 גרם"/>
        </w:smartTagPr>
        <w:r>
          <w:rPr>
            <w:rFonts w:hint="cs"/>
            <w:b/>
            <w:bCs/>
            <w:rtl/>
          </w:rPr>
          <w:t>21.1263 גרם</w:t>
        </w:r>
      </w:smartTag>
      <w:r>
        <w:rPr>
          <w:rFonts w:hint="cs"/>
          <w:b/>
          <w:bCs/>
          <w:rtl/>
        </w:rPr>
        <w:t xml:space="preserve"> נטו. </w:t>
      </w:r>
    </w:p>
    <w:p w14:paraId="5167542C" w14:textId="77777777" w:rsidR="001B02F3" w:rsidRDefault="001B02F3">
      <w:pPr>
        <w:bidi w:val="0"/>
        <w:spacing w:line="360" w:lineRule="auto"/>
        <w:jc w:val="right"/>
        <w:rPr>
          <w:b/>
          <w:bCs/>
          <w:rtl/>
        </w:rPr>
      </w:pPr>
    </w:p>
    <w:p w14:paraId="04150689" w14:textId="77777777" w:rsidR="001B02F3" w:rsidRDefault="003E7712">
      <w:pPr>
        <w:bidi w:val="0"/>
        <w:spacing w:line="360" w:lineRule="auto"/>
        <w:jc w:val="right"/>
        <w:rPr>
          <w:b/>
          <w:bCs/>
          <w:rtl/>
        </w:rPr>
      </w:pPr>
      <w:r>
        <w:rPr>
          <w:rFonts w:hint="cs"/>
          <w:b/>
          <w:bCs/>
          <w:rtl/>
        </w:rPr>
        <w:t xml:space="preserve">בעניינו של הנאשם הוגש תסקיר שירות מבחן ממנו עולה כי הנאשם כבן 27, רווק, מתגורר כיום ביבנה, בבית הוריו, ונמצא במעצר בית במסגרת ההליך הנוכחי. מזה כ-3 חודשים, עובד הנאשם בתחום האינסטלציה. מחוות דעת מעסיקו, הנאשם מתואר כעובד חרוץ ומסור, אשר מבצע את תפקידו בצורה ראויה לשבח. </w:t>
      </w:r>
    </w:p>
    <w:p w14:paraId="35A8747C" w14:textId="77777777" w:rsidR="001B02F3" w:rsidRDefault="001B02F3">
      <w:pPr>
        <w:bidi w:val="0"/>
        <w:spacing w:line="360" w:lineRule="auto"/>
        <w:jc w:val="right"/>
        <w:rPr>
          <w:b/>
          <w:bCs/>
          <w:rtl/>
        </w:rPr>
      </w:pPr>
    </w:p>
    <w:p w14:paraId="1A89942A" w14:textId="77777777" w:rsidR="001B02F3" w:rsidRDefault="003E7712">
      <w:pPr>
        <w:bidi w:val="0"/>
        <w:spacing w:line="360" w:lineRule="auto"/>
        <w:jc w:val="right"/>
        <w:rPr>
          <w:b/>
          <w:bCs/>
          <w:rtl/>
        </w:rPr>
      </w:pPr>
      <w:r>
        <w:rPr>
          <w:rFonts w:hint="cs"/>
          <w:b/>
          <w:bCs/>
          <w:rtl/>
        </w:rPr>
        <w:t xml:space="preserve">בהתייחס לעבירות נשוא הדיון הנוכחי וביחס לדפוסי השימוש בסמים, הנאשם מסר כי החל לצרוך קוקאין לפני כשנה והשתמש בסמים אלו למשך שלושה חודשים, עד למעצרו. הנאשם תאר כי החל להשתמש בקוקאין בנסיבות חברתיות ובהמשך העמיק את צריכת הסמים. </w:t>
      </w:r>
    </w:p>
    <w:p w14:paraId="2B05BDF1" w14:textId="77777777" w:rsidR="001B02F3" w:rsidRDefault="003E7712">
      <w:pPr>
        <w:bidi w:val="0"/>
        <w:spacing w:line="360" w:lineRule="auto"/>
        <w:jc w:val="right"/>
        <w:rPr>
          <w:b/>
          <w:bCs/>
          <w:rtl/>
        </w:rPr>
      </w:pPr>
      <w:r>
        <w:rPr>
          <w:rFonts w:hint="cs"/>
          <w:b/>
          <w:bCs/>
          <w:rtl/>
        </w:rPr>
        <w:t xml:space="preserve">הנאשם הסביר את כמויות הסם שנתפסו אצלו לצורך שימוש עצמי. כיום הנאשם מביע צער על התנהלותו הבעייתית ביחס לשימוש בסם וציין כי מאז ביצוע העבירה אינו צורך סמים וניתק את קשריו עם סביבה שולית. שירות המבחן מעריך כי הנאשם מודע במידה רבה יותר לבחירת דרך התמודדות בעייתית עם קשייו, אשר הובילה לשימוש בסם. </w:t>
      </w:r>
    </w:p>
    <w:p w14:paraId="16548040" w14:textId="77777777" w:rsidR="001B02F3" w:rsidRDefault="003E7712">
      <w:pPr>
        <w:bidi w:val="0"/>
        <w:spacing w:line="360" w:lineRule="auto"/>
        <w:jc w:val="right"/>
        <w:rPr>
          <w:b/>
          <w:bCs/>
          <w:rtl/>
        </w:rPr>
      </w:pPr>
      <w:r>
        <w:rPr>
          <w:rFonts w:hint="cs"/>
          <w:b/>
          <w:bCs/>
          <w:rtl/>
        </w:rPr>
        <w:t xml:space="preserve">שירות המבחן התרשם כי הנאשם השתמש בסמים כאמצעי להשגת רגיעה נפשית ולהפחתת לחצים נפשיים וטשטושם, תוך הימנעות מהתמודדות עם קשיי חייו ומתוך רצון לחזק את ביטחונו העצמי ולחזק את קשריו החברתיים. במסגרת הליך המעצר, הנאשם הביע נכונות ראשונית להשתלב בהליך טיפולי, ולפיכך הופנה ליחידה להתמכרויות ביבנה. </w:t>
      </w:r>
    </w:p>
    <w:p w14:paraId="42C8C57B" w14:textId="77777777" w:rsidR="001B02F3" w:rsidRDefault="001B02F3">
      <w:pPr>
        <w:bidi w:val="0"/>
        <w:spacing w:line="360" w:lineRule="auto"/>
        <w:jc w:val="right"/>
        <w:rPr>
          <w:b/>
          <w:bCs/>
          <w:rtl/>
        </w:rPr>
      </w:pPr>
    </w:p>
    <w:p w14:paraId="2B4CDC4C" w14:textId="77777777" w:rsidR="001B02F3" w:rsidRDefault="003E7712">
      <w:pPr>
        <w:bidi w:val="0"/>
        <w:spacing w:line="360" w:lineRule="auto"/>
        <w:jc w:val="right"/>
        <w:rPr>
          <w:b/>
          <w:bCs/>
          <w:rtl/>
        </w:rPr>
      </w:pPr>
      <w:r>
        <w:rPr>
          <w:rFonts w:hint="cs"/>
          <w:b/>
          <w:bCs/>
          <w:rtl/>
        </w:rPr>
        <w:t xml:space="preserve">מחוות דעת עדכנית אודותיו, מתאריך 08.12.2013, מגורמי הטיפול ביחידה, עולה כי הנאשם החל בטיפול בחודש אפריל 2013. הנאשם מגלה רצינות והתמדה ביחס להליך הטיפולי, אשר כולל שיחות פרטניות שבועיות ובדיקות שתן רציפות, אשר מעידות על העדר שימוש בסמים. ככל שמעמיק הקשר הטיפולי, הנאשם מראה נכונות לבדיקה עצמית ולבחינת הסיבות אשר הובילו אותו לשימוש בסמים, תוך יכולת לשיתוף פעולה עם מטרות הטיפול והבעת מוטיבציה ומחויבות להמשך הטיפול ושינוי דפוסי התמכרותו. </w:t>
      </w:r>
    </w:p>
    <w:p w14:paraId="3EAC1691" w14:textId="77777777" w:rsidR="001B02F3" w:rsidRDefault="003E7712">
      <w:pPr>
        <w:bidi w:val="0"/>
        <w:spacing w:line="360" w:lineRule="auto"/>
        <w:jc w:val="right"/>
        <w:rPr>
          <w:b/>
          <w:bCs/>
          <w:rtl/>
        </w:rPr>
      </w:pPr>
      <w:r>
        <w:rPr>
          <w:rFonts w:hint="cs"/>
          <w:b/>
          <w:bCs/>
          <w:rtl/>
        </w:rPr>
        <w:t xml:space="preserve">בסיכום האבחון הנוכחי ובבחינת הסיכון הנשקף ממצבו, מדובר בבחור צעיר, רגיש ומופנם, אשר קשייו הרגשיים הניכרים הובילו אותו, לשימוש בסמים, כאמצעי חלופי להתמודדות עם קשייו. עוד בלטו קשייו של הנאשם להיעזר בגורמי תמיכה משפחתיים לאורך השנים ונטייתו להפנים ולהדחיק את קשייו ולהתמודד עימם בכוחות עצמו. </w:t>
      </w:r>
    </w:p>
    <w:p w14:paraId="6AEA9309" w14:textId="77777777" w:rsidR="001B02F3" w:rsidRDefault="003E7712">
      <w:pPr>
        <w:bidi w:val="0"/>
        <w:spacing w:line="360" w:lineRule="auto"/>
        <w:jc w:val="right"/>
        <w:rPr>
          <w:b/>
          <w:bCs/>
          <w:rtl/>
        </w:rPr>
      </w:pPr>
      <w:r>
        <w:rPr>
          <w:rFonts w:hint="cs"/>
          <w:b/>
          <w:bCs/>
          <w:rtl/>
        </w:rPr>
        <w:t xml:space="preserve">לצד זאת, בבחינת גורמי הסיכוי והשיקום, מדובר בנאשם נבון, בעל תפקוד תעסוקתי תקין לאורך השנים, אשר גדל בסביבה משפחתית נורמטיבית.  בנוסף, הנאשם משתף פעולה עם שירות המבחן באופן מלא ותקין. הנאשם נעדר עבר פלילי ומאז ביצוע העבירות לא נפתחו כנגדו תיקים נוספים. בנוסף התרשם שירות המבחן כי הוא אינו בעל מאפיינים עבריינים וניכר כי חווית המעצר הקשה </w:t>
      </w:r>
      <w:r>
        <w:rPr>
          <w:rFonts w:hint="cs"/>
          <w:b/>
          <w:bCs/>
          <w:rtl/>
        </w:rPr>
        <w:lastRenderedPageBreak/>
        <w:t xml:space="preserve">והראשונה אותה חווה, הותירה בו חותם משמעותי ושירות המבחן סבור כי ההליך המשפטי הנוכחי מהווה גורם מרתיע ומציב גבול עבורו. כמו כן, הנאשם כאמור מצוי בטיפול מזה כחצי שנה ועד כה משתף פעולה בצורה תקינה עם התהליך הטיפולי ונקי כיום מסמים. </w:t>
      </w:r>
    </w:p>
    <w:p w14:paraId="4417C2B8" w14:textId="77777777" w:rsidR="001B02F3" w:rsidRDefault="001B02F3">
      <w:pPr>
        <w:bidi w:val="0"/>
        <w:spacing w:line="360" w:lineRule="auto"/>
        <w:jc w:val="right"/>
        <w:rPr>
          <w:b/>
          <w:bCs/>
          <w:rtl/>
        </w:rPr>
      </w:pPr>
    </w:p>
    <w:p w14:paraId="5E95EFD3" w14:textId="77777777" w:rsidR="001B02F3" w:rsidRDefault="003E7712">
      <w:pPr>
        <w:bidi w:val="0"/>
        <w:spacing w:line="360" w:lineRule="auto"/>
        <w:jc w:val="right"/>
        <w:rPr>
          <w:b/>
          <w:bCs/>
          <w:rtl/>
        </w:rPr>
      </w:pPr>
      <w:r>
        <w:rPr>
          <w:rFonts w:hint="cs"/>
          <w:b/>
          <w:bCs/>
          <w:rtl/>
        </w:rPr>
        <w:t xml:space="preserve">נוכח נשיאתו באחריות לביצוע העבירות והתגייסותו לתהליך הטיפולי, שירות המבחן סבור כי קיימת חשיבות להיבט השיקומי ולאור זאת, ממליץ שירות המבחן להעמיד את הנאשם בצו מבחן למשך שנה, בכפוף להמשך הטיפול אותו עובר בחצי שנה האחרונה, במסגרת היחידה להתמכרויות ביבנה. בתקופת המבחן, שירות המבחן יעקוב אחר המשך התהליך הטיפולי בו משתתף כיום כמו גם יהווה עבורו גורם תומך, מלווה ומפקח. שירות המבחן מעריך כי המשך הטיפול המותאם למצבו יפחית את הסיכון להישנות עבירות דומות בעתיד.  בנוסף, במסגרת צו המבחן שירות המבחן יעבד עמו את חומרת מעשיו ויכולתו לראות את הנזק שנגרם כתוצאה ממעשיו. </w:t>
      </w:r>
    </w:p>
    <w:p w14:paraId="391E4978" w14:textId="77777777" w:rsidR="001B02F3" w:rsidRDefault="003E7712">
      <w:pPr>
        <w:bidi w:val="0"/>
        <w:spacing w:line="360" w:lineRule="auto"/>
        <w:jc w:val="right"/>
        <w:rPr>
          <w:b/>
          <w:bCs/>
          <w:rtl/>
        </w:rPr>
      </w:pPr>
      <w:r>
        <w:rPr>
          <w:rFonts w:hint="cs"/>
          <w:b/>
          <w:bCs/>
          <w:rtl/>
        </w:rPr>
        <w:t xml:space="preserve">כמו כן, המליץ שירות המבחן  להטיל על הנאשם צו של"צ, בהיקף שעות משמעותי. עונש זה הולם ובעל  משמעותו חינוכית, קונקרטית וחברתית עבור הנאשם ויסייע מחד למנוע את טשטוש העבירה, ומאידך יאפשר לו את המשך שיקומו התעסוקתי ולהמשיך ולטול חלק באופן תקין ורציף בטיפול אותו עובר, אשר דורש משאבים רגשיים משמעותיים. הנאשם נמצא מתאים והביע נכונות לבצע ענישה מסוג זה. </w:t>
      </w:r>
    </w:p>
    <w:p w14:paraId="59F555F0" w14:textId="77777777" w:rsidR="001B02F3" w:rsidRDefault="001B02F3">
      <w:pPr>
        <w:bidi w:val="0"/>
        <w:spacing w:line="360" w:lineRule="auto"/>
        <w:jc w:val="right"/>
        <w:rPr>
          <w:b/>
          <w:bCs/>
        </w:rPr>
      </w:pPr>
    </w:p>
    <w:p w14:paraId="33EEADC2" w14:textId="77777777" w:rsidR="001B02F3" w:rsidRDefault="003E7712">
      <w:pPr>
        <w:bidi w:val="0"/>
        <w:spacing w:line="360" w:lineRule="auto"/>
        <w:jc w:val="right"/>
        <w:rPr>
          <w:b/>
          <w:bCs/>
        </w:rPr>
      </w:pPr>
      <w:r>
        <w:rPr>
          <w:rFonts w:hint="cs"/>
          <w:b/>
          <w:bCs/>
          <w:rtl/>
        </w:rPr>
        <w:t>ב"כ המאשימה ציינה בפתח דבריה כי העיקרון המנחה לאחר תיקון 113 הוא עקרון ההלימה, כלומר היחס ההולם בין חומרת המעשה, נסיבותיו ומידת האשם, לבין סוג ומידת המוטל על הנאשם.</w:t>
      </w:r>
    </w:p>
    <w:p w14:paraId="668CAF96" w14:textId="77777777" w:rsidR="001B02F3" w:rsidRDefault="001B02F3">
      <w:pPr>
        <w:bidi w:val="0"/>
        <w:spacing w:line="360" w:lineRule="auto"/>
        <w:jc w:val="right"/>
        <w:rPr>
          <w:b/>
          <w:bCs/>
          <w:rtl/>
        </w:rPr>
      </w:pPr>
    </w:p>
    <w:p w14:paraId="3E38EB9A" w14:textId="77777777" w:rsidR="001B02F3" w:rsidRDefault="003E7712">
      <w:pPr>
        <w:bidi w:val="0"/>
        <w:spacing w:line="360" w:lineRule="auto"/>
        <w:jc w:val="right"/>
        <w:rPr>
          <w:b/>
          <w:bCs/>
          <w:rtl/>
        </w:rPr>
      </w:pPr>
      <w:r>
        <w:rPr>
          <w:rFonts w:hint="cs"/>
          <w:b/>
          <w:bCs/>
          <w:rtl/>
        </w:rPr>
        <w:t xml:space="preserve">ב"כ המאשימה הדגישה כי הערך החברתי המוגן , הינו החובה להגן על בריאותו ושלומו הפיזי והנפשי של הציבור והצורך למנוע פגיעה ונזק לחברה, אשר נגרמים מהתופעה הקשה של התמכרות לחומרים פסיכואקטיביים משנה תודעה. יודגש כי הנזק לציבור אינו רק בריאותי, אלא גם רכושי, בגין מעשי העבירה הנלווים, הנובעים מהצורך להשביע הרעב הבלתי נדלה לסמים כמו גם הצורך לממן התמכרות יקרה זו. </w:t>
      </w:r>
    </w:p>
    <w:p w14:paraId="28B3522E" w14:textId="77777777" w:rsidR="001B02F3" w:rsidRDefault="001B02F3">
      <w:pPr>
        <w:bidi w:val="0"/>
        <w:spacing w:line="360" w:lineRule="auto"/>
        <w:jc w:val="right"/>
        <w:rPr>
          <w:b/>
          <w:bCs/>
          <w:rtl/>
        </w:rPr>
      </w:pPr>
    </w:p>
    <w:p w14:paraId="02648362" w14:textId="77777777" w:rsidR="001B02F3" w:rsidRDefault="003E7712">
      <w:pPr>
        <w:bidi w:val="0"/>
        <w:spacing w:line="360" w:lineRule="auto"/>
        <w:jc w:val="right"/>
        <w:rPr>
          <w:b/>
          <w:bCs/>
          <w:rtl/>
        </w:rPr>
      </w:pPr>
      <w:r>
        <w:rPr>
          <w:rFonts w:hint="cs"/>
          <w:b/>
          <w:bCs/>
          <w:rtl/>
        </w:rPr>
        <w:t xml:space="preserve">ב"כ המאשימה ציינה כי הסכנה הנשקפת ממי שמהווה חוליה בשרשרת הסמים ידועה, ולא בכדי קבע המחוקק לצד העבירה של החזקת סם שלא לצריכה עצמית וסחר בו, וכן כל עסקה אחרת בסם עונש מאסר לתקופה ארוכה . </w:t>
      </w:r>
    </w:p>
    <w:p w14:paraId="651103D1" w14:textId="77777777" w:rsidR="001B02F3" w:rsidRDefault="001B02F3">
      <w:pPr>
        <w:bidi w:val="0"/>
        <w:spacing w:line="360" w:lineRule="auto"/>
        <w:jc w:val="right"/>
        <w:rPr>
          <w:b/>
          <w:bCs/>
          <w:rtl/>
        </w:rPr>
      </w:pPr>
    </w:p>
    <w:p w14:paraId="58CC5220" w14:textId="77777777" w:rsidR="001B02F3" w:rsidRDefault="003E7712">
      <w:pPr>
        <w:bidi w:val="0"/>
        <w:spacing w:line="360" w:lineRule="auto"/>
        <w:jc w:val="right"/>
        <w:rPr>
          <w:b/>
          <w:bCs/>
          <w:rtl/>
        </w:rPr>
      </w:pPr>
      <w:r>
        <w:rPr>
          <w:rFonts w:hint="cs"/>
          <w:b/>
          <w:bCs/>
          <w:rtl/>
        </w:rPr>
        <w:t xml:space="preserve">ב"כ המאשימה ציינה כי בתי המשפט אשר דנו בעבירות לפי פקודת הסמים, חזרו והדגישו את הצורך להטיל ענישה מחמירה על מבצעיהם, כצעד מתחייב לשם ביעור נגע הסמים. לפיכך מצווים בתי המשפט להעביר מסר ברור וחד משמעי של הוקעת עבירות הסמים, בין היתר באמצעות הטלת עונשי מאסר ממושכים על מבצעי העבירות. </w:t>
      </w:r>
    </w:p>
    <w:p w14:paraId="3177875E" w14:textId="77777777" w:rsidR="001B02F3" w:rsidRDefault="001B02F3">
      <w:pPr>
        <w:bidi w:val="0"/>
        <w:spacing w:line="360" w:lineRule="auto"/>
        <w:jc w:val="right"/>
        <w:rPr>
          <w:b/>
          <w:bCs/>
          <w:rtl/>
        </w:rPr>
      </w:pPr>
    </w:p>
    <w:p w14:paraId="5190F0A6" w14:textId="77777777" w:rsidR="001B02F3" w:rsidRDefault="003E7712">
      <w:pPr>
        <w:bidi w:val="0"/>
        <w:spacing w:line="360" w:lineRule="auto"/>
        <w:jc w:val="right"/>
        <w:rPr>
          <w:b/>
          <w:bCs/>
          <w:rtl/>
        </w:rPr>
      </w:pPr>
      <w:r>
        <w:rPr>
          <w:rFonts w:hint="cs"/>
          <w:b/>
          <w:bCs/>
          <w:rtl/>
        </w:rPr>
        <w:t xml:space="preserve">ב"כ המאשימה טענה תוך שסמכה ידה על הפסיקה כי מתחם העונש ההולם נע בין 7-16 חודשי מאסר. </w:t>
      </w:r>
    </w:p>
    <w:p w14:paraId="406CDF6E" w14:textId="77777777" w:rsidR="001B02F3" w:rsidRDefault="003E7712">
      <w:pPr>
        <w:bidi w:val="0"/>
        <w:spacing w:line="360" w:lineRule="auto"/>
        <w:jc w:val="right"/>
        <w:rPr>
          <w:b/>
          <w:bCs/>
          <w:rtl/>
        </w:rPr>
      </w:pPr>
      <w:r>
        <w:rPr>
          <w:rFonts w:hint="cs"/>
          <w:b/>
          <w:bCs/>
          <w:rtl/>
        </w:rPr>
        <w:t xml:space="preserve">ב"כ המאשימה ציינה כי מדובר בנאשם כבן 27 ללא עבר פלילי, אשר הודה בהזדמנות הראשונה.  בנוסף, מהתסקיר שהוגש בעניינו עולה כי הנאשם עבר הליך טיפולי לניקיון מסמים והוא מתמיד בו במשך חודשים ארוכים. אך יחד עם זאת  יודגש כי התסקיר יוצא מתוך נקודת הנחה וכך גם הנאשם, כי מדובר בעבירה שבוצעה על רקע שימוש בסמים בלבד, כאשר הסם שנתפס לאור הנסיבות מצביע על שימוש בסמים שלא לצריכה עצמית , כמו גם העובדה שהנאשם הודה בעבירה  של שימוש בסם שלא לצריכה עצמית , למעשה מבטלים את המלצת התסקיר, שכן לא קיימת כל התמודדות בתסקיר עם העובדה שמדובר בסם שלא לצריכה עצמית.  </w:t>
      </w:r>
    </w:p>
    <w:p w14:paraId="2BC4519C" w14:textId="77777777" w:rsidR="001B02F3" w:rsidRDefault="001B02F3">
      <w:pPr>
        <w:bidi w:val="0"/>
        <w:spacing w:line="360" w:lineRule="auto"/>
        <w:jc w:val="right"/>
        <w:rPr>
          <w:b/>
          <w:bCs/>
          <w:rtl/>
        </w:rPr>
      </w:pPr>
    </w:p>
    <w:p w14:paraId="257B8E90" w14:textId="77777777" w:rsidR="001B02F3" w:rsidRDefault="003E7712">
      <w:pPr>
        <w:bidi w:val="0"/>
        <w:spacing w:line="360" w:lineRule="auto"/>
        <w:jc w:val="right"/>
        <w:rPr>
          <w:b/>
          <w:bCs/>
          <w:rtl/>
        </w:rPr>
      </w:pPr>
      <w:r>
        <w:rPr>
          <w:rFonts w:hint="cs"/>
          <w:b/>
          <w:bCs/>
          <w:rtl/>
        </w:rPr>
        <w:t xml:space="preserve">נוכח האמור אין מקום לתת משקל לשיקול השיקום לצורך סטייה מהמתחם שהוצג. אך יחד עם זאת לאור הנסיבות שצוינו לעיל לרבות העובדה כי מדובר בנאשם צעיר אשר הודה בהזדמנות הראשונה, עתרה ב"כ המאשימה להשית על הנאשם ענישה ברף הנמוך של המתחם שהוצג, מאסר על תנאי, קנס, חילוט הכסף שנתפס והשמדת הסם.  </w:t>
      </w:r>
    </w:p>
    <w:p w14:paraId="1018E955" w14:textId="77777777" w:rsidR="001B02F3" w:rsidRDefault="001B02F3">
      <w:pPr>
        <w:bidi w:val="0"/>
        <w:spacing w:line="360" w:lineRule="auto"/>
        <w:jc w:val="right"/>
        <w:rPr>
          <w:b/>
          <w:bCs/>
          <w:rtl/>
        </w:rPr>
      </w:pPr>
    </w:p>
    <w:p w14:paraId="26BC0C24" w14:textId="77777777" w:rsidR="001B02F3" w:rsidRDefault="003E7712">
      <w:pPr>
        <w:bidi w:val="0"/>
        <w:spacing w:line="360" w:lineRule="auto"/>
        <w:jc w:val="right"/>
        <w:rPr>
          <w:b/>
          <w:bCs/>
          <w:rtl/>
        </w:rPr>
      </w:pPr>
      <w:r>
        <w:rPr>
          <w:rFonts w:hint="cs"/>
          <w:b/>
          <w:bCs/>
          <w:rtl/>
        </w:rPr>
        <w:t>ב"כ הנאשם פתח את טיעוניו בכך שמדובר בנאשם כבן 27, ללא עבר פלילי, שזאת למעשה מעידתו הראשונה, בן למשפחה נורמטיבית לחלוטין  אשר הורשע בהחזקת 21 גרם קוקאין.</w:t>
      </w:r>
    </w:p>
    <w:p w14:paraId="172A85A4" w14:textId="77777777" w:rsidR="001B02F3" w:rsidRDefault="001B02F3">
      <w:pPr>
        <w:bidi w:val="0"/>
        <w:spacing w:line="360" w:lineRule="auto"/>
        <w:jc w:val="right"/>
        <w:rPr>
          <w:b/>
          <w:bCs/>
          <w:rtl/>
        </w:rPr>
      </w:pPr>
    </w:p>
    <w:p w14:paraId="55559FC5" w14:textId="77777777" w:rsidR="001B02F3" w:rsidRDefault="003E7712">
      <w:pPr>
        <w:bidi w:val="0"/>
        <w:spacing w:line="360" w:lineRule="auto"/>
        <w:jc w:val="right"/>
        <w:rPr>
          <w:b/>
          <w:bCs/>
          <w:rtl/>
        </w:rPr>
      </w:pPr>
      <w:r>
        <w:rPr>
          <w:rFonts w:hint="cs"/>
          <w:b/>
          <w:bCs/>
          <w:rtl/>
        </w:rPr>
        <w:t xml:space="preserve">ב"כ הנאשם ציין כי אין מחלוקת שהנאשם נעצר במחסום משטרתי רגיל ולא באיזה פעילות מיוחדת, כאשר אותו שוטר ניגש אל רכבו וראה את הסמים מונחים ליד ידית ההילוכים, או אז לקח הנאשם את השוטרים לביתו והראה להם את הסמים אשר נתפסו אצלו בבית. </w:t>
      </w:r>
    </w:p>
    <w:p w14:paraId="50DF3570" w14:textId="77777777" w:rsidR="001B02F3" w:rsidRDefault="001B02F3">
      <w:pPr>
        <w:bidi w:val="0"/>
        <w:spacing w:line="360" w:lineRule="auto"/>
        <w:jc w:val="right"/>
        <w:rPr>
          <w:b/>
          <w:bCs/>
          <w:rtl/>
        </w:rPr>
      </w:pPr>
    </w:p>
    <w:p w14:paraId="1E11E09B" w14:textId="77777777" w:rsidR="001B02F3" w:rsidRDefault="003E7712">
      <w:pPr>
        <w:bidi w:val="0"/>
        <w:spacing w:line="360" w:lineRule="auto"/>
        <w:jc w:val="right"/>
        <w:rPr>
          <w:b/>
          <w:bCs/>
          <w:rtl/>
        </w:rPr>
      </w:pPr>
      <w:r>
        <w:rPr>
          <w:rFonts w:hint="cs"/>
          <w:b/>
          <w:bCs/>
          <w:rtl/>
        </w:rPr>
        <w:t xml:space="preserve">ב"כ הנאשם הדגיש כי הנאשם החל הליך שיקומי במסגרת שירות מבחן אשר מצוי עתה בעיצומו והוסיף כי הנאשם היה במעצר בית תקופה לא קצרה, אשר עד לשחרורו ממעצר הספיק לרצות מעצר של כחודש ימים. </w:t>
      </w:r>
    </w:p>
    <w:p w14:paraId="2EE268C3" w14:textId="77777777" w:rsidR="001B02F3" w:rsidRDefault="001B02F3">
      <w:pPr>
        <w:bidi w:val="0"/>
        <w:spacing w:line="360" w:lineRule="auto"/>
        <w:jc w:val="right"/>
        <w:rPr>
          <w:b/>
          <w:bCs/>
          <w:rtl/>
        </w:rPr>
      </w:pPr>
    </w:p>
    <w:p w14:paraId="3ED9BB22" w14:textId="77777777" w:rsidR="001B02F3" w:rsidRDefault="003E7712">
      <w:pPr>
        <w:bidi w:val="0"/>
        <w:spacing w:line="360" w:lineRule="auto"/>
        <w:jc w:val="right"/>
        <w:rPr>
          <w:b/>
          <w:bCs/>
          <w:rtl/>
        </w:rPr>
      </w:pPr>
      <w:r>
        <w:rPr>
          <w:rFonts w:hint="cs"/>
          <w:b/>
          <w:bCs/>
          <w:rtl/>
        </w:rPr>
        <w:t xml:space="preserve">ב"כ הנאשם ציין כי הנאשם עובד מזה כשלושה חודשים בתחום האינסטלציה , כאשר מחוות דעת מעסיקו, עולה כי מדובר בעובד חרוץ ומסור אשר מבצע את תפקידו בצורה הראויה לשבח. </w:t>
      </w:r>
    </w:p>
    <w:p w14:paraId="41ECED54" w14:textId="77777777" w:rsidR="001B02F3" w:rsidRDefault="001B02F3">
      <w:pPr>
        <w:bidi w:val="0"/>
        <w:spacing w:line="360" w:lineRule="auto"/>
        <w:jc w:val="right"/>
        <w:rPr>
          <w:b/>
          <w:bCs/>
          <w:rtl/>
        </w:rPr>
      </w:pPr>
    </w:p>
    <w:p w14:paraId="39599186" w14:textId="77777777" w:rsidR="001B02F3" w:rsidRDefault="003E7712">
      <w:pPr>
        <w:bidi w:val="0"/>
        <w:spacing w:line="360" w:lineRule="auto"/>
        <w:jc w:val="right"/>
        <w:rPr>
          <w:b/>
          <w:bCs/>
          <w:rtl/>
        </w:rPr>
      </w:pPr>
      <w:r>
        <w:rPr>
          <w:rFonts w:hint="cs"/>
          <w:b/>
          <w:bCs/>
          <w:rtl/>
        </w:rPr>
        <w:t xml:space="preserve">ב"כ הנאשם טען כי מעצרו של הנאשם הביא לטלטלה הן לנאשם והן למשפחתו הגרעינית ולשיפור המצב ביניהם כאשר שירות המבחן מציין בתסקירו את הבעייתיות שהייתה לנאשם עם משפחתו. </w:t>
      </w:r>
    </w:p>
    <w:p w14:paraId="3C308BA2" w14:textId="77777777" w:rsidR="001B02F3" w:rsidRDefault="001B02F3">
      <w:pPr>
        <w:bidi w:val="0"/>
        <w:spacing w:line="360" w:lineRule="auto"/>
        <w:jc w:val="right"/>
        <w:rPr>
          <w:b/>
          <w:bCs/>
          <w:rtl/>
        </w:rPr>
      </w:pPr>
    </w:p>
    <w:p w14:paraId="2D69AA68" w14:textId="77777777" w:rsidR="001B02F3" w:rsidRDefault="003E7712">
      <w:pPr>
        <w:bidi w:val="0"/>
        <w:spacing w:line="360" w:lineRule="auto"/>
        <w:jc w:val="right"/>
        <w:rPr>
          <w:b/>
          <w:bCs/>
          <w:rtl/>
        </w:rPr>
      </w:pPr>
      <w:r>
        <w:rPr>
          <w:rFonts w:hint="cs"/>
          <w:b/>
          <w:bCs/>
          <w:rtl/>
        </w:rPr>
        <w:t xml:space="preserve">ב"כ הנאשם ציין כי מדובר בנאשם אשר מוצבת מולו מטרה והוא אכן עומד בה והוסיף כי לאורך השנים תפקודו התעסוקתי של הנאשם היה תקין. </w:t>
      </w:r>
    </w:p>
    <w:p w14:paraId="49BB287B" w14:textId="77777777" w:rsidR="001B02F3" w:rsidRDefault="001B02F3">
      <w:pPr>
        <w:bidi w:val="0"/>
        <w:spacing w:line="360" w:lineRule="auto"/>
        <w:jc w:val="right"/>
        <w:rPr>
          <w:b/>
          <w:bCs/>
          <w:rtl/>
        </w:rPr>
      </w:pPr>
    </w:p>
    <w:p w14:paraId="2C0CC236" w14:textId="77777777" w:rsidR="001B02F3" w:rsidRDefault="003E7712">
      <w:pPr>
        <w:bidi w:val="0"/>
        <w:spacing w:line="360" w:lineRule="auto"/>
        <w:jc w:val="right"/>
        <w:rPr>
          <w:b/>
          <w:bCs/>
          <w:rtl/>
        </w:rPr>
      </w:pPr>
      <w:r>
        <w:rPr>
          <w:rFonts w:hint="cs"/>
          <w:b/>
          <w:bCs/>
          <w:rtl/>
        </w:rPr>
        <w:t xml:space="preserve">ב"כ הנאשם הפנה לתסקיר שירות מבחן המצביע על כך שהנאשם החל לעשות שימוש בסמים עקב בעיות אישיות שהיו לו, בהתחלה בנסיבות חברתיות ובהמשך העמיק את השימוש בסמים , מספר חודשים עובר למעצרו. מדובר בנאשם שהבין את הפסול בהתנהגותו כמו גם הביע צער על התנהלותו שינה דרכיו וניתק את קשריו עם החברה השולית. למעשה הנאשם חזר לדרך חיים נורמטיבית, חזר לבית הוריו תוך שהוא משקם את היחסים גם עימם. </w:t>
      </w:r>
    </w:p>
    <w:p w14:paraId="00836F0F" w14:textId="77777777" w:rsidR="001B02F3" w:rsidRDefault="001B02F3">
      <w:pPr>
        <w:bidi w:val="0"/>
        <w:spacing w:line="360" w:lineRule="auto"/>
        <w:jc w:val="right"/>
        <w:rPr>
          <w:b/>
          <w:bCs/>
          <w:rtl/>
        </w:rPr>
      </w:pPr>
    </w:p>
    <w:p w14:paraId="4D4832F8" w14:textId="77777777" w:rsidR="001B02F3" w:rsidRDefault="003E7712">
      <w:pPr>
        <w:bidi w:val="0"/>
        <w:spacing w:line="360" w:lineRule="auto"/>
        <w:jc w:val="right"/>
        <w:rPr>
          <w:b/>
          <w:bCs/>
          <w:rtl/>
        </w:rPr>
      </w:pPr>
      <w:r>
        <w:rPr>
          <w:rFonts w:hint="cs"/>
          <w:b/>
          <w:bCs/>
          <w:rtl/>
        </w:rPr>
        <w:t xml:space="preserve">ב"כ הנאשם ציין כי הנאשם שולב ביחידה להתמכרויות ביבנה ומחוות הדעת שהגיעה אל שירות מבחן עולה כי הנאשם מגלה רצינות והתמדה ביחס להליך הטיפולי כמו גם מראה נכונות לבדיקה עצמית ולבחינת הסיבות אשר הובילו אותו לשימוש בסם, כששירות המבחן מציין את שיתוף הפעולה המלא והמוטיבציה שמפגין הנאשם. </w:t>
      </w:r>
    </w:p>
    <w:p w14:paraId="65D8277D" w14:textId="77777777" w:rsidR="001B02F3" w:rsidRDefault="003E7712">
      <w:pPr>
        <w:bidi w:val="0"/>
        <w:spacing w:line="360" w:lineRule="auto"/>
        <w:jc w:val="right"/>
        <w:rPr>
          <w:b/>
          <w:bCs/>
          <w:rtl/>
        </w:rPr>
      </w:pPr>
      <w:r>
        <w:rPr>
          <w:rFonts w:hint="cs"/>
          <w:b/>
          <w:bCs/>
          <w:rtl/>
        </w:rPr>
        <w:t xml:space="preserve">עוד עמד שירות המבחן  על הסיכונים והסיכויים בעינינו של הנאשם, אשר בסופם המליץ להטיל על הנאשם מע"ת , צו מבחן  ושל"צ בהיקף של 200 שעות והכל כדי לא לקטוע את ההליך השיקומי אשר נמצא בעיצומו ולא לקטוע את הרצף התעסוקתי בו החל. </w:t>
      </w:r>
    </w:p>
    <w:p w14:paraId="306FD215" w14:textId="77777777" w:rsidR="001B02F3" w:rsidRDefault="003E7712">
      <w:pPr>
        <w:bidi w:val="0"/>
        <w:spacing w:line="360" w:lineRule="auto"/>
        <w:jc w:val="right"/>
        <w:rPr>
          <w:b/>
          <w:bCs/>
          <w:rtl/>
        </w:rPr>
      </w:pPr>
      <w:r>
        <w:rPr>
          <w:rFonts w:hint="cs"/>
          <w:b/>
          <w:bCs/>
          <w:rtl/>
        </w:rPr>
        <w:t xml:space="preserve">שירות המבחן ציין את המשאבים הרגשיים המשמעותיים שהטיפול דורש מהנאשם, ולכן בא בהמלצה בעניינו.   </w:t>
      </w:r>
    </w:p>
    <w:p w14:paraId="4CDB4A24" w14:textId="77777777" w:rsidR="001B02F3" w:rsidRDefault="001B02F3">
      <w:pPr>
        <w:bidi w:val="0"/>
        <w:spacing w:line="360" w:lineRule="auto"/>
        <w:jc w:val="right"/>
        <w:rPr>
          <w:b/>
          <w:bCs/>
          <w:rtl/>
        </w:rPr>
      </w:pPr>
    </w:p>
    <w:p w14:paraId="13B8311B" w14:textId="77777777" w:rsidR="001B02F3" w:rsidRDefault="003E7712">
      <w:pPr>
        <w:bidi w:val="0"/>
        <w:spacing w:line="360" w:lineRule="auto"/>
        <w:jc w:val="right"/>
        <w:rPr>
          <w:b/>
          <w:bCs/>
          <w:rtl/>
        </w:rPr>
      </w:pPr>
      <w:r>
        <w:rPr>
          <w:rFonts w:hint="cs"/>
          <w:b/>
          <w:bCs/>
          <w:rtl/>
        </w:rPr>
        <w:t xml:space="preserve">ב"כ הנאשם טען כי הפסיקה שהוגשה מטעם המאשימה חמורה בהרבה מהמקרה הנדון ולכן לא ניתן להקיש ממנה לענייננו. </w:t>
      </w:r>
    </w:p>
    <w:p w14:paraId="1C408D1C" w14:textId="77777777" w:rsidR="001B02F3" w:rsidRDefault="001B02F3">
      <w:pPr>
        <w:bidi w:val="0"/>
        <w:spacing w:line="360" w:lineRule="auto"/>
        <w:jc w:val="right"/>
        <w:rPr>
          <w:b/>
          <w:bCs/>
          <w:rtl/>
        </w:rPr>
      </w:pPr>
    </w:p>
    <w:p w14:paraId="73723CC4" w14:textId="77777777" w:rsidR="001B02F3" w:rsidRDefault="003E7712">
      <w:pPr>
        <w:bidi w:val="0"/>
        <w:spacing w:line="360" w:lineRule="auto"/>
        <w:jc w:val="right"/>
        <w:rPr>
          <w:b/>
          <w:bCs/>
          <w:rtl/>
        </w:rPr>
      </w:pPr>
      <w:r>
        <w:rPr>
          <w:rFonts w:hint="cs"/>
          <w:b/>
          <w:bCs/>
          <w:rtl/>
        </w:rPr>
        <w:t xml:space="preserve">לאור האמור לעיל עתר ב"כ הנאשם לאמץ את המלצת תסקיר שירות מבחן. </w:t>
      </w:r>
    </w:p>
    <w:p w14:paraId="009223FE" w14:textId="77777777" w:rsidR="001B02F3" w:rsidRDefault="001B02F3">
      <w:pPr>
        <w:bidi w:val="0"/>
        <w:spacing w:line="360" w:lineRule="auto"/>
        <w:jc w:val="center"/>
        <w:rPr>
          <w:b/>
          <w:bCs/>
          <w:rtl/>
        </w:rPr>
      </w:pPr>
    </w:p>
    <w:p w14:paraId="017B7343" w14:textId="77777777" w:rsidR="001B02F3" w:rsidRDefault="001B02F3">
      <w:pPr>
        <w:bidi w:val="0"/>
        <w:spacing w:line="360" w:lineRule="auto"/>
        <w:jc w:val="right"/>
        <w:rPr>
          <w:b/>
          <w:bCs/>
          <w:rtl/>
        </w:rPr>
      </w:pPr>
    </w:p>
    <w:p w14:paraId="7801765A" w14:textId="77777777" w:rsidR="001B02F3" w:rsidRDefault="003E7712">
      <w:pPr>
        <w:bidi w:val="0"/>
        <w:spacing w:line="360" w:lineRule="auto"/>
        <w:jc w:val="right"/>
        <w:rPr>
          <w:b/>
          <w:bCs/>
          <w:rtl/>
        </w:rPr>
      </w:pPr>
      <w:r>
        <w:rPr>
          <w:rFonts w:hint="cs"/>
          <w:b/>
          <w:bCs/>
          <w:rtl/>
        </w:rPr>
        <w:t xml:space="preserve">הנאשם בדבריו האחרונים מסר כי עבר תקופה ארוכה וקשה במשך זמן רב והוסיף כי הוא מביע צער וחרטה ולא יחזור שוב על מעשיו. </w:t>
      </w:r>
    </w:p>
    <w:p w14:paraId="6B265C0E" w14:textId="77777777" w:rsidR="001B02F3" w:rsidRDefault="001B02F3">
      <w:pPr>
        <w:bidi w:val="0"/>
        <w:spacing w:line="360" w:lineRule="auto"/>
        <w:jc w:val="center"/>
        <w:rPr>
          <w:b/>
          <w:bCs/>
          <w:rtl/>
        </w:rPr>
      </w:pPr>
    </w:p>
    <w:p w14:paraId="39A67242" w14:textId="77777777" w:rsidR="001B02F3" w:rsidRDefault="003E7712">
      <w:pPr>
        <w:spacing w:line="360" w:lineRule="auto"/>
        <w:rPr>
          <w:b/>
          <w:bCs/>
          <w:rtl/>
        </w:rPr>
      </w:pPr>
      <w:r>
        <w:rPr>
          <w:rFonts w:hint="cs"/>
          <w:b/>
          <w:bCs/>
          <w:rtl/>
        </w:rPr>
        <w:t>העבירה בה הורשע הנאשם היא החזקת סמים שלא לצריכה עצמית. כמות הסם שהוחזקה על ידי הנאשם היא פי כמה וכמה מהכמות הנזכרת בחוק ככמות לצריכה עצמית.</w:t>
      </w:r>
    </w:p>
    <w:p w14:paraId="417A1A7B" w14:textId="77777777" w:rsidR="001B02F3" w:rsidRDefault="001B02F3">
      <w:pPr>
        <w:spacing w:line="360" w:lineRule="auto"/>
        <w:rPr>
          <w:b/>
          <w:bCs/>
          <w:rtl/>
        </w:rPr>
      </w:pPr>
    </w:p>
    <w:p w14:paraId="0456A59F" w14:textId="77777777" w:rsidR="001B02F3" w:rsidRDefault="003E7712">
      <w:pPr>
        <w:spacing w:line="360" w:lineRule="auto"/>
        <w:rPr>
          <w:b/>
          <w:bCs/>
          <w:rtl/>
        </w:rPr>
      </w:pPr>
      <w:r>
        <w:rPr>
          <w:rFonts w:hint="cs"/>
          <w:b/>
          <w:bCs/>
          <w:rtl/>
        </w:rPr>
        <w:t>יתר על כן, כעולה מכתב האישום, נמצאה כמות זו כשהיא מחולקת למנות. בצד הסמים נמצא פנקס ובו שמות שונים ובצידם מספרים שונים, כגון3.7, 3.4, וכו'. ועוד נמצאו אצל הנאשם בסמוך לסם סכומי כסף גדולים ולא שגרתיים של 9950 ₪ במזומן וכן 400 אירו במזומן.</w:t>
      </w:r>
    </w:p>
    <w:p w14:paraId="0B1C7C70" w14:textId="77777777" w:rsidR="001B02F3" w:rsidRDefault="001B02F3">
      <w:pPr>
        <w:spacing w:line="360" w:lineRule="auto"/>
        <w:rPr>
          <w:b/>
          <w:bCs/>
          <w:rtl/>
        </w:rPr>
      </w:pPr>
    </w:p>
    <w:p w14:paraId="5EDE8697" w14:textId="77777777" w:rsidR="001B02F3" w:rsidRDefault="003E7712">
      <w:pPr>
        <w:spacing w:line="360" w:lineRule="auto"/>
        <w:rPr>
          <w:b/>
          <w:bCs/>
          <w:rtl/>
        </w:rPr>
      </w:pPr>
      <w:r>
        <w:rPr>
          <w:rFonts w:hint="cs"/>
          <w:b/>
          <w:bCs/>
          <w:rtl/>
        </w:rPr>
        <w:t xml:space="preserve">כל אלה מעידים כי מדובר בהחזקת סם שלא לצריכה עצמית ויש בהם כדי לסתור את טענתו בפני שירות המבחן כי מדובר בצריכה עצמית. </w:t>
      </w:r>
    </w:p>
    <w:p w14:paraId="19DE27A6" w14:textId="77777777" w:rsidR="001B02F3" w:rsidRDefault="001B02F3">
      <w:pPr>
        <w:spacing w:line="360" w:lineRule="auto"/>
        <w:rPr>
          <w:b/>
          <w:bCs/>
          <w:rtl/>
        </w:rPr>
      </w:pPr>
    </w:p>
    <w:p w14:paraId="7AA3C825" w14:textId="77777777" w:rsidR="001B02F3" w:rsidRDefault="003E7712">
      <w:pPr>
        <w:spacing w:line="360" w:lineRule="auto"/>
        <w:rPr>
          <w:b/>
          <w:bCs/>
          <w:rtl/>
        </w:rPr>
      </w:pPr>
      <w:r>
        <w:rPr>
          <w:rFonts w:hint="cs"/>
          <w:b/>
          <w:bCs/>
          <w:rtl/>
        </w:rPr>
        <w:t>הערכים המוגנים שנפגעו במקרה זה הם אכן ברורים ואין צורך להכביר מילים על מכתה של תופעת הסמים בחברה, ובמיוחד משמדוב</w:t>
      </w:r>
      <w:bookmarkStart w:id="8" w:name="_GoBack"/>
      <w:bookmarkEnd w:id="8"/>
      <w:r>
        <w:rPr>
          <w:rFonts w:hint="cs"/>
          <w:b/>
          <w:bCs/>
          <w:rtl/>
        </w:rPr>
        <w:t xml:space="preserve">ר בסם מסוגי סם הקוקאין. לא אחת חזרו בתי המשפט על כך שיש להחמיר עם כל חוליה וחוליה בשרשרת החזקת הסם והפצתו על מנת למגר תופעה זו ולעוקרה משורש, על מנת למנוע את נזקיה הקשים למשתמשים בה ובאופן ישיר ועקיף לחברה כולה. </w:t>
      </w:r>
    </w:p>
    <w:p w14:paraId="78422029" w14:textId="77777777" w:rsidR="001B02F3" w:rsidRDefault="001B02F3">
      <w:pPr>
        <w:spacing w:line="360" w:lineRule="auto"/>
        <w:rPr>
          <w:b/>
          <w:bCs/>
          <w:rtl/>
        </w:rPr>
      </w:pPr>
    </w:p>
    <w:p w14:paraId="1BD8B451" w14:textId="77777777" w:rsidR="001B02F3" w:rsidRDefault="003E7712">
      <w:pPr>
        <w:spacing w:line="360" w:lineRule="auto"/>
        <w:rPr>
          <w:b/>
          <w:bCs/>
          <w:rtl/>
        </w:rPr>
      </w:pPr>
      <w:r>
        <w:rPr>
          <w:rFonts w:hint="cs"/>
          <w:b/>
          <w:bCs/>
          <w:rtl/>
        </w:rPr>
        <w:t xml:space="preserve">מתחם הענישה הראוי לעבירה מעין זו הוא אכן כפי שהציגה אותו התביעה בטיעוניה. </w:t>
      </w:r>
    </w:p>
    <w:p w14:paraId="638A3ECC" w14:textId="77777777" w:rsidR="001B02F3" w:rsidRDefault="001B02F3">
      <w:pPr>
        <w:spacing w:line="360" w:lineRule="auto"/>
        <w:rPr>
          <w:b/>
          <w:bCs/>
          <w:rtl/>
        </w:rPr>
      </w:pPr>
    </w:p>
    <w:p w14:paraId="4997FADD" w14:textId="77777777" w:rsidR="001B02F3" w:rsidRDefault="003E7712">
      <w:pPr>
        <w:spacing w:line="360" w:lineRule="auto"/>
        <w:rPr>
          <w:b/>
          <w:bCs/>
          <w:rtl/>
        </w:rPr>
      </w:pPr>
      <w:r>
        <w:rPr>
          <w:rFonts w:hint="cs"/>
          <w:b/>
          <w:bCs/>
          <w:rtl/>
        </w:rPr>
        <w:t>בעניינו עסקינן בנאשם נעדר עבר פלילי ואכן במי שנרתם לטיפול ופנה לדרך חדשה כמפורט בהרחבה בתסקיר שירות המבחן ובפירוט לעיל.</w:t>
      </w:r>
    </w:p>
    <w:p w14:paraId="667FD98F" w14:textId="77777777" w:rsidR="001B02F3" w:rsidRDefault="001B02F3">
      <w:pPr>
        <w:spacing w:line="360" w:lineRule="auto"/>
        <w:rPr>
          <w:b/>
          <w:bCs/>
          <w:rtl/>
        </w:rPr>
      </w:pPr>
    </w:p>
    <w:p w14:paraId="51CA24A8" w14:textId="77777777" w:rsidR="001B02F3" w:rsidRDefault="003E7712">
      <w:pPr>
        <w:spacing w:line="360" w:lineRule="auto"/>
        <w:rPr>
          <w:b/>
          <w:bCs/>
          <w:rtl/>
        </w:rPr>
      </w:pPr>
      <w:r>
        <w:rPr>
          <w:rFonts w:hint="cs"/>
          <w:b/>
          <w:bCs/>
          <w:rtl/>
        </w:rPr>
        <w:t>יחד עם זאת, יש לזכור שניים:</w:t>
      </w:r>
    </w:p>
    <w:p w14:paraId="52ED1579" w14:textId="77777777" w:rsidR="001B02F3" w:rsidRDefault="003E7712">
      <w:pPr>
        <w:spacing w:line="360" w:lineRule="auto"/>
        <w:rPr>
          <w:b/>
          <w:bCs/>
          <w:rtl/>
        </w:rPr>
      </w:pPr>
      <w:r>
        <w:rPr>
          <w:rFonts w:hint="cs"/>
          <w:b/>
          <w:bCs/>
          <w:rtl/>
        </w:rPr>
        <w:t xml:space="preserve">האחד </w:t>
      </w:r>
      <w:r>
        <w:rPr>
          <w:b/>
          <w:bCs/>
          <w:rtl/>
        </w:rPr>
        <w:t>–</w:t>
      </w:r>
      <w:r>
        <w:rPr>
          <w:rFonts w:hint="cs"/>
          <w:b/>
          <w:bCs/>
          <w:rtl/>
        </w:rPr>
        <w:t xml:space="preserve"> כי שירות המבחן לא התייחס כלל ועיקר לכך שהחזקת הסמים לא היתה לצריכה עצמית ולנסיבות האופפות את העבירה, כפי שתוארו לעיל והטעם השני הוא כי שירות המבחן שוקל את שיקוליו של הנאשם ואת אלה בלבד ואילו בית המשפט הוא שאמון על כלל השיקולים ואת האינטרסים הציבוריים בכללם וכפי שקבע בענין זה בית המשפט העליון:</w:t>
      </w:r>
    </w:p>
    <w:p w14:paraId="6C5DB7FE" w14:textId="77777777" w:rsidR="001B02F3" w:rsidRDefault="001B02F3">
      <w:pPr>
        <w:autoSpaceDE w:val="0"/>
        <w:autoSpaceDN w:val="0"/>
        <w:bidi w:val="0"/>
        <w:adjustRightInd w:val="0"/>
        <w:spacing w:before="100" w:after="100" w:line="360" w:lineRule="auto"/>
        <w:rPr>
          <w:b/>
          <w:bCs/>
        </w:rPr>
      </w:pPr>
    </w:p>
    <w:p w14:paraId="626880D6" w14:textId="77777777" w:rsidR="001B02F3" w:rsidRDefault="003E7712">
      <w:pPr>
        <w:autoSpaceDE w:val="0"/>
        <w:autoSpaceDN w:val="0"/>
        <w:adjustRightInd w:val="0"/>
        <w:spacing w:before="100" w:after="100" w:line="360" w:lineRule="auto"/>
        <w:rPr>
          <w:b/>
          <w:bCs/>
        </w:rPr>
      </w:pPr>
      <w:r>
        <w:rPr>
          <w:rFonts w:ascii="David"/>
          <w:b/>
          <w:bCs/>
        </w:rPr>
        <w:t xml:space="preserve">" </w:t>
      </w:r>
      <w:r>
        <w:rPr>
          <w:rFonts w:ascii="David" w:hint="cs"/>
          <w:b/>
          <w:bCs/>
          <w:rtl/>
        </w:rPr>
        <w:t>מתפקידו</w:t>
      </w:r>
      <w:r>
        <w:rPr>
          <w:rFonts w:ascii="David"/>
          <w:b/>
          <w:bCs/>
        </w:rPr>
        <w:t xml:space="preserve"> </w:t>
      </w:r>
      <w:r>
        <w:rPr>
          <w:rFonts w:ascii="David" w:hint="cs"/>
          <w:b/>
          <w:bCs/>
          <w:rtl/>
        </w:rPr>
        <w:t>של</w:t>
      </w:r>
      <w:r>
        <w:rPr>
          <w:rFonts w:ascii="David"/>
          <w:b/>
          <w:bCs/>
        </w:rPr>
        <w:t xml:space="preserve"> </w:t>
      </w:r>
      <w:r>
        <w:rPr>
          <w:rFonts w:ascii="David" w:hint="cs"/>
          <w:b/>
          <w:bCs/>
          <w:rtl/>
        </w:rPr>
        <w:t>ביהמ</w:t>
      </w:r>
      <w:r>
        <w:rPr>
          <w:rFonts w:ascii="David"/>
          <w:b/>
          <w:bCs/>
        </w:rPr>
        <w:t>"</w:t>
      </w:r>
      <w:r>
        <w:rPr>
          <w:rFonts w:ascii="David" w:hint="cs"/>
          <w:b/>
          <w:bCs/>
          <w:rtl/>
        </w:rPr>
        <w:t>ש</w:t>
      </w:r>
      <w:r>
        <w:rPr>
          <w:rFonts w:ascii="David"/>
          <w:b/>
          <w:bCs/>
        </w:rPr>
        <w:t xml:space="preserve"> </w:t>
      </w:r>
      <w:r>
        <w:rPr>
          <w:rFonts w:ascii="David" w:hint="cs"/>
          <w:b/>
          <w:bCs/>
          <w:rtl/>
        </w:rPr>
        <w:t>להעריך</w:t>
      </w:r>
      <w:r>
        <w:rPr>
          <w:rFonts w:ascii="David"/>
          <w:b/>
          <w:bCs/>
        </w:rPr>
        <w:t xml:space="preserve"> </w:t>
      </w:r>
      <w:r>
        <w:rPr>
          <w:rFonts w:ascii="David" w:hint="cs"/>
          <w:b/>
          <w:bCs/>
          <w:rtl/>
        </w:rPr>
        <w:t>ולשקול</w:t>
      </w:r>
      <w:r>
        <w:rPr>
          <w:rFonts w:ascii="David"/>
          <w:b/>
          <w:bCs/>
        </w:rPr>
        <w:t xml:space="preserve"> </w:t>
      </w:r>
      <w:r>
        <w:rPr>
          <w:rFonts w:ascii="David" w:hint="cs"/>
          <w:b/>
          <w:bCs/>
          <w:rtl/>
        </w:rPr>
        <w:t>נסיבות</w:t>
      </w:r>
      <w:r>
        <w:rPr>
          <w:rFonts w:ascii="David"/>
          <w:b/>
          <w:bCs/>
        </w:rPr>
        <w:t xml:space="preserve"> </w:t>
      </w:r>
      <w:r>
        <w:rPr>
          <w:rFonts w:ascii="David" w:hint="cs"/>
          <w:b/>
          <w:bCs/>
          <w:rtl/>
        </w:rPr>
        <w:t>רבות</w:t>
      </w:r>
      <w:r>
        <w:rPr>
          <w:rFonts w:ascii="David"/>
          <w:b/>
          <w:bCs/>
        </w:rPr>
        <w:t xml:space="preserve"> </w:t>
      </w:r>
      <w:r>
        <w:rPr>
          <w:rFonts w:ascii="David" w:hint="cs"/>
          <w:b/>
          <w:bCs/>
          <w:rtl/>
        </w:rPr>
        <w:t>ומגוונות</w:t>
      </w:r>
      <w:r>
        <w:rPr>
          <w:rFonts w:ascii="David"/>
          <w:b/>
          <w:bCs/>
        </w:rPr>
        <w:t xml:space="preserve">, </w:t>
      </w:r>
      <w:r>
        <w:rPr>
          <w:rFonts w:ascii="David" w:hint="cs"/>
          <w:b/>
          <w:bCs/>
          <w:rtl/>
        </w:rPr>
        <w:t>כמו</w:t>
      </w:r>
      <w:r>
        <w:rPr>
          <w:rFonts w:ascii="David"/>
          <w:b/>
          <w:bCs/>
        </w:rPr>
        <w:t xml:space="preserve"> </w:t>
      </w:r>
      <w:r>
        <w:rPr>
          <w:rFonts w:ascii="David" w:hint="cs"/>
          <w:b/>
          <w:bCs/>
          <w:rtl/>
        </w:rPr>
        <w:t>למשל</w:t>
      </w:r>
      <w:r>
        <w:rPr>
          <w:rFonts w:ascii="David"/>
          <w:b/>
          <w:bCs/>
        </w:rPr>
        <w:t xml:space="preserve">, </w:t>
      </w:r>
      <w:r>
        <w:rPr>
          <w:rFonts w:ascii="David" w:hint="cs"/>
          <w:b/>
          <w:bCs/>
          <w:rtl/>
        </w:rPr>
        <w:t>חומרת</w:t>
      </w:r>
      <w:r>
        <w:rPr>
          <w:rFonts w:ascii="David"/>
          <w:b/>
          <w:bCs/>
        </w:rPr>
        <w:t xml:space="preserve"> </w:t>
      </w:r>
      <w:r>
        <w:rPr>
          <w:rFonts w:ascii="David" w:hint="cs"/>
          <w:b/>
          <w:bCs/>
          <w:rtl/>
        </w:rPr>
        <w:t>העבירה</w:t>
      </w:r>
      <w:r>
        <w:rPr>
          <w:rFonts w:ascii="David"/>
          <w:b/>
          <w:bCs/>
        </w:rPr>
        <w:t xml:space="preserve"> </w:t>
      </w:r>
      <w:r>
        <w:rPr>
          <w:rFonts w:ascii="David" w:hint="cs"/>
          <w:b/>
          <w:bCs/>
          <w:rtl/>
        </w:rPr>
        <w:t>ונפיצותה</w:t>
      </w:r>
      <w:r>
        <w:rPr>
          <w:rFonts w:ascii="David"/>
          <w:b/>
          <w:bCs/>
        </w:rPr>
        <w:t xml:space="preserve"> </w:t>
      </w:r>
      <w:r>
        <w:rPr>
          <w:rFonts w:ascii="David" w:hint="cs"/>
          <w:b/>
          <w:bCs/>
          <w:rtl/>
        </w:rPr>
        <w:t>בציבור</w:t>
      </w:r>
      <w:r>
        <w:rPr>
          <w:rFonts w:ascii="David"/>
          <w:b/>
          <w:bCs/>
        </w:rPr>
        <w:t xml:space="preserve">, </w:t>
      </w:r>
      <w:r>
        <w:rPr>
          <w:rFonts w:ascii="David" w:hint="cs"/>
          <w:b/>
          <w:bCs/>
          <w:rtl/>
        </w:rPr>
        <w:t>הגנה</w:t>
      </w:r>
      <w:r>
        <w:rPr>
          <w:rFonts w:ascii="David"/>
          <w:b/>
          <w:bCs/>
        </w:rPr>
        <w:t xml:space="preserve"> </w:t>
      </w:r>
      <w:r>
        <w:rPr>
          <w:rFonts w:ascii="David" w:hint="cs"/>
          <w:b/>
          <w:bCs/>
          <w:rtl/>
        </w:rPr>
        <w:t>על</w:t>
      </w:r>
      <w:r>
        <w:rPr>
          <w:rFonts w:ascii="David"/>
          <w:b/>
          <w:bCs/>
        </w:rPr>
        <w:t xml:space="preserve"> </w:t>
      </w:r>
      <w:r>
        <w:rPr>
          <w:rFonts w:ascii="David" w:hint="cs"/>
          <w:b/>
          <w:bCs/>
          <w:rtl/>
        </w:rPr>
        <w:t>שלום</w:t>
      </w:r>
      <w:r>
        <w:rPr>
          <w:rFonts w:ascii="David"/>
          <w:b/>
          <w:bCs/>
        </w:rPr>
        <w:t xml:space="preserve"> </w:t>
      </w:r>
      <w:r>
        <w:rPr>
          <w:rFonts w:ascii="David" w:hint="cs"/>
          <w:b/>
          <w:bCs/>
          <w:rtl/>
        </w:rPr>
        <w:t>הציבור</w:t>
      </w:r>
      <w:r>
        <w:rPr>
          <w:rFonts w:ascii="David"/>
          <w:b/>
          <w:bCs/>
        </w:rPr>
        <w:t xml:space="preserve"> </w:t>
      </w:r>
      <w:r>
        <w:rPr>
          <w:rFonts w:ascii="David" w:hint="cs"/>
          <w:b/>
          <w:bCs/>
          <w:rtl/>
        </w:rPr>
        <w:t>וביטחונו</w:t>
      </w:r>
      <w:r>
        <w:rPr>
          <w:rFonts w:ascii="David"/>
          <w:b/>
          <w:bCs/>
        </w:rPr>
        <w:t xml:space="preserve">, </w:t>
      </w:r>
      <w:r>
        <w:rPr>
          <w:rFonts w:ascii="David" w:hint="cs"/>
          <w:b/>
          <w:bCs/>
          <w:rtl/>
        </w:rPr>
        <w:t>הרתעת</w:t>
      </w:r>
      <w:r>
        <w:rPr>
          <w:rFonts w:ascii="David"/>
          <w:b/>
          <w:bCs/>
        </w:rPr>
        <w:t xml:space="preserve"> </w:t>
      </w:r>
      <w:r>
        <w:rPr>
          <w:rFonts w:ascii="David" w:hint="cs"/>
          <w:b/>
          <w:bCs/>
          <w:rtl/>
        </w:rPr>
        <w:t>העבריין</w:t>
      </w:r>
      <w:r>
        <w:rPr>
          <w:rFonts w:ascii="David"/>
          <w:b/>
          <w:bCs/>
        </w:rPr>
        <w:t xml:space="preserve"> </w:t>
      </w:r>
      <w:r>
        <w:rPr>
          <w:rFonts w:ascii="David" w:hint="cs"/>
          <w:b/>
          <w:bCs/>
          <w:rtl/>
        </w:rPr>
        <w:t>ועבריינים</w:t>
      </w:r>
      <w:r>
        <w:rPr>
          <w:rFonts w:ascii="David"/>
          <w:b/>
          <w:bCs/>
        </w:rPr>
        <w:t xml:space="preserve"> </w:t>
      </w:r>
      <w:r>
        <w:rPr>
          <w:rFonts w:ascii="David" w:hint="cs"/>
          <w:b/>
          <w:bCs/>
          <w:rtl/>
        </w:rPr>
        <w:t>בכוח</w:t>
      </w:r>
      <w:r>
        <w:rPr>
          <w:rFonts w:ascii="David"/>
          <w:b/>
          <w:bCs/>
        </w:rPr>
        <w:t xml:space="preserve">, </w:t>
      </w:r>
      <w:r>
        <w:rPr>
          <w:rFonts w:ascii="David" w:hint="cs"/>
          <w:b/>
          <w:bCs/>
          <w:rtl/>
        </w:rPr>
        <w:t>התגמול</w:t>
      </w:r>
      <w:r>
        <w:rPr>
          <w:rFonts w:ascii="David"/>
          <w:b/>
          <w:bCs/>
        </w:rPr>
        <w:t xml:space="preserve"> </w:t>
      </w:r>
      <w:r>
        <w:rPr>
          <w:rFonts w:ascii="David" w:hint="cs"/>
          <w:b/>
          <w:bCs/>
          <w:rtl/>
        </w:rPr>
        <w:t>שבענישה</w:t>
      </w:r>
      <w:r>
        <w:rPr>
          <w:rFonts w:ascii="David"/>
          <w:b/>
          <w:bCs/>
        </w:rPr>
        <w:t xml:space="preserve"> </w:t>
      </w:r>
      <w:r>
        <w:rPr>
          <w:rFonts w:ascii="David" w:hint="cs"/>
          <w:b/>
          <w:bCs/>
          <w:rtl/>
        </w:rPr>
        <w:t>וכיוצא</w:t>
      </w:r>
      <w:r>
        <w:rPr>
          <w:rFonts w:ascii="David"/>
          <w:b/>
          <w:bCs/>
        </w:rPr>
        <w:t xml:space="preserve"> </w:t>
      </w:r>
      <w:r>
        <w:rPr>
          <w:rFonts w:ascii="David" w:hint="cs"/>
          <w:b/>
          <w:bCs/>
          <w:rtl/>
        </w:rPr>
        <w:t>באלה</w:t>
      </w:r>
      <w:r>
        <w:rPr>
          <w:rFonts w:ascii="David"/>
          <w:b/>
          <w:bCs/>
        </w:rPr>
        <w:t xml:space="preserve">. </w:t>
      </w:r>
      <w:r>
        <w:rPr>
          <w:rFonts w:ascii="David" w:hint="cs"/>
          <w:b/>
          <w:bCs/>
          <w:rtl/>
        </w:rPr>
        <w:t>שיקולים</w:t>
      </w:r>
      <w:r>
        <w:rPr>
          <w:rFonts w:ascii="David"/>
          <w:b/>
          <w:bCs/>
        </w:rPr>
        <w:t xml:space="preserve"> </w:t>
      </w:r>
      <w:r>
        <w:rPr>
          <w:rFonts w:ascii="David" w:hint="cs"/>
          <w:b/>
          <w:bCs/>
          <w:rtl/>
        </w:rPr>
        <w:t>אלה</w:t>
      </w:r>
      <w:r>
        <w:rPr>
          <w:rFonts w:ascii="David"/>
          <w:b/>
          <w:bCs/>
        </w:rPr>
        <w:t xml:space="preserve"> </w:t>
      </w:r>
      <w:r>
        <w:rPr>
          <w:rFonts w:ascii="David" w:hint="cs"/>
          <w:b/>
          <w:bCs/>
          <w:rtl/>
        </w:rPr>
        <w:t>אינם</w:t>
      </w:r>
      <w:r>
        <w:rPr>
          <w:rFonts w:ascii="David"/>
          <w:b/>
          <w:bCs/>
        </w:rPr>
        <w:t xml:space="preserve"> </w:t>
      </w:r>
      <w:r>
        <w:rPr>
          <w:rFonts w:ascii="David" w:hint="cs"/>
          <w:b/>
          <w:bCs/>
          <w:rtl/>
        </w:rPr>
        <w:t>מתחום</w:t>
      </w:r>
      <w:r>
        <w:rPr>
          <w:rFonts w:ascii="David"/>
          <w:b/>
          <w:bCs/>
        </w:rPr>
        <w:t xml:space="preserve"> </w:t>
      </w:r>
      <w:r>
        <w:rPr>
          <w:rFonts w:ascii="David" w:hint="cs"/>
          <w:b/>
          <w:bCs/>
          <w:rtl/>
        </w:rPr>
        <w:t>שיקוליו</w:t>
      </w:r>
      <w:r>
        <w:rPr>
          <w:rFonts w:ascii="David"/>
          <w:b/>
          <w:bCs/>
        </w:rPr>
        <w:t xml:space="preserve"> </w:t>
      </w:r>
      <w:r>
        <w:rPr>
          <w:rFonts w:ascii="David" w:hint="cs"/>
          <w:b/>
          <w:bCs/>
          <w:rtl/>
        </w:rPr>
        <w:t>של</w:t>
      </w:r>
      <w:r>
        <w:rPr>
          <w:rFonts w:ascii="David"/>
          <w:b/>
          <w:bCs/>
        </w:rPr>
        <w:t xml:space="preserve"> </w:t>
      </w:r>
      <w:r>
        <w:rPr>
          <w:rFonts w:ascii="David" w:hint="cs"/>
          <w:b/>
          <w:bCs/>
          <w:rtl/>
        </w:rPr>
        <w:t>קצין</w:t>
      </w:r>
      <w:r>
        <w:rPr>
          <w:rFonts w:ascii="David"/>
          <w:b/>
          <w:bCs/>
        </w:rPr>
        <w:t xml:space="preserve"> </w:t>
      </w:r>
      <w:r>
        <w:rPr>
          <w:rFonts w:ascii="David" w:hint="cs"/>
          <w:b/>
          <w:bCs/>
          <w:rtl/>
        </w:rPr>
        <w:t>המבחן</w:t>
      </w:r>
      <w:r>
        <w:rPr>
          <w:rFonts w:ascii="David"/>
          <w:b/>
          <w:bCs/>
        </w:rPr>
        <w:t xml:space="preserve">, </w:t>
      </w:r>
      <w:r>
        <w:rPr>
          <w:rFonts w:ascii="David" w:hint="cs"/>
          <w:b/>
          <w:bCs/>
          <w:rtl/>
        </w:rPr>
        <w:t>ואין</w:t>
      </w:r>
      <w:r>
        <w:rPr>
          <w:rFonts w:ascii="David"/>
          <w:b/>
          <w:bCs/>
        </w:rPr>
        <w:t xml:space="preserve"> </w:t>
      </w:r>
      <w:r>
        <w:rPr>
          <w:rFonts w:ascii="David" w:hint="cs"/>
          <w:b/>
          <w:bCs/>
          <w:rtl/>
        </w:rPr>
        <w:t>הוא</w:t>
      </w:r>
      <w:r>
        <w:rPr>
          <w:rFonts w:ascii="David"/>
          <w:b/>
          <w:bCs/>
        </w:rPr>
        <w:t xml:space="preserve"> </w:t>
      </w:r>
      <w:r>
        <w:rPr>
          <w:rFonts w:ascii="David" w:hint="cs"/>
          <w:b/>
          <w:bCs/>
          <w:rtl/>
        </w:rPr>
        <w:t>אף</w:t>
      </w:r>
      <w:r>
        <w:rPr>
          <w:rFonts w:ascii="David"/>
          <w:b/>
          <w:bCs/>
        </w:rPr>
        <w:t xml:space="preserve"> </w:t>
      </w:r>
      <w:r>
        <w:rPr>
          <w:rFonts w:ascii="David" w:hint="cs"/>
          <w:b/>
          <w:bCs/>
          <w:rtl/>
        </w:rPr>
        <w:t>מוסמך</w:t>
      </w:r>
      <w:r>
        <w:rPr>
          <w:rFonts w:ascii="David"/>
          <w:b/>
          <w:bCs/>
        </w:rPr>
        <w:t xml:space="preserve"> </w:t>
      </w:r>
      <w:r>
        <w:rPr>
          <w:rFonts w:ascii="David" w:hint="cs"/>
          <w:b/>
          <w:bCs/>
          <w:rtl/>
        </w:rPr>
        <w:t>להמליץ</w:t>
      </w:r>
      <w:r>
        <w:rPr>
          <w:rFonts w:ascii="David"/>
          <w:b/>
          <w:bCs/>
        </w:rPr>
        <w:t xml:space="preserve"> </w:t>
      </w:r>
      <w:r>
        <w:rPr>
          <w:rFonts w:ascii="David" w:hint="cs"/>
          <w:b/>
          <w:bCs/>
          <w:rtl/>
        </w:rPr>
        <w:t>לגביהם</w:t>
      </w:r>
      <w:r>
        <w:rPr>
          <w:rFonts w:ascii="David"/>
          <w:b/>
          <w:bCs/>
        </w:rPr>
        <w:t xml:space="preserve">. </w:t>
      </w:r>
      <w:r>
        <w:rPr>
          <w:rFonts w:ascii="David" w:hint="cs"/>
          <w:b/>
          <w:bCs/>
          <w:rtl/>
        </w:rPr>
        <w:t>השופט</w:t>
      </w:r>
      <w:r>
        <w:rPr>
          <w:rFonts w:ascii="David"/>
          <w:b/>
          <w:bCs/>
        </w:rPr>
        <w:t xml:space="preserve">, </w:t>
      </w:r>
      <w:r>
        <w:rPr>
          <w:rFonts w:ascii="David" w:hint="cs"/>
          <w:b/>
          <w:bCs/>
          <w:rtl/>
        </w:rPr>
        <w:t>הוא</w:t>
      </w:r>
      <w:r>
        <w:rPr>
          <w:rFonts w:ascii="David"/>
          <w:b/>
          <w:bCs/>
        </w:rPr>
        <w:t xml:space="preserve"> </w:t>
      </w:r>
      <w:r>
        <w:rPr>
          <w:rFonts w:ascii="David" w:hint="cs"/>
          <w:b/>
          <w:bCs/>
          <w:rtl/>
        </w:rPr>
        <w:t>אשר</w:t>
      </w:r>
      <w:r>
        <w:rPr>
          <w:rFonts w:ascii="David"/>
          <w:b/>
          <w:bCs/>
        </w:rPr>
        <w:t xml:space="preserve"> </w:t>
      </w:r>
      <w:r>
        <w:rPr>
          <w:rFonts w:ascii="David" w:hint="cs"/>
          <w:b/>
          <w:bCs/>
          <w:rtl/>
        </w:rPr>
        <w:t>ישים</w:t>
      </w:r>
      <w:r>
        <w:rPr>
          <w:rFonts w:ascii="David"/>
          <w:b/>
          <w:bCs/>
        </w:rPr>
        <w:t xml:space="preserve"> </w:t>
      </w:r>
      <w:r>
        <w:rPr>
          <w:rFonts w:ascii="David" w:hint="cs"/>
          <w:b/>
          <w:bCs/>
          <w:rtl/>
        </w:rPr>
        <w:t>במאזני</w:t>
      </w:r>
      <w:r>
        <w:rPr>
          <w:rFonts w:ascii="David"/>
          <w:b/>
          <w:bCs/>
        </w:rPr>
        <w:t xml:space="preserve"> </w:t>
      </w:r>
      <w:r>
        <w:rPr>
          <w:rFonts w:ascii="David" w:hint="cs"/>
          <w:b/>
          <w:bCs/>
          <w:rtl/>
        </w:rPr>
        <w:t>שיקוליו</w:t>
      </w:r>
      <w:r>
        <w:rPr>
          <w:rFonts w:ascii="David"/>
          <w:b/>
          <w:bCs/>
        </w:rPr>
        <w:t xml:space="preserve">, </w:t>
      </w:r>
      <w:r>
        <w:rPr>
          <w:rFonts w:ascii="David" w:hint="cs"/>
          <w:b/>
          <w:bCs/>
          <w:rtl/>
        </w:rPr>
        <w:t>כאחד</w:t>
      </w:r>
      <w:r>
        <w:rPr>
          <w:rFonts w:ascii="David"/>
          <w:b/>
          <w:bCs/>
        </w:rPr>
        <w:t xml:space="preserve"> </w:t>
      </w:r>
      <w:r>
        <w:rPr>
          <w:rFonts w:ascii="David" w:hint="cs"/>
          <w:b/>
          <w:bCs/>
          <w:rtl/>
        </w:rPr>
        <w:t>השיקולים</w:t>
      </w:r>
      <w:r>
        <w:rPr>
          <w:rFonts w:ascii="David"/>
          <w:b/>
          <w:bCs/>
        </w:rPr>
        <w:t xml:space="preserve"> </w:t>
      </w:r>
      <w:r>
        <w:rPr>
          <w:rFonts w:ascii="David" w:hint="cs"/>
          <w:b/>
          <w:bCs/>
          <w:rtl/>
        </w:rPr>
        <w:t>החשובים</w:t>
      </w:r>
      <w:r>
        <w:rPr>
          <w:rFonts w:ascii="David"/>
          <w:b/>
          <w:bCs/>
        </w:rPr>
        <w:t xml:space="preserve">, </w:t>
      </w:r>
      <w:r>
        <w:rPr>
          <w:rFonts w:ascii="David" w:hint="cs"/>
          <w:b/>
          <w:bCs/>
          <w:rtl/>
        </w:rPr>
        <w:t>גם</w:t>
      </w:r>
      <w:r>
        <w:rPr>
          <w:rFonts w:ascii="David"/>
          <w:b/>
          <w:bCs/>
        </w:rPr>
        <w:t xml:space="preserve"> </w:t>
      </w:r>
      <w:r>
        <w:rPr>
          <w:rFonts w:ascii="David" w:hint="cs"/>
          <w:b/>
          <w:bCs/>
          <w:rtl/>
        </w:rPr>
        <w:t>את</w:t>
      </w:r>
      <w:r>
        <w:rPr>
          <w:rFonts w:ascii="David"/>
          <w:b/>
          <w:bCs/>
        </w:rPr>
        <w:t xml:space="preserve"> </w:t>
      </w:r>
      <w:r>
        <w:rPr>
          <w:rFonts w:ascii="David" w:hint="cs"/>
          <w:b/>
          <w:bCs/>
          <w:rtl/>
        </w:rPr>
        <w:t>המלצתו</w:t>
      </w:r>
      <w:r>
        <w:rPr>
          <w:rFonts w:ascii="David"/>
          <w:b/>
          <w:bCs/>
        </w:rPr>
        <w:t xml:space="preserve"> </w:t>
      </w:r>
      <w:r>
        <w:rPr>
          <w:rFonts w:ascii="David" w:hint="cs"/>
          <w:b/>
          <w:bCs/>
          <w:rtl/>
        </w:rPr>
        <w:t>של</w:t>
      </w:r>
      <w:r>
        <w:rPr>
          <w:rFonts w:ascii="David"/>
          <w:b/>
          <w:bCs/>
        </w:rPr>
        <w:t xml:space="preserve"> </w:t>
      </w:r>
      <w:r>
        <w:rPr>
          <w:rFonts w:ascii="David" w:hint="cs"/>
          <w:b/>
          <w:bCs/>
          <w:rtl/>
        </w:rPr>
        <w:t>קצין</w:t>
      </w:r>
      <w:r>
        <w:rPr>
          <w:rFonts w:ascii="David"/>
          <w:b/>
          <w:bCs/>
        </w:rPr>
        <w:t xml:space="preserve"> </w:t>
      </w:r>
      <w:r>
        <w:rPr>
          <w:rFonts w:ascii="David" w:hint="cs"/>
          <w:b/>
          <w:bCs/>
          <w:rtl/>
        </w:rPr>
        <w:t>המבחן</w:t>
      </w:r>
      <w:r>
        <w:rPr>
          <w:rFonts w:ascii="David"/>
          <w:b/>
          <w:bCs/>
        </w:rPr>
        <w:t xml:space="preserve">. </w:t>
      </w:r>
      <w:r>
        <w:rPr>
          <w:rFonts w:ascii="David" w:hint="cs"/>
          <w:b/>
          <w:bCs/>
          <w:rtl/>
        </w:rPr>
        <w:t>אך</w:t>
      </w:r>
      <w:r>
        <w:rPr>
          <w:rFonts w:ascii="David"/>
          <w:b/>
          <w:bCs/>
        </w:rPr>
        <w:t xml:space="preserve"> </w:t>
      </w:r>
      <w:r>
        <w:rPr>
          <w:rFonts w:ascii="David" w:hint="cs"/>
          <w:b/>
          <w:bCs/>
          <w:rtl/>
        </w:rPr>
        <w:t>בכך</w:t>
      </w:r>
      <w:r>
        <w:rPr>
          <w:rFonts w:ascii="David"/>
          <w:b/>
          <w:bCs/>
        </w:rPr>
        <w:t xml:space="preserve"> </w:t>
      </w:r>
      <w:r>
        <w:rPr>
          <w:rFonts w:ascii="David" w:hint="cs"/>
          <w:b/>
          <w:bCs/>
          <w:rtl/>
        </w:rPr>
        <w:t>לא</w:t>
      </w:r>
      <w:r>
        <w:rPr>
          <w:rFonts w:ascii="David"/>
          <w:b/>
          <w:bCs/>
        </w:rPr>
        <w:t xml:space="preserve"> </w:t>
      </w:r>
      <w:r>
        <w:rPr>
          <w:rFonts w:ascii="David" w:hint="cs"/>
          <w:b/>
          <w:bCs/>
          <w:rtl/>
        </w:rPr>
        <w:t>סגי</w:t>
      </w:r>
      <w:r>
        <w:rPr>
          <w:rFonts w:ascii="David"/>
          <w:b/>
          <w:bCs/>
        </w:rPr>
        <w:t xml:space="preserve"> (</w:t>
      </w:r>
      <w:r>
        <w:rPr>
          <w:rFonts w:ascii="David" w:hint="cs"/>
          <w:b/>
          <w:bCs/>
          <w:rtl/>
        </w:rPr>
        <w:t>ראו</w:t>
      </w:r>
      <w:r>
        <w:rPr>
          <w:rFonts w:ascii="David"/>
          <w:b/>
          <w:bCs/>
        </w:rPr>
        <w:t xml:space="preserve"> </w:t>
      </w:r>
      <w:r>
        <w:rPr>
          <w:rFonts w:ascii="David" w:hint="cs"/>
          <w:b/>
          <w:bCs/>
          <w:rtl/>
        </w:rPr>
        <w:t>גם</w:t>
      </w:r>
      <w:r>
        <w:rPr>
          <w:rFonts w:ascii="David"/>
          <w:b/>
          <w:bCs/>
        </w:rPr>
        <w:t xml:space="preserve"> </w:t>
      </w:r>
      <w:hyperlink r:id="rId7" w:history="1">
        <w:r w:rsidRPr="003E7712">
          <w:rPr>
            <w:rFonts w:ascii="David"/>
            <w:b/>
            <w:bCs/>
            <w:color w:val="0000FF"/>
            <w:u w:val="single"/>
            <w:rtl/>
          </w:rPr>
          <w:t>ע"פ 405/06</w:t>
        </w:r>
      </w:hyperlink>
      <w:r>
        <w:rPr>
          <w:rFonts w:ascii="David"/>
          <w:b/>
          <w:bCs/>
        </w:rPr>
        <w:t xml:space="preserve"> </w:t>
      </w:r>
      <w:r>
        <w:rPr>
          <w:rFonts w:ascii="David" w:hint="cs"/>
          <w:b/>
          <w:bCs/>
          <w:rtl/>
        </w:rPr>
        <w:t>מד</w:t>
      </w:r>
      <w:r>
        <w:rPr>
          <w:rFonts w:ascii="David"/>
          <w:b/>
          <w:bCs/>
        </w:rPr>
        <w:t>"</w:t>
      </w:r>
      <w:r>
        <w:rPr>
          <w:rFonts w:ascii="David" w:hint="cs"/>
          <w:b/>
          <w:bCs/>
          <w:rtl/>
        </w:rPr>
        <w:t>י</w:t>
      </w:r>
      <w:r>
        <w:rPr>
          <w:rFonts w:ascii="David"/>
          <w:b/>
          <w:bCs/>
        </w:rPr>
        <w:t xml:space="preserve"> </w:t>
      </w:r>
      <w:r>
        <w:rPr>
          <w:rFonts w:ascii="David" w:hint="cs"/>
          <w:b/>
          <w:bCs/>
          <w:rtl/>
        </w:rPr>
        <w:t>נ</w:t>
      </w:r>
      <w:r>
        <w:rPr>
          <w:rFonts w:ascii="David"/>
          <w:b/>
          <w:bCs/>
        </w:rPr>
        <w:t xml:space="preserve">' </w:t>
      </w:r>
      <w:r>
        <w:rPr>
          <w:rFonts w:ascii="David" w:hint="cs"/>
          <w:b/>
          <w:bCs/>
          <w:rtl/>
        </w:rPr>
        <w:t>אחמד</w:t>
      </w:r>
      <w:r>
        <w:rPr>
          <w:rFonts w:ascii="David"/>
          <w:b/>
          <w:bCs/>
        </w:rPr>
        <w:t xml:space="preserve"> </w:t>
      </w:r>
      <w:r>
        <w:rPr>
          <w:rFonts w:ascii="David" w:hint="cs"/>
          <w:b/>
          <w:bCs/>
          <w:rtl/>
        </w:rPr>
        <w:t>חלייחל</w:t>
      </w:r>
      <w:r>
        <w:rPr>
          <w:rFonts w:ascii="David"/>
          <w:b/>
          <w:bCs/>
        </w:rPr>
        <w:t xml:space="preserve"> (</w:t>
      </w:r>
      <w:r>
        <w:rPr>
          <w:rFonts w:ascii="David" w:hint="cs"/>
          <w:b/>
          <w:bCs/>
          <w:rtl/>
        </w:rPr>
        <w:t>טרם</w:t>
      </w:r>
      <w:r>
        <w:rPr>
          <w:rFonts w:ascii="David"/>
          <w:b/>
          <w:bCs/>
        </w:rPr>
        <w:t xml:space="preserve"> </w:t>
      </w:r>
      <w:r>
        <w:rPr>
          <w:rFonts w:ascii="David" w:hint="cs"/>
          <w:b/>
          <w:bCs/>
          <w:rtl/>
        </w:rPr>
        <w:t>פורסם</w:t>
      </w:r>
      <w:r>
        <w:rPr>
          <w:rFonts w:ascii="David"/>
          <w:b/>
          <w:bCs/>
        </w:rPr>
        <w:t xml:space="preserve"> 08.05.2006)) </w:t>
      </w:r>
      <w:r>
        <w:rPr>
          <w:rFonts w:ascii="David" w:hint="cs"/>
          <w:b/>
          <w:bCs/>
          <w:rtl/>
        </w:rPr>
        <w:t>ודוק</w:t>
      </w:r>
      <w:r>
        <w:rPr>
          <w:rFonts w:ascii="David"/>
          <w:b/>
          <w:bCs/>
        </w:rPr>
        <w:t xml:space="preserve">; </w:t>
      </w:r>
      <w:r>
        <w:rPr>
          <w:rFonts w:ascii="David" w:hint="cs"/>
          <w:b/>
          <w:bCs/>
          <w:rtl/>
        </w:rPr>
        <w:t>ההחלטה</w:t>
      </w:r>
      <w:r>
        <w:rPr>
          <w:rFonts w:ascii="David"/>
          <w:b/>
          <w:bCs/>
        </w:rPr>
        <w:t xml:space="preserve"> </w:t>
      </w:r>
      <w:r>
        <w:rPr>
          <w:rFonts w:ascii="David" w:hint="cs"/>
          <w:b/>
          <w:bCs/>
          <w:rtl/>
        </w:rPr>
        <w:t>בדבר</w:t>
      </w:r>
      <w:r>
        <w:rPr>
          <w:rFonts w:ascii="David"/>
          <w:b/>
          <w:bCs/>
        </w:rPr>
        <w:t xml:space="preserve"> </w:t>
      </w:r>
      <w:r>
        <w:rPr>
          <w:rFonts w:ascii="David" w:hint="cs"/>
          <w:b/>
          <w:bCs/>
          <w:rtl/>
        </w:rPr>
        <w:t>הענישה</w:t>
      </w:r>
      <w:r>
        <w:rPr>
          <w:rFonts w:ascii="David"/>
          <w:b/>
          <w:bCs/>
        </w:rPr>
        <w:t xml:space="preserve"> </w:t>
      </w:r>
      <w:r>
        <w:rPr>
          <w:rFonts w:ascii="David" w:hint="cs"/>
          <w:b/>
          <w:bCs/>
          <w:rtl/>
        </w:rPr>
        <w:t>היא</w:t>
      </w:r>
      <w:r>
        <w:rPr>
          <w:rFonts w:ascii="David"/>
          <w:b/>
          <w:bCs/>
        </w:rPr>
        <w:t xml:space="preserve"> </w:t>
      </w:r>
      <w:r>
        <w:rPr>
          <w:rFonts w:ascii="David" w:hint="cs"/>
          <w:b/>
          <w:bCs/>
          <w:rtl/>
        </w:rPr>
        <w:t>תחת</w:t>
      </w:r>
      <w:r>
        <w:rPr>
          <w:rFonts w:ascii="David"/>
          <w:b/>
          <w:bCs/>
        </w:rPr>
        <w:t xml:space="preserve"> </w:t>
      </w:r>
      <w:r>
        <w:rPr>
          <w:rFonts w:ascii="David" w:hint="cs"/>
          <w:b/>
          <w:bCs/>
          <w:rtl/>
        </w:rPr>
        <w:t>סמכותו</w:t>
      </w:r>
      <w:r>
        <w:rPr>
          <w:rFonts w:ascii="David"/>
          <w:b/>
          <w:bCs/>
        </w:rPr>
        <w:t xml:space="preserve"> </w:t>
      </w:r>
      <w:r>
        <w:rPr>
          <w:rFonts w:ascii="David" w:hint="cs"/>
          <w:b/>
          <w:bCs/>
          <w:rtl/>
        </w:rPr>
        <w:t>הבלעדית</w:t>
      </w:r>
      <w:r>
        <w:rPr>
          <w:rFonts w:ascii="David"/>
          <w:b/>
          <w:bCs/>
        </w:rPr>
        <w:t xml:space="preserve"> </w:t>
      </w:r>
      <w:r>
        <w:rPr>
          <w:rFonts w:ascii="David" w:hint="cs"/>
          <w:b/>
          <w:bCs/>
          <w:rtl/>
        </w:rPr>
        <w:t>של</w:t>
      </w:r>
      <w:r>
        <w:rPr>
          <w:rFonts w:ascii="David"/>
          <w:b/>
          <w:bCs/>
        </w:rPr>
        <w:t xml:space="preserve"> </w:t>
      </w:r>
      <w:r>
        <w:rPr>
          <w:rFonts w:ascii="David" w:hint="cs"/>
          <w:b/>
          <w:bCs/>
          <w:rtl/>
        </w:rPr>
        <w:t>ביהמ</w:t>
      </w:r>
      <w:r>
        <w:rPr>
          <w:rFonts w:ascii="David"/>
          <w:b/>
          <w:bCs/>
        </w:rPr>
        <w:t>"</w:t>
      </w:r>
      <w:r>
        <w:rPr>
          <w:rFonts w:ascii="David" w:hint="cs"/>
          <w:b/>
          <w:bCs/>
          <w:rtl/>
        </w:rPr>
        <w:t>ש</w:t>
      </w:r>
      <w:r>
        <w:rPr>
          <w:rFonts w:ascii="David"/>
          <w:b/>
          <w:bCs/>
        </w:rPr>
        <w:t>. "</w:t>
      </w:r>
      <w:r>
        <w:rPr>
          <w:b/>
          <w:bCs/>
        </w:rPr>
        <w:t xml:space="preserve"> </w:t>
      </w:r>
    </w:p>
    <w:p w14:paraId="5E236B6E" w14:textId="77777777" w:rsidR="001B02F3" w:rsidRDefault="003E7712">
      <w:pPr>
        <w:spacing w:line="360" w:lineRule="auto"/>
        <w:rPr>
          <w:b/>
          <w:bCs/>
          <w:rtl/>
        </w:rPr>
      </w:pPr>
      <w:r>
        <w:rPr>
          <w:rFonts w:hint="cs"/>
          <w:b/>
          <w:bCs/>
          <w:rtl/>
        </w:rPr>
        <w:t xml:space="preserve">ראה </w:t>
      </w:r>
      <w:hyperlink r:id="rId8" w:history="1">
        <w:r w:rsidRPr="003E7712">
          <w:rPr>
            <w:b/>
            <w:bCs/>
            <w:color w:val="0000FF"/>
            <w:u w:val="single"/>
            <w:rtl/>
          </w:rPr>
          <w:t>רע"פ 5434/07</w:t>
        </w:r>
      </w:hyperlink>
      <w:r>
        <w:rPr>
          <w:rFonts w:hint="cs"/>
          <w:b/>
          <w:bCs/>
          <w:rtl/>
        </w:rPr>
        <w:t xml:space="preserve"> שאדי פריג' נ. מ"י.</w:t>
      </w:r>
    </w:p>
    <w:p w14:paraId="0FDD4510" w14:textId="77777777" w:rsidR="001B02F3" w:rsidRDefault="001B02F3">
      <w:pPr>
        <w:spacing w:line="360" w:lineRule="auto"/>
        <w:rPr>
          <w:b/>
          <w:bCs/>
          <w:rtl/>
        </w:rPr>
      </w:pPr>
    </w:p>
    <w:p w14:paraId="36AF3215" w14:textId="77777777" w:rsidR="001B02F3" w:rsidRDefault="003E7712">
      <w:pPr>
        <w:spacing w:line="360" w:lineRule="auto"/>
        <w:rPr>
          <w:b/>
          <w:bCs/>
          <w:rtl/>
        </w:rPr>
      </w:pPr>
      <w:r>
        <w:rPr>
          <w:rFonts w:hint="cs"/>
          <w:b/>
          <w:bCs/>
          <w:rtl/>
        </w:rPr>
        <w:t xml:space="preserve">בהתחשב בעברו הנקי של הנאשם ובדרך שעשה לשיקומו ולתיקון דרכיו אכן יעמוד עונשו במתחם הנמוך של העבירה , שכן לולא כן, היה מקום בשל כמות הסם הגדולה, סוגו ואופן החזקתו והנסיבות האופפות את ההחזקה להחמיר עימו הרבה מעבר לכך. </w:t>
      </w:r>
    </w:p>
    <w:p w14:paraId="7A211D1A" w14:textId="77777777" w:rsidR="001B02F3" w:rsidRDefault="001B02F3">
      <w:pPr>
        <w:spacing w:line="360" w:lineRule="auto"/>
        <w:rPr>
          <w:b/>
          <w:bCs/>
          <w:rtl/>
        </w:rPr>
      </w:pPr>
    </w:p>
    <w:p w14:paraId="6366679A" w14:textId="77777777" w:rsidR="001B02F3" w:rsidRDefault="003E7712">
      <w:pPr>
        <w:spacing w:line="360" w:lineRule="auto"/>
        <w:rPr>
          <w:b/>
          <w:bCs/>
          <w:rtl/>
        </w:rPr>
      </w:pPr>
      <w:r>
        <w:rPr>
          <w:rFonts w:hint="cs"/>
          <w:b/>
          <w:bCs/>
          <w:rtl/>
        </w:rPr>
        <w:t xml:space="preserve">אני גוזרת על הנאשם שבעה חודשי מאסר לריצוי בפועל. מתקופה זו ינוכו ימי מעצרו  - 14/2/13 </w:t>
      </w:r>
      <w:r>
        <w:rPr>
          <w:b/>
          <w:bCs/>
          <w:rtl/>
        </w:rPr>
        <w:t>–</w:t>
      </w:r>
      <w:r>
        <w:rPr>
          <w:rFonts w:hint="cs"/>
          <w:b/>
          <w:bCs/>
          <w:rtl/>
        </w:rPr>
        <w:t xml:space="preserve"> 14/3/13. </w:t>
      </w:r>
    </w:p>
    <w:p w14:paraId="6AA17435" w14:textId="77777777" w:rsidR="001B02F3" w:rsidRDefault="001B02F3">
      <w:pPr>
        <w:spacing w:line="360" w:lineRule="auto"/>
        <w:rPr>
          <w:b/>
          <w:bCs/>
          <w:rtl/>
        </w:rPr>
      </w:pPr>
    </w:p>
    <w:p w14:paraId="4EF3F95C" w14:textId="77777777" w:rsidR="001B02F3" w:rsidRDefault="003E7712">
      <w:pPr>
        <w:spacing w:line="360" w:lineRule="auto"/>
        <w:rPr>
          <w:b/>
          <w:bCs/>
          <w:rtl/>
        </w:rPr>
      </w:pPr>
      <w:r>
        <w:rPr>
          <w:rFonts w:hint="cs"/>
          <w:b/>
          <w:bCs/>
          <w:rtl/>
        </w:rPr>
        <w:t xml:space="preserve">כן אני גוזרת על הנאשם שישה חודשי מאסר על תנאי למשך שלוש שנים לבל יעבור עבירה כלשהי לפי </w:t>
      </w:r>
      <w:hyperlink r:id="rId9" w:history="1">
        <w:r w:rsidRPr="003E7712">
          <w:rPr>
            <w:b/>
            <w:bCs/>
            <w:color w:val="0000FF"/>
            <w:u w:val="single"/>
            <w:rtl/>
          </w:rPr>
          <w:t>פקודת הסמים המסוכנים</w:t>
        </w:r>
      </w:hyperlink>
      <w:r>
        <w:rPr>
          <w:rFonts w:hint="cs"/>
          <w:b/>
          <w:bCs/>
          <w:rtl/>
        </w:rPr>
        <w:t xml:space="preserve">. </w:t>
      </w:r>
    </w:p>
    <w:p w14:paraId="00B20BAD" w14:textId="77777777" w:rsidR="001B02F3" w:rsidRDefault="001B02F3">
      <w:pPr>
        <w:spacing w:line="360" w:lineRule="auto"/>
        <w:rPr>
          <w:b/>
          <w:bCs/>
          <w:rtl/>
        </w:rPr>
      </w:pPr>
    </w:p>
    <w:p w14:paraId="4976A9BD" w14:textId="77777777" w:rsidR="001B02F3" w:rsidRDefault="001B02F3">
      <w:pPr>
        <w:spacing w:line="360" w:lineRule="auto"/>
        <w:rPr>
          <w:b/>
          <w:bCs/>
          <w:rtl/>
        </w:rPr>
      </w:pPr>
    </w:p>
    <w:p w14:paraId="685A92D9" w14:textId="77777777" w:rsidR="001B02F3" w:rsidRDefault="003E7712">
      <w:pPr>
        <w:spacing w:line="360" w:lineRule="auto"/>
        <w:rPr>
          <w:b/>
          <w:bCs/>
          <w:rtl/>
        </w:rPr>
      </w:pPr>
      <w:r>
        <w:rPr>
          <w:rFonts w:hint="cs"/>
          <w:b/>
          <w:bCs/>
          <w:rtl/>
        </w:rPr>
        <w:t xml:space="preserve">סמים ופנקס שנתפסו במהלך חקירה זו </w:t>
      </w:r>
      <w:r>
        <w:rPr>
          <w:b/>
          <w:bCs/>
          <w:rtl/>
        </w:rPr>
        <w:t>–</w:t>
      </w:r>
      <w:r>
        <w:rPr>
          <w:rFonts w:hint="cs"/>
          <w:b/>
          <w:bCs/>
          <w:rtl/>
        </w:rPr>
        <w:t xml:space="preserve"> יושמדו. </w:t>
      </w:r>
    </w:p>
    <w:p w14:paraId="75C0764E" w14:textId="77777777" w:rsidR="001B02F3" w:rsidRDefault="003E7712">
      <w:pPr>
        <w:spacing w:line="360" w:lineRule="auto"/>
        <w:rPr>
          <w:b/>
          <w:bCs/>
          <w:rtl/>
        </w:rPr>
      </w:pPr>
      <w:r>
        <w:rPr>
          <w:rFonts w:hint="cs"/>
          <w:b/>
          <w:bCs/>
          <w:rtl/>
        </w:rPr>
        <w:t xml:space="preserve">כסף שנתפס במהלך החקירה </w:t>
      </w:r>
      <w:r>
        <w:rPr>
          <w:b/>
          <w:bCs/>
          <w:rtl/>
        </w:rPr>
        <w:t>–</w:t>
      </w:r>
      <w:r>
        <w:rPr>
          <w:rFonts w:hint="cs"/>
          <w:b/>
          <w:bCs/>
          <w:rtl/>
        </w:rPr>
        <w:t xml:space="preserve"> יחולט לטובת אוצר המדינה. </w:t>
      </w:r>
    </w:p>
    <w:p w14:paraId="7387889E" w14:textId="77777777" w:rsidR="001B02F3" w:rsidRDefault="001B02F3">
      <w:pPr>
        <w:spacing w:line="360" w:lineRule="auto"/>
        <w:rPr>
          <w:b/>
          <w:bCs/>
          <w:rtl/>
        </w:rPr>
      </w:pPr>
    </w:p>
    <w:p w14:paraId="31910006" w14:textId="77777777" w:rsidR="001B02F3" w:rsidRDefault="003E7712">
      <w:pPr>
        <w:spacing w:line="360" w:lineRule="auto"/>
        <w:rPr>
          <w:b/>
          <w:bCs/>
          <w:rtl/>
        </w:rPr>
      </w:pPr>
      <w:r>
        <w:rPr>
          <w:rFonts w:hint="cs"/>
          <w:b/>
          <w:bCs/>
          <w:rtl/>
        </w:rPr>
        <w:t xml:space="preserve">זכות ערעור כחוק. </w:t>
      </w:r>
    </w:p>
    <w:p w14:paraId="22BAABF1" w14:textId="77777777" w:rsidR="001B02F3" w:rsidRDefault="001B02F3">
      <w:pPr>
        <w:spacing w:line="360" w:lineRule="auto"/>
        <w:rPr>
          <w:b/>
          <w:bCs/>
          <w:rtl/>
        </w:rPr>
      </w:pPr>
    </w:p>
    <w:p w14:paraId="6E62F425" w14:textId="77777777" w:rsidR="001B02F3" w:rsidRPr="003E7712" w:rsidRDefault="003E7712">
      <w:pPr>
        <w:spacing w:line="360" w:lineRule="auto"/>
        <w:rPr>
          <w:b/>
          <w:bCs/>
          <w:color w:val="FFFFFF"/>
          <w:sz w:val="2"/>
          <w:szCs w:val="2"/>
          <w:rtl/>
        </w:rPr>
      </w:pPr>
      <w:r w:rsidRPr="003E7712">
        <w:rPr>
          <w:b/>
          <w:bCs/>
          <w:color w:val="FFFFFF"/>
          <w:sz w:val="2"/>
          <w:szCs w:val="2"/>
          <w:rtl/>
        </w:rPr>
        <w:t>5129371</w:t>
      </w:r>
    </w:p>
    <w:p w14:paraId="653D271A" w14:textId="77777777" w:rsidR="001B02F3" w:rsidRDefault="003E7712">
      <w:pPr>
        <w:spacing w:line="360" w:lineRule="auto"/>
        <w:rPr>
          <w:b/>
          <w:bCs/>
          <w:rtl/>
        </w:rPr>
      </w:pPr>
      <w:r w:rsidRPr="003E7712">
        <w:rPr>
          <w:rFonts w:ascii="Arial" w:hAnsi="Arial"/>
          <w:b/>
          <w:bCs/>
          <w:color w:val="FFFFFF"/>
          <w:sz w:val="2"/>
          <w:szCs w:val="2"/>
          <w:rtl/>
        </w:rPr>
        <w:t>54678313</w:t>
      </w:r>
      <w:r>
        <w:rPr>
          <w:rFonts w:ascii="Arial" w:hAnsi="Arial"/>
          <w:b/>
          <w:bCs/>
          <w:rtl/>
        </w:rPr>
        <w:t xml:space="preserve">ניתן היום,  כ"א אדר ב תשע"ד, 23 מרץ 2014, במעמד הצדדים. </w:t>
      </w:r>
    </w:p>
    <w:p w14:paraId="7611ED6E" w14:textId="77777777" w:rsidR="001B02F3" w:rsidRDefault="003E7712">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28CE7EC3" w14:textId="77777777" w:rsidR="001B02F3" w:rsidRDefault="001B02F3">
      <w:pPr>
        <w:spacing w:line="360" w:lineRule="auto"/>
        <w:jc w:val="center"/>
        <w:rPr>
          <w:rFonts w:ascii="Arial" w:hAnsi="Arial"/>
          <w:b/>
          <w:bCs/>
          <w:rtl/>
        </w:rPr>
      </w:pPr>
    </w:p>
    <w:p w14:paraId="14E1C49A" w14:textId="77777777" w:rsidR="001B02F3" w:rsidRDefault="001B02F3">
      <w:pPr>
        <w:spacing w:line="360" w:lineRule="auto"/>
        <w:rPr>
          <w:b/>
          <w:bCs/>
          <w:rtl/>
        </w:rPr>
      </w:pPr>
    </w:p>
    <w:p w14:paraId="343FFF8B" w14:textId="77777777" w:rsidR="001B02F3" w:rsidRDefault="001B02F3">
      <w:pPr>
        <w:pStyle w:val="a3"/>
        <w:spacing w:line="360" w:lineRule="auto"/>
        <w:jc w:val="center"/>
        <w:rPr>
          <w:b/>
          <w:bCs/>
          <w:rtl/>
        </w:rPr>
      </w:pPr>
    </w:p>
    <w:p w14:paraId="163B48CC" w14:textId="77777777" w:rsidR="003E7712" w:rsidRPr="003E7712" w:rsidRDefault="003E7712" w:rsidP="003E7712">
      <w:pPr>
        <w:keepNext/>
        <w:rPr>
          <w:rFonts w:ascii="David" w:hAnsi="David"/>
          <w:color w:val="000000"/>
          <w:sz w:val="22"/>
          <w:szCs w:val="22"/>
          <w:rtl/>
        </w:rPr>
      </w:pPr>
    </w:p>
    <w:p w14:paraId="7B6470A7" w14:textId="77777777" w:rsidR="003E7712" w:rsidRPr="003E7712" w:rsidRDefault="003E7712" w:rsidP="003E7712">
      <w:pPr>
        <w:keepNext/>
        <w:rPr>
          <w:rFonts w:ascii="David" w:hAnsi="David"/>
          <w:color w:val="000000"/>
          <w:sz w:val="22"/>
          <w:szCs w:val="22"/>
          <w:rtl/>
        </w:rPr>
      </w:pPr>
      <w:r w:rsidRPr="003E7712">
        <w:rPr>
          <w:rFonts w:ascii="David" w:hAnsi="David"/>
          <w:color w:val="000000"/>
          <w:sz w:val="22"/>
          <w:szCs w:val="22"/>
          <w:rtl/>
        </w:rPr>
        <w:t>הה עינת רון 54678313</w:t>
      </w:r>
    </w:p>
    <w:p w14:paraId="5742BFDC" w14:textId="77777777" w:rsidR="003E7712" w:rsidRDefault="003E7712" w:rsidP="003E7712">
      <w:r w:rsidRPr="003E7712">
        <w:rPr>
          <w:color w:val="000000"/>
          <w:rtl/>
        </w:rPr>
        <w:t>נוסח מסמך זה כפוף לשינויי ניסוח ועריכה</w:t>
      </w:r>
    </w:p>
    <w:p w14:paraId="36C74B3E" w14:textId="77777777" w:rsidR="003E7712" w:rsidRDefault="003E7712" w:rsidP="003E7712">
      <w:pPr>
        <w:rPr>
          <w:rtl/>
        </w:rPr>
      </w:pPr>
    </w:p>
    <w:p w14:paraId="169E47B7" w14:textId="77777777" w:rsidR="003E7712" w:rsidRDefault="003E7712" w:rsidP="003E7712">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5132082D" w14:textId="77777777" w:rsidR="001B02F3" w:rsidRPr="003E7712" w:rsidRDefault="001B02F3" w:rsidP="003E7712">
      <w:pPr>
        <w:jc w:val="center"/>
        <w:rPr>
          <w:color w:val="0000FF"/>
          <w:u w:val="single"/>
        </w:rPr>
      </w:pPr>
    </w:p>
    <w:sectPr w:rsidR="001B02F3" w:rsidRPr="003E7712" w:rsidSect="003E7712">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FC668" w14:textId="77777777" w:rsidR="00F5762B" w:rsidRPr="00E077EE" w:rsidRDefault="00F5762B">
      <w:pPr>
        <w:rPr>
          <w:rFonts w:cs="Arial"/>
          <w:szCs w:val="20"/>
        </w:rPr>
      </w:pPr>
      <w:r>
        <w:separator/>
      </w:r>
    </w:p>
  </w:endnote>
  <w:endnote w:type="continuationSeparator" w:id="0">
    <w:p w14:paraId="146155D0" w14:textId="77777777" w:rsidR="00F5762B" w:rsidRPr="00E077EE" w:rsidRDefault="00F5762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CD94F" w14:textId="77777777" w:rsidR="003E7712" w:rsidRDefault="003E7712" w:rsidP="003E771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19A768" w14:textId="77777777" w:rsidR="001B02F3" w:rsidRPr="003E7712" w:rsidRDefault="003E7712" w:rsidP="003E7712">
    <w:pPr>
      <w:pStyle w:val="a4"/>
      <w:pBdr>
        <w:top w:val="single" w:sz="4" w:space="1" w:color="auto"/>
        <w:between w:val="single" w:sz="4" w:space="0" w:color="auto"/>
      </w:pBdr>
      <w:spacing w:after="60"/>
      <w:jc w:val="center"/>
      <w:rPr>
        <w:rFonts w:ascii="FrankRuehl" w:hAnsi="FrankRuehl" w:cs="FrankRuehl"/>
        <w:color w:val="000000"/>
      </w:rPr>
    </w:pPr>
    <w:r w:rsidRPr="003E77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E3ECE" w14:textId="77777777" w:rsidR="003E7712" w:rsidRDefault="003E7712" w:rsidP="003E771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B51B6">
      <w:rPr>
        <w:rFonts w:ascii="FrankRuehl" w:hAnsi="FrankRuehl" w:cs="FrankRuehl"/>
        <w:noProof/>
        <w:rtl/>
      </w:rPr>
      <w:t>1</w:t>
    </w:r>
    <w:r>
      <w:rPr>
        <w:rFonts w:ascii="FrankRuehl" w:hAnsi="FrankRuehl" w:cs="FrankRuehl"/>
        <w:rtl/>
      </w:rPr>
      <w:fldChar w:fldCharType="end"/>
    </w:r>
  </w:p>
  <w:p w14:paraId="657C42F2" w14:textId="77777777" w:rsidR="001B02F3" w:rsidRPr="003E7712" w:rsidRDefault="003E7712" w:rsidP="003E7712">
    <w:pPr>
      <w:pStyle w:val="a4"/>
      <w:pBdr>
        <w:top w:val="single" w:sz="4" w:space="1" w:color="auto"/>
        <w:between w:val="single" w:sz="4" w:space="0" w:color="auto"/>
      </w:pBdr>
      <w:spacing w:after="60"/>
      <w:jc w:val="center"/>
      <w:rPr>
        <w:rFonts w:ascii="FrankRuehl" w:hAnsi="FrankRuehl" w:cs="FrankRuehl"/>
        <w:color w:val="000000"/>
      </w:rPr>
    </w:pPr>
    <w:r w:rsidRPr="003E7712">
      <w:rPr>
        <w:rFonts w:ascii="FrankRuehl" w:hAnsi="FrankRuehl" w:cs="FrankRuehl"/>
        <w:color w:val="000000"/>
      </w:rPr>
      <w:pict w14:anchorId="63267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D399A" w14:textId="77777777" w:rsidR="00F5762B" w:rsidRPr="00E077EE" w:rsidRDefault="00F5762B">
      <w:pPr>
        <w:rPr>
          <w:rFonts w:cs="Arial"/>
          <w:szCs w:val="20"/>
        </w:rPr>
      </w:pPr>
      <w:r>
        <w:separator/>
      </w:r>
    </w:p>
  </w:footnote>
  <w:footnote w:type="continuationSeparator" w:id="0">
    <w:p w14:paraId="69C5CDA0" w14:textId="77777777" w:rsidR="00F5762B" w:rsidRPr="00E077EE" w:rsidRDefault="00F5762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4845F" w14:textId="77777777" w:rsidR="003E7712" w:rsidRPr="003E7712" w:rsidRDefault="003E7712" w:rsidP="003E77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44772-02-13</w:t>
    </w:r>
    <w:r>
      <w:rPr>
        <w:rFonts w:ascii="David" w:hAnsi="David"/>
        <w:color w:val="000000"/>
        <w:sz w:val="22"/>
        <w:szCs w:val="22"/>
        <w:rtl/>
      </w:rPr>
      <w:tab/>
      <w:t xml:space="preserve"> פרקליטות מחוז מרכז נ' דוד וטורי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4DFD1" w14:textId="77777777" w:rsidR="003E7712" w:rsidRPr="003E7712" w:rsidRDefault="003E7712" w:rsidP="003E77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44772-02-13</w:t>
    </w:r>
    <w:r>
      <w:rPr>
        <w:rFonts w:ascii="David" w:hAnsi="David"/>
        <w:color w:val="000000"/>
        <w:sz w:val="22"/>
        <w:szCs w:val="22"/>
        <w:rtl/>
      </w:rPr>
      <w:tab/>
      <w:t xml:space="preserve"> פרקליטות מחוז מרכז נ' דוד וטורי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B02F3"/>
    <w:rsid w:val="001128DF"/>
    <w:rsid w:val="001B02F3"/>
    <w:rsid w:val="003E7712"/>
    <w:rsid w:val="00A80998"/>
    <w:rsid w:val="00DC23C3"/>
    <w:rsid w:val="00F5762B"/>
    <w:rsid w:val="00FB51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153A07D"/>
  <w15:chartTrackingRefBased/>
  <w15:docId w15:val="{802CF04A-FED3-4659-B74E-08AE60BB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02F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B02F3"/>
    <w:pPr>
      <w:tabs>
        <w:tab w:val="center" w:pos="4153"/>
        <w:tab w:val="right" w:pos="8306"/>
      </w:tabs>
    </w:pPr>
  </w:style>
  <w:style w:type="paragraph" w:styleId="a4">
    <w:name w:val="footer"/>
    <w:basedOn w:val="a"/>
    <w:rsid w:val="001B02F3"/>
    <w:pPr>
      <w:tabs>
        <w:tab w:val="center" w:pos="4153"/>
        <w:tab w:val="right" w:pos="8306"/>
      </w:tabs>
    </w:pPr>
  </w:style>
  <w:style w:type="character" w:styleId="a5">
    <w:name w:val="page number"/>
    <w:basedOn w:val="a0"/>
    <w:rsid w:val="001B02F3"/>
  </w:style>
  <w:style w:type="character" w:styleId="Hyperlink">
    <w:name w:val="Hyperlink"/>
    <w:basedOn w:val="a0"/>
    <w:rsid w:val="003E77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01158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case/569944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1895</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11352</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3407997</vt:i4>
      </vt:variant>
      <vt:variant>
        <vt:i4>6</vt:i4>
      </vt:variant>
      <vt:variant>
        <vt:i4>0</vt:i4>
      </vt:variant>
      <vt:variant>
        <vt:i4>5</vt:i4>
      </vt:variant>
      <vt:variant>
        <vt:lpwstr>http://www.nevo.co.il/case/6011586</vt:lpwstr>
      </vt:variant>
      <vt:variant>
        <vt:lpwstr/>
      </vt:variant>
      <vt:variant>
        <vt:i4>4063359</vt:i4>
      </vt:variant>
      <vt:variant>
        <vt:i4>3</vt:i4>
      </vt:variant>
      <vt:variant>
        <vt:i4>0</vt:i4>
      </vt:variant>
      <vt:variant>
        <vt:i4>5</vt:i4>
      </vt:variant>
      <vt:variant>
        <vt:lpwstr>http://www.nevo.co.il/case/5699446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2025-04-22T21:57:00Z</dcterms:created>
  <dcterms:modified xsi:type="dcterms:W3CDTF">2025-04-22T21:57:00Z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44772</vt:lpwstr>
  </property>
  <property fmtid="{D5CDD505-2E9C-101B-9397-08002B2CF9AE}" pid="6" name="NEWPARTB">
    <vt:lpwstr>02</vt:lpwstr>
  </property>
  <property fmtid="{D5CDD505-2E9C-101B-9397-08002B2CF9AE}" pid="7" name="NEWPARTC">
    <vt:lpwstr>13</vt:lpwstr>
  </property>
  <property fmtid="{D5CDD505-2E9C-101B-9397-08002B2CF9AE}" pid="8" name="APPELLANT">
    <vt:lpwstr>פרקליטות מחוז מרכז</vt:lpwstr>
  </property>
  <property fmtid="{D5CDD505-2E9C-101B-9397-08002B2CF9AE}" pid="9" name="APPELLEE">
    <vt:lpwstr>דוד וטורי</vt:lpwstr>
  </property>
  <property fmtid="{D5CDD505-2E9C-101B-9397-08002B2CF9AE}" pid="10" name="LAWYER">
    <vt:lpwstr>מיכאל סטופ;שי נודל</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20140323</vt:lpwstr>
  </property>
  <property fmtid="{D5CDD505-2E9C-101B-9397-08002B2CF9AE}" pid="14" name="TYPE_N_DATE">
    <vt:lpwstr>38020140323</vt:lpwstr>
  </property>
  <property fmtid="{D5CDD505-2E9C-101B-9397-08002B2CF9AE}" pid="15" name="CASESLISTTMP1">
    <vt:lpwstr>5699446;6011586</vt:lpwstr>
  </property>
  <property fmtid="{D5CDD505-2E9C-101B-9397-08002B2CF9AE}" pid="16" name="WORDNUMPAGES">
    <vt:lpwstr>7</vt:lpwstr>
  </property>
  <property fmtid="{D5CDD505-2E9C-101B-9397-08002B2CF9AE}" pid="17" name="TYPE_ABS_DATE">
    <vt:lpwstr>380020140323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vt:lpwstr>
  </property>
</Properties>
</file>