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6AA4" w:rsidRPr="00A41770" w14:paraId="40F408F8" w14:textId="77777777">
        <w:trPr>
          <w:trHeight w:hRule="exact" w:val="418"/>
          <w:jc w:val="center"/>
        </w:trPr>
        <w:tc>
          <w:tcPr>
            <w:tcW w:w="8721" w:type="dxa"/>
            <w:gridSpan w:val="2"/>
          </w:tcPr>
          <w:p w14:paraId="3C5FC421" w14:textId="77777777" w:rsidR="00066AA4" w:rsidRPr="00A41770" w:rsidRDefault="00066AA4" w:rsidP="00A41770">
            <w:pPr>
              <w:pStyle w:val="a3"/>
              <w:jc w:val="center"/>
              <w:rPr>
                <w:rFonts w:ascii="Tahoma" w:hAnsi="Tahoma" w:cs="Tahoma"/>
                <w:color w:val="000080"/>
                <w:rtl/>
              </w:rPr>
            </w:pPr>
            <w:bookmarkStart w:id="0" w:name="LastJudge"/>
            <w:r w:rsidRPr="00A41770">
              <w:rPr>
                <w:rFonts w:ascii="Tahoma" w:hAnsi="Tahoma" w:cs="Tahoma"/>
                <w:b/>
                <w:bCs/>
                <w:color w:val="000080"/>
                <w:rtl/>
              </w:rPr>
              <w:t>בית משפט השלום בתל אביב - יפו</w:t>
            </w:r>
          </w:p>
        </w:tc>
      </w:tr>
      <w:tr w:rsidR="00066AA4" w:rsidRPr="00A41770" w14:paraId="409FF9AA" w14:textId="77777777">
        <w:trPr>
          <w:trHeight w:val="337"/>
          <w:jc w:val="center"/>
        </w:trPr>
        <w:tc>
          <w:tcPr>
            <w:tcW w:w="5054" w:type="dxa"/>
          </w:tcPr>
          <w:p w14:paraId="6D08E9E8" w14:textId="77777777" w:rsidR="00066AA4" w:rsidRPr="00A41770" w:rsidRDefault="00066AA4" w:rsidP="00BE13F8">
            <w:pPr>
              <w:rPr>
                <w:rFonts w:cs="FrankRuehl" w:hint="cs"/>
                <w:sz w:val="28"/>
                <w:szCs w:val="28"/>
                <w:rtl/>
              </w:rPr>
            </w:pPr>
            <w:r w:rsidRPr="00A41770">
              <w:rPr>
                <w:rFonts w:cs="FrankRuehl"/>
                <w:sz w:val="28"/>
                <w:szCs w:val="28"/>
                <w:rtl/>
              </w:rPr>
              <w:t>ת"פ</w:t>
            </w:r>
            <w:r w:rsidRPr="00A41770">
              <w:rPr>
                <w:rFonts w:cs="FrankRuehl" w:hint="cs"/>
                <w:sz w:val="28"/>
                <w:szCs w:val="28"/>
                <w:rtl/>
              </w:rPr>
              <w:t xml:space="preserve"> </w:t>
            </w:r>
            <w:r w:rsidRPr="00A41770">
              <w:rPr>
                <w:rFonts w:cs="FrankRuehl"/>
                <w:sz w:val="28"/>
                <w:szCs w:val="28"/>
                <w:rtl/>
              </w:rPr>
              <w:t>45180-02-13</w:t>
            </w:r>
            <w:r w:rsidRPr="00A41770">
              <w:rPr>
                <w:rFonts w:cs="FrankRuehl" w:hint="cs"/>
                <w:sz w:val="28"/>
                <w:szCs w:val="28"/>
                <w:rtl/>
              </w:rPr>
              <w:t xml:space="preserve"> </w:t>
            </w:r>
            <w:r w:rsidRPr="00A41770">
              <w:rPr>
                <w:rFonts w:cs="FrankRuehl"/>
                <w:sz w:val="28"/>
                <w:szCs w:val="28"/>
                <w:rtl/>
              </w:rPr>
              <w:t xml:space="preserve">מדינת ישראל נ' </w:t>
            </w:r>
            <w:r w:rsidR="00BE13F8">
              <w:rPr>
                <w:rFonts w:cs="FrankRuehl" w:hint="cs"/>
                <w:sz w:val="28"/>
                <w:szCs w:val="28"/>
                <w:rtl/>
              </w:rPr>
              <w:t>פלוני</w:t>
            </w:r>
          </w:p>
          <w:p w14:paraId="0A0264FE" w14:textId="77777777" w:rsidR="00066AA4" w:rsidRPr="00A41770" w:rsidRDefault="00066AA4" w:rsidP="00A41770">
            <w:pPr>
              <w:pStyle w:val="a3"/>
              <w:rPr>
                <w:rFonts w:cs="FrankRuehl"/>
                <w:sz w:val="28"/>
                <w:szCs w:val="28"/>
                <w:rtl/>
              </w:rPr>
            </w:pPr>
          </w:p>
        </w:tc>
        <w:tc>
          <w:tcPr>
            <w:tcW w:w="3667" w:type="dxa"/>
          </w:tcPr>
          <w:p w14:paraId="18E9138E" w14:textId="77777777" w:rsidR="00066AA4" w:rsidRPr="00A41770" w:rsidRDefault="00066AA4" w:rsidP="00A41770">
            <w:pPr>
              <w:pStyle w:val="a3"/>
              <w:jc w:val="right"/>
              <w:rPr>
                <w:rFonts w:cs="FrankRuehl"/>
                <w:sz w:val="28"/>
                <w:szCs w:val="28"/>
                <w:rtl/>
              </w:rPr>
            </w:pPr>
          </w:p>
        </w:tc>
      </w:tr>
    </w:tbl>
    <w:p w14:paraId="5439C8BF" w14:textId="77777777" w:rsidR="00066AA4" w:rsidRPr="00A41770" w:rsidRDefault="00066AA4" w:rsidP="00066AA4">
      <w:pPr>
        <w:pStyle w:val="a3"/>
        <w:rPr>
          <w:rtl/>
        </w:rPr>
      </w:pPr>
      <w:r w:rsidRPr="00A41770">
        <w:rPr>
          <w:rFonts w:hint="cs"/>
          <w:rtl/>
        </w:rPr>
        <w:t xml:space="preserve"> </w:t>
      </w:r>
    </w:p>
    <w:p w14:paraId="47D726FF" w14:textId="77777777" w:rsidR="00066AA4" w:rsidRPr="00A41770" w:rsidRDefault="00066AA4" w:rsidP="00066A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66AA4" w:rsidRPr="00A41770" w14:paraId="721A6F7E" w14:textId="77777777">
        <w:trPr>
          <w:trHeight w:val="295"/>
          <w:jc w:val="center"/>
        </w:trPr>
        <w:tc>
          <w:tcPr>
            <w:tcW w:w="923" w:type="dxa"/>
            <w:tcBorders>
              <w:top w:val="nil"/>
              <w:left w:val="nil"/>
              <w:bottom w:val="nil"/>
              <w:right w:val="nil"/>
            </w:tcBorders>
            <w:shd w:val="clear" w:color="auto" w:fill="auto"/>
          </w:tcPr>
          <w:p w14:paraId="23FFD5C9" w14:textId="77777777" w:rsidR="00066AA4" w:rsidRPr="00A41770" w:rsidRDefault="00066AA4" w:rsidP="00A41770">
            <w:pPr>
              <w:jc w:val="both"/>
              <w:rPr>
                <w:rFonts w:ascii="Arial" w:hAnsi="Arial"/>
              </w:rPr>
            </w:pPr>
            <w:r w:rsidRPr="00A41770">
              <w:rPr>
                <w:rFonts w:ascii="Arial" w:hAnsi="Arial" w:hint="cs"/>
                <w:rtl/>
              </w:rPr>
              <w:t>ב</w:t>
            </w:r>
            <w:r w:rsidRPr="00A41770">
              <w:rPr>
                <w:rFonts w:ascii="Arial" w:hAnsi="Arial"/>
                <w:rtl/>
              </w:rPr>
              <w:t xml:space="preserve">פני </w:t>
            </w:r>
          </w:p>
        </w:tc>
        <w:tc>
          <w:tcPr>
            <w:tcW w:w="7897" w:type="dxa"/>
            <w:gridSpan w:val="2"/>
            <w:tcBorders>
              <w:top w:val="nil"/>
              <w:left w:val="nil"/>
              <w:bottom w:val="nil"/>
              <w:right w:val="nil"/>
            </w:tcBorders>
            <w:shd w:val="clear" w:color="auto" w:fill="auto"/>
          </w:tcPr>
          <w:p w14:paraId="28B94EFF" w14:textId="77777777" w:rsidR="00066AA4" w:rsidRPr="00A41770" w:rsidRDefault="00066AA4" w:rsidP="00A41770">
            <w:pPr>
              <w:rPr>
                <w:rFonts w:ascii="Arial" w:hAnsi="Arial"/>
                <w:b/>
                <w:bCs/>
                <w:rtl/>
              </w:rPr>
            </w:pPr>
            <w:r w:rsidRPr="00A41770">
              <w:rPr>
                <w:rFonts w:ascii="Arial" w:hAnsi="Arial" w:hint="cs"/>
                <w:b/>
                <w:bCs/>
                <w:rtl/>
              </w:rPr>
              <w:t>כבוד ה</w:t>
            </w:r>
            <w:r w:rsidRPr="00A41770">
              <w:rPr>
                <w:rFonts w:hint="cs"/>
                <w:rtl/>
              </w:rPr>
              <w:t>שופט</w:t>
            </w:r>
            <w:r w:rsidRPr="00A41770">
              <w:rPr>
                <w:rFonts w:ascii="Arial" w:hAnsi="Arial" w:hint="cs"/>
                <w:b/>
                <w:bCs/>
                <w:rtl/>
              </w:rPr>
              <w:t xml:space="preserve">  </w:t>
            </w:r>
            <w:r w:rsidRPr="00A41770">
              <w:rPr>
                <w:rFonts w:hint="cs"/>
                <w:rtl/>
              </w:rPr>
              <w:t>עידו דרויאן</w:t>
            </w:r>
          </w:p>
          <w:p w14:paraId="68185158" w14:textId="77777777" w:rsidR="00066AA4" w:rsidRPr="00A41770" w:rsidRDefault="00066AA4" w:rsidP="00A41770">
            <w:pPr>
              <w:rPr>
                <w:rtl/>
              </w:rPr>
            </w:pPr>
          </w:p>
          <w:p w14:paraId="07F58C77" w14:textId="77777777" w:rsidR="00066AA4" w:rsidRPr="00A41770" w:rsidRDefault="00066AA4" w:rsidP="00A41770">
            <w:pPr>
              <w:jc w:val="both"/>
              <w:rPr>
                <w:rFonts w:ascii="Arial" w:hAnsi="Arial"/>
              </w:rPr>
            </w:pPr>
          </w:p>
        </w:tc>
      </w:tr>
      <w:tr w:rsidR="00066AA4" w:rsidRPr="00A41770" w14:paraId="1C7D031B" w14:textId="77777777">
        <w:trPr>
          <w:trHeight w:val="355"/>
          <w:jc w:val="center"/>
        </w:trPr>
        <w:tc>
          <w:tcPr>
            <w:tcW w:w="923" w:type="dxa"/>
            <w:tcBorders>
              <w:top w:val="nil"/>
              <w:left w:val="nil"/>
              <w:bottom w:val="nil"/>
              <w:right w:val="nil"/>
            </w:tcBorders>
            <w:shd w:val="clear" w:color="auto" w:fill="auto"/>
          </w:tcPr>
          <w:p w14:paraId="7B3432CD" w14:textId="77777777" w:rsidR="00066AA4" w:rsidRPr="00A41770" w:rsidRDefault="00066AA4" w:rsidP="00A41770">
            <w:pPr>
              <w:jc w:val="both"/>
              <w:rPr>
                <w:rFonts w:ascii="Arial" w:hAnsi="Arial"/>
              </w:rPr>
            </w:pPr>
            <w:bookmarkStart w:id="1" w:name="FirstAppellant"/>
            <w:bookmarkStart w:id="2" w:name="FirstLawyer"/>
            <w:r w:rsidRPr="00A41770">
              <w:rPr>
                <w:rFonts w:ascii="Arial" w:hAnsi="Arial" w:hint="cs"/>
                <w:rtl/>
              </w:rPr>
              <w:t>בעניין:</w:t>
            </w:r>
          </w:p>
        </w:tc>
        <w:tc>
          <w:tcPr>
            <w:tcW w:w="4126" w:type="dxa"/>
            <w:tcBorders>
              <w:top w:val="nil"/>
              <w:left w:val="nil"/>
              <w:bottom w:val="nil"/>
              <w:right w:val="nil"/>
            </w:tcBorders>
            <w:shd w:val="clear" w:color="auto" w:fill="auto"/>
          </w:tcPr>
          <w:p w14:paraId="1C8DD065" w14:textId="77777777" w:rsidR="00066AA4" w:rsidRPr="00A41770" w:rsidRDefault="00066AA4" w:rsidP="00A41770">
            <w:pPr>
              <w:rPr>
                <w:b/>
                <w:bCs/>
                <w:rtl/>
              </w:rPr>
            </w:pPr>
            <w:r w:rsidRPr="00A41770">
              <w:rPr>
                <w:rFonts w:hint="cs"/>
                <w:b/>
                <w:bCs/>
                <w:rtl/>
              </w:rPr>
              <w:t>מדינת ישראל</w:t>
            </w:r>
          </w:p>
          <w:p w14:paraId="07807827" w14:textId="77777777" w:rsidR="00066AA4" w:rsidRPr="00A41770" w:rsidRDefault="00066AA4" w:rsidP="00A41770">
            <w:pPr>
              <w:rPr>
                <w:b/>
                <w:bCs/>
                <w:rtl/>
              </w:rPr>
            </w:pPr>
          </w:p>
          <w:p w14:paraId="668E3241" w14:textId="77777777" w:rsidR="00066AA4" w:rsidRPr="00A41770" w:rsidRDefault="00066AA4" w:rsidP="00A41770">
            <w:r w:rsidRPr="00A41770">
              <w:rPr>
                <w:rFonts w:hint="cs"/>
                <w:rtl/>
              </w:rPr>
              <w:t>ע"י ב"כ עו"ד רעות בר טוב</w:t>
            </w:r>
          </w:p>
        </w:tc>
        <w:tc>
          <w:tcPr>
            <w:tcW w:w="3771" w:type="dxa"/>
            <w:tcBorders>
              <w:top w:val="nil"/>
              <w:left w:val="nil"/>
              <w:bottom w:val="nil"/>
              <w:right w:val="nil"/>
            </w:tcBorders>
            <w:shd w:val="clear" w:color="auto" w:fill="auto"/>
          </w:tcPr>
          <w:p w14:paraId="782AC964" w14:textId="77777777" w:rsidR="00066AA4" w:rsidRPr="00A41770" w:rsidRDefault="00066AA4" w:rsidP="00A41770">
            <w:pPr>
              <w:jc w:val="both"/>
              <w:rPr>
                <w:rFonts w:ascii="Arial" w:hAnsi="Arial"/>
                <w:b/>
                <w:bCs/>
              </w:rPr>
            </w:pPr>
          </w:p>
        </w:tc>
      </w:tr>
      <w:bookmarkEnd w:id="1"/>
      <w:bookmarkEnd w:id="2"/>
      <w:tr w:rsidR="00066AA4" w:rsidRPr="00A41770" w14:paraId="6E32087A" w14:textId="77777777">
        <w:trPr>
          <w:trHeight w:val="355"/>
          <w:jc w:val="center"/>
        </w:trPr>
        <w:tc>
          <w:tcPr>
            <w:tcW w:w="923" w:type="dxa"/>
            <w:tcBorders>
              <w:top w:val="nil"/>
              <w:left w:val="nil"/>
              <w:bottom w:val="nil"/>
              <w:right w:val="nil"/>
            </w:tcBorders>
            <w:shd w:val="clear" w:color="auto" w:fill="auto"/>
          </w:tcPr>
          <w:p w14:paraId="02ECED5E" w14:textId="77777777" w:rsidR="00066AA4" w:rsidRPr="00A41770" w:rsidRDefault="00066AA4" w:rsidP="00A41770">
            <w:pPr>
              <w:jc w:val="both"/>
              <w:rPr>
                <w:rFonts w:ascii="Arial" w:hAnsi="Arial"/>
                <w:rtl/>
              </w:rPr>
            </w:pPr>
          </w:p>
        </w:tc>
        <w:tc>
          <w:tcPr>
            <w:tcW w:w="4126" w:type="dxa"/>
            <w:tcBorders>
              <w:top w:val="nil"/>
              <w:left w:val="nil"/>
              <w:bottom w:val="nil"/>
              <w:right w:val="nil"/>
            </w:tcBorders>
            <w:shd w:val="clear" w:color="auto" w:fill="auto"/>
          </w:tcPr>
          <w:p w14:paraId="565AD85C" w14:textId="77777777" w:rsidR="00066AA4" w:rsidRPr="00A41770" w:rsidRDefault="00066AA4" w:rsidP="00A41770">
            <w:pPr>
              <w:jc w:val="both"/>
              <w:rPr>
                <w:b/>
                <w:bCs/>
                <w:rtl/>
              </w:rPr>
            </w:pPr>
          </w:p>
        </w:tc>
        <w:tc>
          <w:tcPr>
            <w:tcW w:w="3771" w:type="dxa"/>
            <w:tcBorders>
              <w:top w:val="nil"/>
              <w:left w:val="nil"/>
              <w:bottom w:val="nil"/>
              <w:right w:val="nil"/>
            </w:tcBorders>
            <w:shd w:val="clear" w:color="auto" w:fill="auto"/>
          </w:tcPr>
          <w:p w14:paraId="762B1784" w14:textId="77777777" w:rsidR="00066AA4" w:rsidRPr="00A41770" w:rsidRDefault="00066AA4" w:rsidP="00A41770">
            <w:pPr>
              <w:jc w:val="right"/>
              <w:rPr>
                <w:rFonts w:ascii="Arial" w:hAnsi="Arial"/>
                <w:b/>
                <w:bCs/>
                <w:rtl/>
              </w:rPr>
            </w:pPr>
            <w:r w:rsidRPr="00A41770">
              <w:rPr>
                <w:rFonts w:ascii="Arial" w:hAnsi="Arial" w:hint="cs"/>
                <w:b/>
                <w:bCs/>
                <w:rtl/>
              </w:rPr>
              <w:t>ה</w:t>
            </w:r>
            <w:r w:rsidRPr="00A41770">
              <w:rPr>
                <w:rFonts w:hint="cs"/>
                <w:b/>
                <w:bCs/>
                <w:rtl/>
              </w:rPr>
              <w:t>מאשימה</w:t>
            </w:r>
          </w:p>
        </w:tc>
      </w:tr>
      <w:tr w:rsidR="00066AA4" w:rsidRPr="00A41770" w14:paraId="1C7FFDEB" w14:textId="77777777">
        <w:trPr>
          <w:trHeight w:val="355"/>
          <w:jc w:val="center"/>
        </w:trPr>
        <w:tc>
          <w:tcPr>
            <w:tcW w:w="923" w:type="dxa"/>
            <w:tcBorders>
              <w:top w:val="nil"/>
              <w:left w:val="nil"/>
              <w:bottom w:val="nil"/>
              <w:right w:val="nil"/>
            </w:tcBorders>
            <w:shd w:val="clear" w:color="auto" w:fill="auto"/>
          </w:tcPr>
          <w:p w14:paraId="107C3552" w14:textId="77777777" w:rsidR="00066AA4" w:rsidRPr="00A41770" w:rsidRDefault="00066AA4" w:rsidP="00A41770">
            <w:pPr>
              <w:jc w:val="both"/>
              <w:rPr>
                <w:rFonts w:ascii="Arial" w:hAnsi="Arial"/>
                <w:rtl/>
              </w:rPr>
            </w:pPr>
          </w:p>
        </w:tc>
        <w:tc>
          <w:tcPr>
            <w:tcW w:w="7897" w:type="dxa"/>
            <w:gridSpan w:val="2"/>
            <w:tcBorders>
              <w:top w:val="nil"/>
              <w:left w:val="nil"/>
              <w:bottom w:val="nil"/>
              <w:right w:val="nil"/>
            </w:tcBorders>
            <w:shd w:val="clear" w:color="auto" w:fill="auto"/>
          </w:tcPr>
          <w:p w14:paraId="08164E27" w14:textId="77777777" w:rsidR="00066AA4" w:rsidRPr="00A41770" w:rsidRDefault="00066AA4" w:rsidP="00A41770">
            <w:pPr>
              <w:jc w:val="center"/>
              <w:rPr>
                <w:rFonts w:ascii="Arial" w:hAnsi="Arial"/>
                <w:b/>
                <w:bCs/>
                <w:rtl/>
              </w:rPr>
            </w:pPr>
          </w:p>
          <w:p w14:paraId="5AC0ECF5" w14:textId="77777777" w:rsidR="00066AA4" w:rsidRPr="00A41770" w:rsidRDefault="00066AA4" w:rsidP="00A41770">
            <w:pPr>
              <w:jc w:val="center"/>
              <w:rPr>
                <w:rFonts w:ascii="Arial" w:hAnsi="Arial"/>
                <w:b/>
                <w:bCs/>
                <w:rtl/>
              </w:rPr>
            </w:pPr>
            <w:r w:rsidRPr="00A41770">
              <w:rPr>
                <w:rFonts w:ascii="Arial" w:hAnsi="Arial"/>
                <w:b/>
                <w:bCs/>
                <w:rtl/>
              </w:rPr>
              <w:t>נגד</w:t>
            </w:r>
          </w:p>
          <w:p w14:paraId="364F5516" w14:textId="77777777" w:rsidR="00066AA4" w:rsidRPr="00A41770" w:rsidRDefault="00066AA4" w:rsidP="00A41770">
            <w:pPr>
              <w:jc w:val="both"/>
              <w:rPr>
                <w:rFonts w:ascii="Arial" w:hAnsi="Arial"/>
                <w:b/>
                <w:bCs/>
              </w:rPr>
            </w:pPr>
          </w:p>
        </w:tc>
      </w:tr>
      <w:tr w:rsidR="00066AA4" w:rsidRPr="00A41770" w14:paraId="0FFB386D" w14:textId="77777777">
        <w:trPr>
          <w:trHeight w:val="355"/>
          <w:jc w:val="center"/>
        </w:trPr>
        <w:tc>
          <w:tcPr>
            <w:tcW w:w="923" w:type="dxa"/>
            <w:tcBorders>
              <w:top w:val="nil"/>
              <w:left w:val="nil"/>
              <w:bottom w:val="nil"/>
              <w:right w:val="nil"/>
            </w:tcBorders>
            <w:shd w:val="clear" w:color="auto" w:fill="auto"/>
          </w:tcPr>
          <w:p w14:paraId="753CDA70" w14:textId="77777777" w:rsidR="00066AA4" w:rsidRPr="00A41770" w:rsidRDefault="00066AA4" w:rsidP="00A41770">
            <w:pPr>
              <w:rPr>
                <w:rFonts w:ascii="Arial" w:hAnsi="Arial"/>
                <w:rtl/>
              </w:rPr>
            </w:pPr>
          </w:p>
        </w:tc>
        <w:tc>
          <w:tcPr>
            <w:tcW w:w="4126" w:type="dxa"/>
            <w:tcBorders>
              <w:top w:val="nil"/>
              <w:left w:val="nil"/>
              <w:bottom w:val="nil"/>
              <w:right w:val="nil"/>
            </w:tcBorders>
            <w:shd w:val="clear" w:color="auto" w:fill="auto"/>
          </w:tcPr>
          <w:p w14:paraId="3A94F220" w14:textId="77777777" w:rsidR="00066AA4" w:rsidRPr="00A41770" w:rsidRDefault="00BE13F8" w:rsidP="00A41770">
            <w:pPr>
              <w:rPr>
                <w:b/>
                <w:bCs/>
                <w:rtl/>
              </w:rPr>
            </w:pPr>
            <w:r>
              <w:rPr>
                <w:rFonts w:hint="cs"/>
                <w:b/>
                <w:bCs/>
                <w:rtl/>
              </w:rPr>
              <w:t>פלוני</w:t>
            </w:r>
            <w:r w:rsidR="00066AA4" w:rsidRPr="00A41770">
              <w:rPr>
                <w:rFonts w:hint="cs"/>
                <w:b/>
                <w:bCs/>
                <w:rtl/>
              </w:rPr>
              <w:br/>
            </w:r>
          </w:p>
        </w:tc>
        <w:tc>
          <w:tcPr>
            <w:tcW w:w="3771" w:type="dxa"/>
            <w:tcBorders>
              <w:top w:val="nil"/>
              <w:left w:val="nil"/>
              <w:bottom w:val="nil"/>
              <w:right w:val="nil"/>
            </w:tcBorders>
            <w:shd w:val="clear" w:color="auto" w:fill="auto"/>
          </w:tcPr>
          <w:p w14:paraId="7F197DC7" w14:textId="77777777" w:rsidR="00066AA4" w:rsidRPr="00A41770" w:rsidRDefault="00066AA4" w:rsidP="00A41770">
            <w:pPr>
              <w:jc w:val="right"/>
              <w:rPr>
                <w:rFonts w:ascii="Arial" w:hAnsi="Arial"/>
                <w:b/>
                <w:bCs/>
              </w:rPr>
            </w:pPr>
          </w:p>
        </w:tc>
      </w:tr>
      <w:tr w:rsidR="00066AA4" w:rsidRPr="00A41770" w14:paraId="4F961CA8" w14:textId="77777777">
        <w:trPr>
          <w:trHeight w:val="355"/>
          <w:jc w:val="center"/>
        </w:trPr>
        <w:tc>
          <w:tcPr>
            <w:tcW w:w="923" w:type="dxa"/>
            <w:tcBorders>
              <w:top w:val="nil"/>
              <w:left w:val="nil"/>
              <w:bottom w:val="nil"/>
              <w:right w:val="nil"/>
            </w:tcBorders>
            <w:shd w:val="clear" w:color="auto" w:fill="auto"/>
          </w:tcPr>
          <w:p w14:paraId="33B06E43" w14:textId="77777777" w:rsidR="00066AA4" w:rsidRPr="00A41770" w:rsidRDefault="00066AA4" w:rsidP="00A41770">
            <w:pPr>
              <w:jc w:val="both"/>
              <w:rPr>
                <w:rFonts w:ascii="Arial" w:hAnsi="Arial"/>
                <w:rtl/>
              </w:rPr>
            </w:pPr>
          </w:p>
        </w:tc>
        <w:tc>
          <w:tcPr>
            <w:tcW w:w="4126" w:type="dxa"/>
            <w:tcBorders>
              <w:top w:val="nil"/>
              <w:left w:val="nil"/>
              <w:bottom w:val="nil"/>
              <w:right w:val="nil"/>
            </w:tcBorders>
            <w:shd w:val="clear" w:color="auto" w:fill="auto"/>
          </w:tcPr>
          <w:p w14:paraId="1282D0D1" w14:textId="77777777" w:rsidR="00066AA4" w:rsidRPr="00A41770" w:rsidRDefault="00066AA4" w:rsidP="00A41770">
            <w:pPr>
              <w:jc w:val="both"/>
              <w:rPr>
                <w:rtl/>
              </w:rPr>
            </w:pPr>
            <w:r w:rsidRPr="00A41770">
              <w:rPr>
                <w:rFonts w:hint="cs"/>
                <w:rtl/>
              </w:rPr>
              <w:t>ע"י ב"כ עו"ד איתן כבריאן</w:t>
            </w:r>
          </w:p>
        </w:tc>
        <w:tc>
          <w:tcPr>
            <w:tcW w:w="3771" w:type="dxa"/>
            <w:tcBorders>
              <w:top w:val="nil"/>
              <w:left w:val="nil"/>
              <w:bottom w:val="nil"/>
              <w:right w:val="nil"/>
            </w:tcBorders>
            <w:shd w:val="clear" w:color="auto" w:fill="auto"/>
          </w:tcPr>
          <w:p w14:paraId="3F91988D" w14:textId="77777777" w:rsidR="00066AA4" w:rsidRPr="00A41770" w:rsidRDefault="00066AA4" w:rsidP="00A41770">
            <w:pPr>
              <w:jc w:val="right"/>
              <w:rPr>
                <w:rFonts w:ascii="Arial" w:hAnsi="Arial"/>
                <w:b/>
                <w:bCs/>
              </w:rPr>
            </w:pPr>
            <w:r w:rsidRPr="00A41770">
              <w:rPr>
                <w:rFonts w:ascii="Arial" w:hAnsi="Arial" w:hint="cs"/>
                <w:b/>
                <w:bCs/>
                <w:rtl/>
              </w:rPr>
              <w:t>ה</w:t>
            </w:r>
            <w:r w:rsidRPr="00A41770">
              <w:rPr>
                <w:rFonts w:hint="cs"/>
                <w:b/>
                <w:bCs/>
                <w:rtl/>
              </w:rPr>
              <w:t>נאשם</w:t>
            </w:r>
          </w:p>
        </w:tc>
      </w:tr>
      <w:tr w:rsidR="00066AA4" w:rsidRPr="00E87FC7" w14:paraId="4C5D78D3" w14:textId="77777777">
        <w:trPr>
          <w:trHeight w:val="355"/>
          <w:jc w:val="center"/>
        </w:trPr>
        <w:tc>
          <w:tcPr>
            <w:tcW w:w="8820" w:type="dxa"/>
            <w:gridSpan w:val="3"/>
            <w:tcBorders>
              <w:top w:val="nil"/>
              <w:left w:val="nil"/>
              <w:bottom w:val="nil"/>
              <w:right w:val="nil"/>
            </w:tcBorders>
            <w:shd w:val="clear" w:color="auto" w:fill="auto"/>
          </w:tcPr>
          <w:p w14:paraId="4CD64527" w14:textId="77777777" w:rsidR="008E1DAF" w:rsidRDefault="008E1DAF" w:rsidP="00A41770">
            <w:pPr>
              <w:jc w:val="center"/>
              <w:rPr>
                <w:rFonts w:ascii="Arial" w:hAnsi="Arial"/>
                <w:sz w:val="28"/>
                <w:szCs w:val="28"/>
                <w:rtl/>
              </w:rPr>
            </w:pPr>
            <w:bookmarkStart w:id="3" w:name="PsakDin" w:colFirst="0" w:colLast="0"/>
            <w:bookmarkStart w:id="4" w:name="LawTable"/>
            <w:bookmarkEnd w:id="0"/>
            <w:bookmarkEnd w:id="4"/>
          </w:p>
          <w:p w14:paraId="5327C721" w14:textId="77777777" w:rsidR="008E1DAF" w:rsidRPr="008E1DAF" w:rsidRDefault="008E1DAF" w:rsidP="008E1DAF">
            <w:pPr>
              <w:spacing w:after="120" w:line="240" w:lineRule="exact"/>
              <w:ind w:left="283" w:hanging="283"/>
              <w:jc w:val="both"/>
              <w:rPr>
                <w:rFonts w:ascii="FrankRuehl" w:hAnsi="FrankRuehl" w:cs="FrankRuehl"/>
                <w:rtl/>
              </w:rPr>
            </w:pPr>
          </w:p>
          <w:p w14:paraId="380F0E49" w14:textId="77777777" w:rsidR="008E1DAF" w:rsidRPr="008E1DAF" w:rsidRDefault="008E1DAF" w:rsidP="008E1DAF">
            <w:pPr>
              <w:spacing w:after="120" w:line="240" w:lineRule="exact"/>
              <w:ind w:left="283" w:hanging="283"/>
              <w:jc w:val="both"/>
              <w:rPr>
                <w:rFonts w:ascii="FrankRuehl" w:hAnsi="FrankRuehl" w:cs="FrankRuehl"/>
                <w:rtl/>
              </w:rPr>
            </w:pPr>
            <w:r w:rsidRPr="008E1DAF">
              <w:rPr>
                <w:rFonts w:ascii="FrankRuehl" w:hAnsi="FrankRuehl" w:cs="FrankRuehl"/>
                <w:rtl/>
              </w:rPr>
              <w:t xml:space="preserve">חקיקה שאוזכרה: </w:t>
            </w:r>
          </w:p>
          <w:p w14:paraId="34A3E36E" w14:textId="77777777" w:rsidR="008E1DAF" w:rsidRPr="008E1DAF" w:rsidRDefault="008E1DAF" w:rsidP="008E1DAF">
            <w:pPr>
              <w:spacing w:after="120" w:line="240" w:lineRule="exact"/>
              <w:ind w:left="283" w:hanging="283"/>
              <w:jc w:val="both"/>
              <w:rPr>
                <w:rFonts w:ascii="FrankRuehl" w:hAnsi="FrankRuehl" w:cs="FrankRuehl"/>
                <w:rtl/>
              </w:rPr>
            </w:pPr>
            <w:hyperlink r:id="rId7" w:history="1">
              <w:r w:rsidRPr="008E1DAF">
                <w:rPr>
                  <w:rFonts w:ascii="FrankRuehl" w:hAnsi="FrankRuehl" w:cs="FrankRuehl"/>
                  <w:color w:val="0000FF"/>
                  <w:u w:val="single"/>
                  <w:rtl/>
                </w:rPr>
                <w:t>פקודת הסמים המסוכנים [נוסח חדש], תשל"ג-1973</w:t>
              </w:r>
            </w:hyperlink>
            <w:r w:rsidRPr="008E1DAF">
              <w:rPr>
                <w:rFonts w:ascii="FrankRuehl" w:hAnsi="FrankRuehl" w:cs="FrankRuehl"/>
                <w:rtl/>
              </w:rPr>
              <w:t xml:space="preserve">: סע'  </w:t>
            </w:r>
            <w:hyperlink r:id="rId8" w:history="1">
              <w:r w:rsidRPr="008E1DAF">
                <w:rPr>
                  <w:rFonts w:ascii="FrankRuehl" w:hAnsi="FrankRuehl" w:cs="FrankRuehl"/>
                  <w:color w:val="0000FF"/>
                  <w:u w:val="single"/>
                  <w:rtl/>
                </w:rPr>
                <w:t>7(א)</w:t>
              </w:r>
            </w:hyperlink>
            <w:r w:rsidRPr="008E1DAF">
              <w:rPr>
                <w:rFonts w:ascii="FrankRuehl" w:hAnsi="FrankRuehl" w:cs="FrankRuehl"/>
                <w:rtl/>
              </w:rPr>
              <w:t xml:space="preserve">, </w:t>
            </w:r>
            <w:hyperlink r:id="rId9" w:history="1">
              <w:r w:rsidRPr="008E1DAF">
                <w:rPr>
                  <w:rFonts w:ascii="FrankRuehl" w:hAnsi="FrankRuehl" w:cs="FrankRuehl"/>
                  <w:color w:val="0000FF"/>
                  <w:u w:val="single"/>
                  <w:rtl/>
                </w:rPr>
                <w:t>7(ג)</w:t>
              </w:r>
            </w:hyperlink>
            <w:r w:rsidRPr="008E1DAF">
              <w:rPr>
                <w:rFonts w:ascii="FrankRuehl" w:hAnsi="FrankRuehl" w:cs="FrankRuehl"/>
                <w:rtl/>
              </w:rPr>
              <w:t xml:space="preserve">, </w:t>
            </w:r>
            <w:hyperlink r:id="rId10" w:history="1">
              <w:r w:rsidRPr="008E1DAF">
                <w:rPr>
                  <w:rFonts w:ascii="FrankRuehl" w:hAnsi="FrankRuehl" w:cs="FrankRuehl"/>
                  <w:color w:val="0000FF"/>
                  <w:u w:val="single"/>
                  <w:rtl/>
                </w:rPr>
                <w:t>13</w:t>
              </w:r>
            </w:hyperlink>
          </w:p>
          <w:p w14:paraId="0E58D5CB" w14:textId="77777777" w:rsidR="008E1DAF" w:rsidRPr="008E1DAF" w:rsidRDefault="008E1DAF" w:rsidP="008E1DAF">
            <w:pPr>
              <w:spacing w:after="120" w:line="240" w:lineRule="exact"/>
              <w:ind w:left="283" w:hanging="283"/>
              <w:jc w:val="both"/>
              <w:rPr>
                <w:rFonts w:ascii="FrankRuehl" w:hAnsi="FrankRuehl" w:cs="FrankRuehl"/>
                <w:rtl/>
              </w:rPr>
            </w:pPr>
            <w:hyperlink r:id="rId11" w:history="1">
              <w:r w:rsidRPr="008E1DAF">
                <w:rPr>
                  <w:rFonts w:ascii="FrankRuehl" w:hAnsi="FrankRuehl" w:cs="FrankRuehl"/>
                  <w:color w:val="0000FF"/>
                  <w:u w:val="single"/>
                  <w:rtl/>
                </w:rPr>
                <w:t>פקודת סדר הדין הפלילי (מעצר וחיפוש) [נוסח חדש], תשכ"ט-1969</w:t>
              </w:r>
            </w:hyperlink>
            <w:r w:rsidRPr="008E1DAF">
              <w:rPr>
                <w:rFonts w:ascii="FrankRuehl" w:hAnsi="FrankRuehl" w:cs="FrankRuehl"/>
                <w:rtl/>
              </w:rPr>
              <w:t xml:space="preserve">: סע'  </w:t>
            </w:r>
            <w:hyperlink r:id="rId12" w:history="1">
              <w:r w:rsidRPr="008E1DAF">
                <w:rPr>
                  <w:rFonts w:ascii="FrankRuehl" w:hAnsi="FrankRuehl" w:cs="FrankRuehl"/>
                  <w:color w:val="0000FF"/>
                  <w:u w:val="single"/>
                  <w:rtl/>
                </w:rPr>
                <w:t>47(א)</w:t>
              </w:r>
            </w:hyperlink>
          </w:p>
          <w:p w14:paraId="010E96A1" w14:textId="77777777" w:rsidR="008E1DAF" w:rsidRPr="008E1DAF" w:rsidRDefault="008E1DAF" w:rsidP="008E1DAF">
            <w:pPr>
              <w:spacing w:after="120" w:line="240" w:lineRule="exact"/>
              <w:ind w:left="283" w:hanging="283"/>
              <w:jc w:val="both"/>
              <w:rPr>
                <w:rFonts w:ascii="FrankRuehl" w:hAnsi="FrankRuehl" w:cs="FrankRuehl"/>
                <w:rtl/>
              </w:rPr>
            </w:pPr>
            <w:hyperlink r:id="rId13" w:history="1">
              <w:r w:rsidRPr="008E1DAF">
                <w:rPr>
                  <w:rFonts w:ascii="FrankRuehl" w:hAnsi="FrankRuehl" w:cs="FrankRuehl"/>
                  <w:color w:val="0000FF"/>
                  <w:u w:val="single"/>
                  <w:rtl/>
                </w:rPr>
                <w:t>חוק העונשין, תשל"ז-1977</w:t>
              </w:r>
            </w:hyperlink>
            <w:r w:rsidRPr="008E1DAF">
              <w:rPr>
                <w:rFonts w:ascii="FrankRuehl" w:hAnsi="FrankRuehl" w:cs="FrankRuehl"/>
                <w:rtl/>
              </w:rPr>
              <w:t xml:space="preserve">: סע'  </w:t>
            </w:r>
            <w:hyperlink r:id="rId14" w:history="1">
              <w:r w:rsidRPr="008E1DAF">
                <w:rPr>
                  <w:rFonts w:ascii="FrankRuehl" w:hAnsi="FrankRuehl" w:cs="FrankRuehl"/>
                  <w:color w:val="0000FF"/>
                  <w:u w:val="single"/>
                  <w:rtl/>
                </w:rPr>
                <w:t>452</w:t>
              </w:r>
            </w:hyperlink>
          </w:p>
          <w:p w14:paraId="27B555B6" w14:textId="77777777" w:rsidR="008E1DAF" w:rsidRPr="008E1DAF" w:rsidRDefault="008E1DAF" w:rsidP="008E1DAF">
            <w:pPr>
              <w:spacing w:after="120" w:line="240" w:lineRule="exact"/>
              <w:ind w:left="283" w:hanging="283"/>
              <w:jc w:val="both"/>
              <w:rPr>
                <w:rFonts w:ascii="FrankRuehl" w:hAnsi="FrankRuehl" w:cs="FrankRuehl"/>
                <w:rtl/>
              </w:rPr>
            </w:pPr>
          </w:p>
          <w:p w14:paraId="72A5FBEF" w14:textId="77777777" w:rsidR="008E1DAF" w:rsidRPr="008E1DAF" w:rsidRDefault="008E1DAF" w:rsidP="00A41770">
            <w:pPr>
              <w:jc w:val="center"/>
              <w:rPr>
                <w:rFonts w:ascii="Arial" w:hAnsi="Arial"/>
                <w:sz w:val="28"/>
                <w:szCs w:val="28"/>
                <w:rtl/>
              </w:rPr>
            </w:pPr>
            <w:bookmarkStart w:id="5" w:name="LawTable_End"/>
            <w:bookmarkEnd w:id="5"/>
          </w:p>
          <w:p w14:paraId="64BEFCD7" w14:textId="77777777" w:rsidR="00A41770" w:rsidRPr="00A41770" w:rsidRDefault="00A41770" w:rsidP="00A41770">
            <w:pPr>
              <w:jc w:val="center"/>
              <w:rPr>
                <w:rFonts w:ascii="Arial" w:hAnsi="Arial"/>
                <w:b/>
                <w:bCs/>
                <w:sz w:val="28"/>
                <w:szCs w:val="28"/>
                <w:u w:val="single"/>
                <w:rtl/>
              </w:rPr>
            </w:pPr>
            <w:r w:rsidRPr="00A41770">
              <w:rPr>
                <w:rFonts w:ascii="Arial" w:hAnsi="Arial"/>
                <w:b/>
                <w:bCs/>
                <w:sz w:val="28"/>
                <w:szCs w:val="28"/>
                <w:u w:val="single"/>
                <w:rtl/>
              </w:rPr>
              <w:t>גזר דין</w:t>
            </w:r>
          </w:p>
          <w:p w14:paraId="0DF6B3D4" w14:textId="77777777" w:rsidR="00066AA4" w:rsidRPr="00A41770" w:rsidRDefault="00066AA4" w:rsidP="00A41770">
            <w:pPr>
              <w:jc w:val="center"/>
              <w:rPr>
                <w:rFonts w:ascii="Arial" w:hAnsi="Arial"/>
                <w:bCs/>
                <w:u w:val="single"/>
                <w:rtl/>
              </w:rPr>
            </w:pPr>
          </w:p>
        </w:tc>
      </w:tr>
      <w:bookmarkEnd w:id="3"/>
    </w:tbl>
    <w:p w14:paraId="38F101F5" w14:textId="77777777" w:rsidR="00066AA4" w:rsidRPr="00E87FC7" w:rsidRDefault="00066AA4" w:rsidP="00066AA4">
      <w:pPr>
        <w:spacing w:line="360" w:lineRule="auto"/>
        <w:jc w:val="both"/>
        <w:rPr>
          <w:rFonts w:ascii="Arial" w:hAnsi="Arial"/>
          <w:rtl/>
        </w:rPr>
      </w:pPr>
    </w:p>
    <w:p w14:paraId="10E4DC8A" w14:textId="77777777" w:rsidR="00066AA4" w:rsidRPr="00E87FC7" w:rsidRDefault="00066AA4" w:rsidP="00066AA4">
      <w:pPr>
        <w:spacing w:line="360" w:lineRule="auto"/>
        <w:jc w:val="both"/>
        <w:rPr>
          <w:rFonts w:ascii="Arial" w:hAnsi="Arial"/>
          <w:rtl/>
        </w:rPr>
      </w:pPr>
      <w:r>
        <w:rPr>
          <w:rFonts w:ascii="Arial" w:hAnsi="Arial" w:hint="cs"/>
          <w:rtl/>
        </w:rPr>
        <w:t>במסגרת הסדר טיעון דיוני, ללא הסכמה עונשית, הודה הנאשם ביום 15.1.14 והורשע בכתב אישום מתוקן וכן בתיקים נוספים שצרף, בעבירות הבאות</w:t>
      </w:r>
      <w:r>
        <w:rPr>
          <w:rStyle w:val="a8"/>
          <w:rFonts w:ascii="Arial" w:hAnsi="Arial"/>
          <w:rtl/>
        </w:rPr>
        <w:footnoteReference w:id="1"/>
      </w:r>
      <w:r>
        <w:rPr>
          <w:rFonts w:ascii="Arial" w:hAnsi="Arial" w:hint="cs"/>
          <w:rtl/>
        </w:rPr>
        <w:t>:</w:t>
      </w:r>
    </w:p>
    <w:p w14:paraId="36ED4704" w14:textId="77777777" w:rsidR="00066AA4" w:rsidRDefault="00066AA4" w:rsidP="00066AA4">
      <w:pPr>
        <w:pStyle w:val="ListParagraph"/>
        <w:numPr>
          <w:ilvl w:val="0"/>
          <w:numId w:val="1"/>
        </w:numPr>
        <w:spacing w:line="360" w:lineRule="auto"/>
        <w:jc w:val="both"/>
        <w:rPr>
          <w:rtl/>
        </w:rPr>
      </w:pPr>
      <w:r>
        <w:rPr>
          <w:rFonts w:hint="cs"/>
          <w:rtl/>
        </w:rPr>
        <w:t xml:space="preserve">בתיק דנן, </w:t>
      </w:r>
      <w:hyperlink r:id="rId15" w:history="1">
        <w:r w:rsidR="00A41770" w:rsidRPr="00A41770">
          <w:rPr>
            <w:color w:val="0000FF"/>
            <w:u w:val="single"/>
            <w:rtl/>
          </w:rPr>
          <w:t>ת"פ 45180-02-13</w:t>
        </w:r>
      </w:hyperlink>
      <w:r>
        <w:rPr>
          <w:rFonts w:hint="cs"/>
          <w:rtl/>
        </w:rPr>
        <w:t xml:space="preserve">: סחר בסם מסוכן לפי </w:t>
      </w:r>
      <w:hyperlink r:id="rId16" w:history="1">
        <w:r w:rsidR="00BE13F8" w:rsidRPr="00BE13F8">
          <w:rPr>
            <w:color w:val="0000FF"/>
            <w:u w:val="single"/>
            <w:rtl/>
          </w:rPr>
          <w:t>סעיף 13</w:t>
        </w:r>
      </w:hyperlink>
      <w:r>
        <w:rPr>
          <w:rFonts w:hint="cs"/>
          <w:rtl/>
        </w:rPr>
        <w:t xml:space="preserve"> ל</w:t>
      </w:r>
      <w:hyperlink r:id="rId17" w:history="1">
        <w:r w:rsidR="00A41770" w:rsidRPr="00A41770">
          <w:rPr>
            <w:color w:val="0000FF"/>
            <w:u w:val="single"/>
            <w:rtl/>
          </w:rPr>
          <w:t>פקודת הסמים המסוכנים</w:t>
        </w:r>
      </w:hyperlink>
      <w:r>
        <w:rPr>
          <w:rFonts w:hint="cs"/>
          <w:rtl/>
        </w:rPr>
        <w:t xml:space="preserve"> [שלוש עבירות].</w:t>
      </w:r>
    </w:p>
    <w:p w14:paraId="47CA36B9" w14:textId="77777777" w:rsidR="00066AA4" w:rsidRDefault="00066AA4" w:rsidP="00066AA4">
      <w:pPr>
        <w:pStyle w:val="ListParagraph"/>
        <w:numPr>
          <w:ilvl w:val="0"/>
          <w:numId w:val="1"/>
        </w:numPr>
        <w:spacing w:line="360" w:lineRule="auto"/>
        <w:jc w:val="both"/>
      </w:pPr>
      <w:r>
        <w:rPr>
          <w:rFonts w:hint="cs"/>
          <w:rtl/>
        </w:rPr>
        <w:t>ב</w:t>
      </w:r>
      <w:hyperlink r:id="rId18" w:history="1">
        <w:r w:rsidR="00A41770" w:rsidRPr="00A41770">
          <w:rPr>
            <w:color w:val="0000FF"/>
            <w:u w:val="single"/>
            <w:rtl/>
          </w:rPr>
          <w:t>ת"פ (ק. שמונה) 21791-12-12</w:t>
        </w:r>
      </w:hyperlink>
      <w:r>
        <w:rPr>
          <w:rStyle w:val="a8"/>
          <w:rtl/>
        </w:rPr>
        <w:footnoteReference w:id="2"/>
      </w:r>
      <w:r>
        <w:rPr>
          <w:rFonts w:hint="cs"/>
          <w:rtl/>
        </w:rPr>
        <w:t xml:space="preserve">: החזקת סם מסוכן שלא לצריכה עצמית לפי </w:t>
      </w:r>
      <w:hyperlink r:id="rId19" w:history="1">
        <w:r w:rsidR="00BE13F8" w:rsidRPr="00BE13F8">
          <w:rPr>
            <w:color w:val="0000FF"/>
            <w:u w:val="single"/>
            <w:rtl/>
          </w:rPr>
          <w:t>סעיף 7(א)</w:t>
        </w:r>
      </w:hyperlink>
      <w:r>
        <w:rPr>
          <w:rFonts w:hint="cs"/>
          <w:rtl/>
        </w:rPr>
        <w:t xml:space="preserve"> בצירוף </w:t>
      </w:r>
      <w:hyperlink r:id="rId20" w:history="1">
        <w:r w:rsidR="00BE13F8" w:rsidRPr="00BE13F8">
          <w:rPr>
            <w:color w:val="0000FF"/>
            <w:u w:val="single"/>
            <w:rtl/>
          </w:rPr>
          <w:t>סעיף 7(ג)</w:t>
        </w:r>
      </w:hyperlink>
      <w:r>
        <w:rPr>
          <w:rFonts w:hint="cs"/>
          <w:rtl/>
        </w:rPr>
        <w:t xml:space="preserve"> רישא לפקודה הנ"ל. </w:t>
      </w:r>
    </w:p>
    <w:p w14:paraId="33A241FB" w14:textId="77777777" w:rsidR="00066AA4" w:rsidRDefault="00066AA4" w:rsidP="00066AA4">
      <w:pPr>
        <w:pStyle w:val="ListParagraph"/>
        <w:numPr>
          <w:ilvl w:val="0"/>
          <w:numId w:val="1"/>
        </w:numPr>
        <w:spacing w:line="360" w:lineRule="auto"/>
        <w:jc w:val="both"/>
        <w:rPr>
          <w:rtl/>
        </w:rPr>
      </w:pPr>
      <w:r>
        <w:rPr>
          <w:rFonts w:hint="cs"/>
          <w:rtl/>
        </w:rPr>
        <w:t>ב</w:t>
      </w:r>
      <w:hyperlink r:id="rId21" w:history="1">
        <w:r w:rsidR="00A41770" w:rsidRPr="00A41770">
          <w:rPr>
            <w:color w:val="0000FF"/>
            <w:u w:val="single"/>
            <w:rtl/>
          </w:rPr>
          <w:t>ת"פ (ת"א) 1444-11-13</w:t>
        </w:r>
      </w:hyperlink>
      <w:r>
        <w:rPr>
          <w:rFonts w:hint="cs"/>
          <w:rtl/>
        </w:rPr>
        <w:t xml:space="preserve">: החזקת סם מסוכן לצריכה עצמית לפי </w:t>
      </w:r>
      <w:hyperlink r:id="rId22" w:history="1">
        <w:r w:rsidR="00BE13F8" w:rsidRPr="00BE13F8">
          <w:rPr>
            <w:color w:val="0000FF"/>
            <w:u w:val="single"/>
            <w:rtl/>
          </w:rPr>
          <w:t>סעיף 7(א)</w:t>
        </w:r>
      </w:hyperlink>
      <w:r>
        <w:rPr>
          <w:rFonts w:hint="cs"/>
          <w:rtl/>
        </w:rPr>
        <w:t xml:space="preserve"> בצירוף </w:t>
      </w:r>
      <w:hyperlink r:id="rId23" w:history="1">
        <w:r w:rsidR="00BE13F8" w:rsidRPr="00BE13F8">
          <w:rPr>
            <w:color w:val="0000FF"/>
            <w:u w:val="single"/>
            <w:rtl/>
          </w:rPr>
          <w:t>סעיף 7(ג)</w:t>
        </w:r>
      </w:hyperlink>
      <w:r>
        <w:rPr>
          <w:rFonts w:hint="cs"/>
          <w:rtl/>
        </w:rPr>
        <w:t xml:space="preserve"> סיפא לפקודה הנ"ל. </w:t>
      </w:r>
    </w:p>
    <w:p w14:paraId="72CA0DCD" w14:textId="77777777" w:rsidR="00066AA4" w:rsidRDefault="00066AA4" w:rsidP="00066AA4">
      <w:pPr>
        <w:pStyle w:val="ListParagraph"/>
        <w:numPr>
          <w:ilvl w:val="0"/>
          <w:numId w:val="1"/>
        </w:numPr>
        <w:spacing w:line="360" w:lineRule="auto"/>
        <w:jc w:val="both"/>
        <w:rPr>
          <w:rtl/>
        </w:rPr>
      </w:pPr>
      <w:r>
        <w:rPr>
          <w:rFonts w:hint="cs"/>
          <w:rtl/>
        </w:rPr>
        <w:t>ב</w:t>
      </w:r>
      <w:hyperlink r:id="rId24" w:history="1">
        <w:r w:rsidR="00A41770" w:rsidRPr="00A41770">
          <w:rPr>
            <w:color w:val="0000FF"/>
            <w:u w:val="single"/>
            <w:rtl/>
          </w:rPr>
          <w:t>ת"פ (ת"א) 46725-03-13</w:t>
        </w:r>
      </w:hyperlink>
      <w:r>
        <w:rPr>
          <w:rFonts w:hint="cs"/>
          <w:rtl/>
        </w:rPr>
        <w:t>:</w:t>
      </w:r>
    </w:p>
    <w:p w14:paraId="4C806696" w14:textId="77777777" w:rsidR="00066AA4" w:rsidRDefault="00066AA4" w:rsidP="00066AA4">
      <w:pPr>
        <w:pStyle w:val="ListParagraph"/>
        <w:numPr>
          <w:ilvl w:val="1"/>
          <w:numId w:val="1"/>
        </w:numPr>
        <w:spacing w:line="360" w:lineRule="auto"/>
        <w:jc w:val="both"/>
        <w:rPr>
          <w:rtl/>
        </w:rPr>
      </w:pPr>
      <w:r>
        <w:rPr>
          <w:rFonts w:hint="cs"/>
          <w:rtl/>
        </w:rPr>
        <w:lastRenderedPageBreak/>
        <w:t xml:space="preserve">החזקת סם מסוכן לצריכה עצמית לפי </w:t>
      </w:r>
      <w:hyperlink r:id="rId25" w:history="1">
        <w:r w:rsidR="00BE13F8" w:rsidRPr="00BE13F8">
          <w:rPr>
            <w:color w:val="0000FF"/>
            <w:u w:val="single"/>
            <w:rtl/>
          </w:rPr>
          <w:t>סעיף 7(א)</w:t>
        </w:r>
      </w:hyperlink>
      <w:r>
        <w:rPr>
          <w:rFonts w:hint="cs"/>
          <w:rtl/>
        </w:rPr>
        <w:t xml:space="preserve"> בצירוף </w:t>
      </w:r>
      <w:hyperlink r:id="rId26" w:history="1">
        <w:r w:rsidR="00BE13F8" w:rsidRPr="00BE13F8">
          <w:rPr>
            <w:color w:val="0000FF"/>
            <w:u w:val="single"/>
            <w:rtl/>
          </w:rPr>
          <w:t>סעיף 7(ג)</w:t>
        </w:r>
      </w:hyperlink>
      <w:r>
        <w:rPr>
          <w:rFonts w:hint="cs"/>
          <w:rtl/>
        </w:rPr>
        <w:t xml:space="preserve"> סיפא לפקודה הנ"ל;</w:t>
      </w:r>
    </w:p>
    <w:p w14:paraId="74EC5EBB" w14:textId="77777777" w:rsidR="00066AA4" w:rsidRDefault="00066AA4" w:rsidP="00066AA4">
      <w:pPr>
        <w:pStyle w:val="ListParagraph"/>
        <w:numPr>
          <w:ilvl w:val="1"/>
          <w:numId w:val="1"/>
        </w:numPr>
        <w:spacing w:line="360" w:lineRule="auto"/>
        <w:jc w:val="both"/>
        <w:rPr>
          <w:rtl/>
        </w:rPr>
      </w:pPr>
      <w:r>
        <w:rPr>
          <w:rFonts w:hint="cs"/>
          <w:rtl/>
        </w:rPr>
        <w:t xml:space="preserve">שימוש באיומים כדי למנוע מעצר לפי </w:t>
      </w:r>
      <w:hyperlink r:id="rId27" w:history="1">
        <w:r w:rsidR="00BE13F8" w:rsidRPr="00BE13F8">
          <w:rPr>
            <w:color w:val="0000FF"/>
            <w:u w:val="single"/>
            <w:rtl/>
          </w:rPr>
          <w:t>סעיף 47(א)</w:t>
        </w:r>
      </w:hyperlink>
      <w:r>
        <w:rPr>
          <w:rFonts w:hint="cs"/>
          <w:rtl/>
        </w:rPr>
        <w:t xml:space="preserve"> ל</w:t>
      </w:r>
      <w:hyperlink r:id="rId28" w:history="1">
        <w:r w:rsidR="00A41770" w:rsidRPr="00A41770">
          <w:rPr>
            <w:color w:val="0000FF"/>
            <w:u w:val="single"/>
            <w:rtl/>
          </w:rPr>
          <w:t>פקודת סדר הדין הפלילי (מעצר וחיפוש)</w:t>
        </w:r>
      </w:hyperlink>
      <w:r>
        <w:rPr>
          <w:rFonts w:hint="cs"/>
          <w:rtl/>
        </w:rPr>
        <w:t xml:space="preserve"> [נוסח משולב] תשכ"ט-1969;</w:t>
      </w:r>
    </w:p>
    <w:p w14:paraId="2AFB2EC3" w14:textId="77777777" w:rsidR="00066AA4" w:rsidRDefault="00066AA4" w:rsidP="00066AA4">
      <w:pPr>
        <w:pStyle w:val="ListParagraph"/>
        <w:numPr>
          <w:ilvl w:val="1"/>
          <w:numId w:val="1"/>
        </w:numPr>
        <w:spacing w:line="360" w:lineRule="auto"/>
        <w:jc w:val="both"/>
        <w:rPr>
          <w:rtl/>
        </w:rPr>
      </w:pPr>
      <w:r>
        <w:rPr>
          <w:rFonts w:hint="cs"/>
          <w:rtl/>
        </w:rPr>
        <w:t xml:space="preserve">היזק לרכוש במזיד, לפי </w:t>
      </w:r>
      <w:hyperlink r:id="rId29" w:history="1">
        <w:r w:rsidR="00BE13F8" w:rsidRPr="00BE13F8">
          <w:rPr>
            <w:color w:val="0000FF"/>
            <w:u w:val="single"/>
            <w:rtl/>
          </w:rPr>
          <w:t>סעיף 452</w:t>
        </w:r>
      </w:hyperlink>
      <w:r>
        <w:rPr>
          <w:rFonts w:hint="cs"/>
          <w:rtl/>
        </w:rPr>
        <w:t xml:space="preserve"> ל</w:t>
      </w:r>
      <w:hyperlink r:id="rId30" w:history="1">
        <w:r w:rsidR="00A41770" w:rsidRPr="00A41770">
          <w:rPr>
            <w:color w:val="0000FF"/>
            <w:u w:val="single"/>
            <w:rtl/>
          </w:rPr>
          <w:t>חוק העונשין</w:t>
        </w:r>
      </w:hyperlink>
      <w:r>
        <w:rPr>
          <w:rFonts w:hint="cs"/>
          <w:rtl/>
        </w:rPr>
        <w:t xml:space="preserve"> הנ"ל;</w:t>
      </w:r>
    </w:p>
    <w:p w14:paraId="013DA804" w14:textId="77777777" w:rsidR="00066AA4" w:rsidRDefault="00066AA4" w:rsidP="00066AA4">
      <w:pPr>
        <w:spacing w:line="360" w:lineRule="auto"/>
        <w:jc w:val="both"/>
        <w:rPr>
          <w:rtl/>
        </w:rPr>
      </w:pPr>
    </w:p>
    <w:p w14:paraId="35634545" w14:textId="77777777" w:rsidR="00066AA4" w:rsidRDefault="00066AA4" w:rsidP="00066AA4">
      <w:pPr>
        <w:spacing w:line="360" w:lineRule="auto"/>
        <w:jc w:val="both"/>
        <w:rPr>
          <w:rFonts w:ascii="Arial" w:hAnsi="Arial"/>
        </w:rPr>
      </w:pPr>
      <w:r>
        <w:rPr>
          <w:rFonts w:ascii="Arial" w:hAnsi="Arial" w:hint="cs"/>
          <w:rtl/>
        </w:rPr>
        <w:t>בהחלטה משלימה להכרעת הדין נקבע בהסכמה כי הנאשם הנו "סוחר סמים" וחולטו סכום של 10,000 ₪ וטלפון נייד, שנתפסו מחזקת הנאשם במהלך החקירה.</w:t>
      </w:r>
    </w:p>
    <w:p w14:paraId="3C653B2A" w14:textId="77777777" w:rsidR="00066AA4" w:rsidRDefault="00066AA4" w:rsidP="00066AA4">
      <w:pPr>
        <w:spacing w:line="360" w:lineRule="auto"/>
        <w:jc w:val="both"/>
        <w:rPr>
          <w:rtl/>
        </w:rPr>
      </w:pPr>
      <w:r>
        <w:rPr>
          <w:rFonts w:hint="cs"/>
          <w:rtl/>
        </w:rPr>
        <w:t>הנאשם הופנה לשירות המבחן, והדיון נדחה מעת לעת בהסכמה (תוך שהתביעה מזכירה עמדתה העונשית למאסר בפועל ולהפעלת המאסרים המותנים). הוגשו שישה תסקירים, שהאחרון שבהם מיום 21.3.16.</w:t>
      </w:r>
    </w:p>
    <w:p w14:paraId="129B8A0F" w14:textId="77777777" w:rsidR="00066AA4" w:rsidRPr="00E87FC7" w:rsidRDefault="00066AA4" w:rsidP="00066AA4">
      <w:pPr>
        <w:spacing w:line="360" w:lineRule="auto"/>
        <w:jc w:val="both"/>
        <w:rPr>
          <w:rtl/>
        </w:rPr>
      </w:pPr>
    </w:p>
    <w:p w14:paraId="740C2615" w14:textId="77777777" w:rsidR="00066AA4" w:rsidRDefault="00066AA4" w:rsidP="00066AA4">
      <w:pPr>
        <w:spacing w:line="360" w:lineRule="auto"/>
        <w:jc w:val="both"/>
        <w:rPr>
          <w:rtl/>
        </w:rPr>
      </w:pPr>
      <w:r>
        <w:rPr>
          <w:rFonts w:hint="cs"/>
          <w:b/>
          <w:bCs/>
          <w:u w:val="single"/>
          <w:rtl/>
        </w:rPr>
        <w:t>מעשי הנאשם:</w:t>
      </w:r>
    </w:p>
    <w:p w14:paraId="111DDC28" w14:textId="77777777" w:rsidR="00066AA4" w:rsidRDefault="00066AA4" w:rsidP="00BE13F8">
      <w:pPr>
        <w:pStyle w:val="ListParagraph"/>
        <w:numPr>
          <w:ilvl w:val="0"/>
          <w:numId w:val="2"/>
        </w:numPr>
        <w:spacing w:line="360" w:lineRule="auto"/>
        <w:jc w:val="both"/>
      </w:pPr>
      <w:bookmarkStart w:id="6" w:name="ABSTRACT_START"/>
      <w:bookmarkEnd w:id="6"/>
      <w:r>
        <w:rPr>
          <w:rFonts w:hint="cs"/>
          <w:rtl/>
        </w:rPr>
        <w:t xml:space="preserve">ב-24.7.09, בבית אמו גב' </w:t>
      </w:r>
      <w:r w:rsidR="00BE13F8">
        <w:rPr>
          <w:rFonts w:hint="cs"/>
          <w:rtl/>
        </w:rPr>
        <w:t>פלוני</w:t>
      </w:r>
      <w:r>
        <w:rPr>
          <w:rFonts w:hint="cs"/>
          <w:rtl/>
        </w:rPr>
        <w:t xml:space="preserve">, תקף הנאשם את אמו, משך בשיערה וסטר לה פעמיים. הנאשם השתולל בדירה, הפך שולחן ושבר אגרטלים. משהגיעו שוטרים למקום ובקשו לעכבו לחקירה, השתולל הנאשם, התנגד למעצרו, רץ לחלון באמרו שיקפוץ החוצה, וניסה לנשוך את ידו של שוטר שניסה לאזקו. אותה עת החזיק הנאשם 0.58 גרם נטו חשיש לצריכה עצמית (46725-03-13). </w:t>
      </w:r>
      <w:r>
        <w:rPr>
          <w:rFonts w:hint="cs"/>
          <w:i/>
          <w:iCs/>
          <w:rtl/>
        </w:rPr>
        <w:t>המאשימה לא ביקשה להרשיע הנאשם בעבירת התקיפה</w:t>
      </w:r>
      <w:r w:rsidRPr="006F1139">
        <w:rPr>
          <w:rFonts w:hint="cs"/>
          <w:rtl/>
        </w:rPr>
        <w:t>.</w:t>
      </w:r>
      <w:r>
        <w:rPr>
          <w:rStyle w:val="a8"/>
        </w:rPr>
        <w:footnoteReference w:id="3"/>
      </w:r>
      <w:bookmarkStart w:id="7" w:name="ABSTRACT_END"/>
      <w:bookmarkEnd w:id="7"/>
    </w:p>
    <w:p w14:paraId="4193ACFE" w14:textId="77777777" w:rsidR="00066AA4" w:rsidRDefault="00066AA4" w:rsidP="00066AA4">
      <w:pPr>
        <w:pStyle w:val="ListParagraph"/>
        <w:numPr>
          <w:ilvl w:val="0"/>
          <w:numId w:val="2"/>
        </w:numPr>
        <w:spacing w:line="360" w:lineRule="auto"/>
        <w:jc w:val="both"/>
      </w:pPr>
      <w:r>
        <w:rPr>
          <w:rFonts w:hint="cs"/>
          <w:rtl/>
        </w:rPr>
        <w:t xml:space="preserve">ב-14.7.12, יחד עם  שתי אחרות, החזיק הנאשם ברכב שחנה בחניון, 43 גלולות </w:t>
      </w:r>
      <w:r>
        <w:rPr>
          <w:rFonts w:hint="cs"/>
        </w:rPr>
        <w:t>LSD</w:t>
      </w:r>
      <w:r>
        <w:rPr>
          <w:rFonts w:hint="cs"/>
          <w:rtl/>
        </w:rPr>
        <w:t xml:space="preserve"> שלא לצריכה עצמית, כשהסם הוחזק על גופו יחד עם 10,000 ₪ במזומן (21791-12-12).</w:t>
      </w:r>
    </w:p>
    <w:p w14:paraId="59606A88" w14:textId="77777777" w:rsidR="00066AA4" w:rsidRDefault="00066AA4" w:rsidP="00066AA4">
      <w:pPr>
        <w:pStyle w:val="ListParagraph"/>
        <w:numPr>
          <w:ilvl w:val="0"/>
          <w:numId w:val="2"/>
        </w:numPr>
        <w:spacing w:line="360" w:lineRule="auto"/>
        <w:jc w:val="both"/>
      </w:pPr>
      <w:r>
        <w:rPr>
          <w:rFonts w:hint="cs"/>
          <w:rtl/>
        </w:rPr>
        <w:t xml:space="preserve">ב-27.8.12 מכר הנאשם לסוכן משטרתי, בתיווך אחֵר ולאחר תיאום טלפוני, 0.7284 גרם נטו </w:t>
      </w:r>
      <w:r>
        <w:rPr>
          <w:rFonts w:hint="cs"/>
        </w:rPr>
        <w:t>MDMA</w:t>
      </w:r>
      <w:r>
        <w:rPr>
          <w:rFonts w:hint="cs"/>
          <w:rtl/>
        </w:rPr>
        <w:t xml:space="preserve"> תמורת 400 ₪ (45180-02-13, אישום ראשון).</w:t>
      </w:r>
    </w:p>
    <w:p w14:paraId="62E3D093" w14:textId="77777777" w:rsidR="00066AA4" w:rsidRDefault="00066AA4" w:rsidP="00066AA4">
      <w:pPr>
        <w:pStyle w:val="ListParagraph"/>
        <w:numPr>
          <w:ilvl w:val="0"/>
          <w:numId w:val="2"/>
        </w:numPr>
        <w:spacing w:line="360" w:lineRule="auto"/>
        <w:jc w:val="both"/>
      </w:pPr>
      <w:r>
        <w:rPr>
          <w:rFonts w:hint="cs"/>
          <w:rtl/>
        </w:rPr>
        <w:t xml:space="preserve">ב-5.9.12 מכר הנאשם לסוכן הנ"ל, לאחר תיאום טלפוני, 10 בולי </w:t>
      </w:r>
      <w:r>
        <w:rPr>
          <w:rFonts w:hint="cs"/>
        </w:rPr>
        <w:t>LSD</w:t>
      </w:r>
      <w:r>
        <w:rPr>
          <w:rFonts w:hint="cs"/>
          <w:rtl/>
        </w:rPr>
        <w:t xml:space="preserve"> תמורת 600 ₪ (45180-02-13, אישום שני).</w:t>
      </w:r>
    </w:p>
    <w:p w14:paraId="58C58A31" w14:textId="77777777" w:rsidR="00066AA4" w:rsidRDefault="00066AA4" w:rsidP="00066AA4">
      <w:pPr>
        <w:pStyle w:val="ListParagraph"/>
        <w:numPr>
          <w:ilvl w:val="0"/>
          <w:numId w:val="2"/>
        </w:numPr>
        <w:spacing w:line="360" w:lineRule="auto"/>
        <w:jc w:val="both"/>
      </w:pPr>
      <w:r>
        <w:rPr>
          <w:rFonts w:hint="cs"/>
          <w:rtl/>
        </w:rPr>
        <w:t xml:space="preserve">ב-21.9.12 בשעה 02:00 במועדון בתל-אביב, מכר הנאשם לסוכן הנ"ל, 0.8952 גרם נטו </w:t>
      </w:r>
      <w:r>
        <w:rPr>
          <w:rFonts w:hint="cs"/>
        </w:rPr>
        <w:t>MDMA</w:t>
      </w:r>
      <w:r>
        <w:rPr>
          <w:rFonts w:hint="cs"/>
          <w:rtl/>
        </w:rPr>
        <w:t xml:space="preserve"> וכן 5 בולים של חומר שנחזה ל-</w:t>
      </w:r>
      <w:r>
        <w:rPr>
          <w:rFonts w:hint="cs"/>
        </w:rPr>
        <w:t>LSD</w:t>
      </w:r>
      <w:r>
        <w:rPr>
          <w:rFonts w:hint="cs"/>
          <w:rtl/>
        </w:rPr>
        <w:t xml:space="preserve"> תמורת 550 ₪ (45180-02-13, אישום שלישי).</w:t>
      </w:r>
    </w:p>
    <w:p w14:paraId="2D535E22" w14:textId="77777777" w:rsidR="00066AA4" w:rsidRDefault="00066AA4" w:rsidP="00066AA4">
      <w:pPr>
        <w:pStyle w:val="ListParagraph"/>
        <w:numPr>
          <w:ilvl w:val="0"/>
          <w:numId w:val="2"/>
        </w:numPr>
        <w:spacing w:line="360" w:lineRule="auto"/>
        <w:jc w:val="both"/>
      </w:pPr>
      <w:r>
        <w:rPr>
          <w:rFonts w:hint="cs"/>
          <w:rtl/>
        </w:rPr>
        <w:t>ב-14.12.12 הפר הנאשם צו הגנה שהוצא לבקשת אמו ונכנס לדירת האם (1444-11-13).</w:t>
      </w:r>
    </w:p>
    <w:p w14:paraId="724EFA24" w14:textId="77777777" w:rsidR="00066AA4" w:rsidRDefault="00066AA4" w:rsidP="00066AA4">
      <w:pPr>
        <w:pStyle w:val="ListParagraph"/>
        <w:numPr>
          <w:ilvl w:val="0"/>
          <w:numId w:val="2"/>
        </w:numPr>
        <w:spacing w:line="360" w:lineRule="auto"/>
        <w:jc w:val="both"/>
      </w:pPr>
      <w:r>
        <w:rPr>
          <w:rFonts w:hint="cs"/>
          <w:rtl/>
        </w:rPr>
        <w:t>ב-17.1.13 החזיק הנאשם 0.4121 גרם נטו חשיש לצריכה עצמית (1444-11-13).</w:t>
      </w:r>
    </w:p>
    <w:p w14:paraId="5ADF3555" w14:textId="77777777" w:rsidR="00066AA4" w:rsidRPr="00EB31D7" w:rsidRDefault="00066AA4" w:rsidP="00066AA4">
      <w:pPr>
        <w:pStyle w:val="ListParagraph"/>
        <w:spacing w:line="360" w:lineRule="auto"/>
        <w:ind w:left="360"/>
        <w:jc w:val="both"/>
        <w:rPr>
          <w:rtl/>
        </w:rPr>
      </w:pPr>
    </w:p>
    <w:p w14:paraId="400DDA44" w14:textId="77777777" w:rsidR="00066AA4" w:rsidRPr="004E0330" w:rsidRDefault="00066AA4" w:rsidP="00066AA4">
      <w:pPr>
        <w:spacing w:line="360" w:lineRule="auto"/>
        <w:jc w:val="both"/>
        <w:rPr>
          <w:b/>
          <w:bCs/>
          <w:u w:val="single"/>
          <w:rtl/>
        </w:rPr>
      </w:pPr>
      <w:r>
        <w:rPr>
          <w:rFonts w:hint="cs"/>
          <w:b/>
          <w:bCs/>
          <w:u w:val="single"/>
          <w:rtl/>
        </w:rPr>
        <w:t>קביעת מתחמי העונש ההולמים בעבירות הסמים:</w:t>
      </w:r>
    </w:p>
    <w:p w14:paraId="6E7B3B1E" w14:textId="77777777" w:rsidR="00066AA4" w:rsidRDefault="00066AA4" w:rsidP="00066AA4">
      <w:pPr>
        <w:pStyle w:val="ListParagraph"/>
        <w:numPr>
          <w:ilvl w:val="0"/>
          <w:numId w:val="3"/>
        </w:numPr>
        <w:spacing w:line="360" w:lineRule="auto"/>
        <w:jc w:val="both"/>
      </w:pPr>
      <w:r>
        <w:rPr>
          <w:rFonts w:hint="cs"/>
          <w:rtl/>
        </w:rPr>
        <w:t xml:space="preserve">שלוש פעמים מכר הנאשם לסוכן סמים המסווגים כ"קלים" </w:t>
      </w:r>
      <w:r>
        <w:rPr>
          <w:rtl/>
        </w:rPr>
        <w:t>–</w:t>
      </w:r>
      <w:r>
        <w:rPr>
          <w:rFonts w:hint="cs"/>
          <w:rtl/>
        </w:rPr>
        <w:t xml:space="preserve"> </w:t>
      </w:r>
      <w:r>
        <w:rPr>
          <w:rFonts w:hint="cs"/>
        </w:rPr>
        <w:t>LSD</w:t>
      </w:r>
      <w:r>
        <w:rPr>
          <w:rFonts w:hint="cs"/>
          <w:rtl/>
        </w:rPr>
        <w:t xml:space="preserve"> ו-</w:t>
      </w:r>
      <w:r>
        <w:rPr>
          <w:rFonts w:hint="cs"/>
        </w:rPr>
        <w:t>MDMA</w:t>
      </w:r>
      <w:r>
        <w:rPr>
          <w:rFonts w:hint="cs"/>
          <w:rtl/>
        </w:rPr>
        <w:t xml:space="preserve"> </w:t>
      </w:r>
      <w:r>
        <w:rPr>
          <w:rtl/>
        </w:rPr>
        <w:t>–</w:t>
      </w:r>
      <w:r>
        <w:rPr>
          <w:rFonts w:hint="cs"/>
          <w:rtl/>
        </w:rPr>
        <w:t xml:space="preserve"> כשבפעם האחרונה מכר גם חומר שטיבו לא הוברר ובגינו לא הואשם הנאשם. התמורה שהתקבלה בכל </w:t>
      </w:r>
      <w:r>
        <w:rPr>
          <w:rFonts w:hint="cs"/>
          <w:rtl/>
        </w:rPr>
        <w:lastRenderedPageBreak/>
        <w:t>עסקה לא היתה גבוהה, 400 עד 600 ₪. מכירות אלו בוצעו בצורה מתוכננת, אחת מהן אף במועדון, ובאופן חוזר המלמד על היות הנאשם מנוסה וקבוע בתחום הסחר בסמים.</w:t>
      </w:r>
    </w:p>
    <w:p w14:paraId="0897D4A1" w14:textId="77777777" w:rsidR="00066AA4" w:rsidRDefault="00066AA4" w:rsidP="00066AA4">
      <w:pPr>
        <w:pStyle w:val="ListParagraph"/>
        <w:numPr>
          <w:ilvl w:val="0"/>
          <w:numId w:val="3"/>
        </w:numPr>
        <w:spacing w:line="360" w:lineRule="auto"/>
        <w:jc w:val="both"/>
      </w:pPr>
      <w:r>
        <w:rPr>
          <w:rFonts w:hint="cs"/>
          <w:rtl/>
        </w:rPr>
        <w:t xml:space="preserve">פעם אחת החזיק הנאשם כמות משמעותית של </w:t>
      </w:r>
      <w:r>
        <w:rPr>
          <w:rFonts w:hint="cs"/>
        </w:rPr>
        <w:t>LSD</w:t>
      </w:r>
      <w:r>
        <w:rPr>
          <w:rFonts w:hint="cs"/>
          <w:rtl/>
        </w:rPr>
        <w:t>, 43 גלולות אותן החזיק שלא לצריכה עצמית, בנסיבות המלמדות במובהק על כוונת הפצה. בנסיבות אלו, יש לראות בעבירה זו "עבירה אחות" לעבירת הסחר, ולקבוע מתחם זהה בעניינה כבעניין עבירות הסחר.</w:t>
      </w:r>
    </w:p>
    <w:p w14:paraId="43C4D92A" w14:textId="77777777" w:rsidR="00066AA4" w:rsidRPr="00E87FC7" w:rsidRDefault="00066AA4" w:rsidP="00066AA4">
      <w:pPr>
        <w:pStyle w:val="ListParagraph"/>
        <w:numPr>
          <w:ilvl w:val="0"/>
          <w:numId w:val="3"/>
        </w:numPr>
        <w:spacing w:line="360" w:lineRule="auto"/>
        <w:jc w:val="both"/>
        <w:rPr>
          <w:rtl/>
        </w:rPr>
      </w:pPr>
      <w:r>
        <w:rPr>
          <w:rFonts w:hint="cs"/>
          <w:rtl/>
        </w:rPr>
        <w:t>אין צורך להוסיף ולו טיפה לדלי המלא לעניין חומרת הפגיעה בערכים מהותיים, שנגרמה במעשיו של הנאשם, ולעניין פוטנציאל הנזק שבהחזקת ה-</w:t>
      </w:r>
      <w:r>
        <w:rPr>
          <w:rFonts w:hint="cs"/>
        </w:rPr>
        <w:t>LSD</w:t>
      </w:r>
      <w:r>
        <w:rPr>
          <w:rFonts w:hint="cs"/>
          <w:rtl/>
        </w:rPr>
        <w:t xml:space="preserve"> להפצה. מטרת מעשיו של הנאשם היתה כלכלית במובהק, ולו למימון התמכרותו לסמים.</w:t>
      </w:r>
    </w:p>
    <w:p w14:paraId="71CBEE55" w14:textId="77777777" w:rsidR="00066AA4" w:rsidRDefault="00066AA4" w:rsidP="00066AA4">
      <w:pPr>
        <w:pStyle w:val="ListParagraph"/>
        <w:numPr>
          <w:ilvl w:val="0"/>
          <w:numId w:val="3"/>
        </w:numPr>
        <w:spacing w:line="360" w:lineRule="auto"/>
        <w:jc w:val="both"/>
      </w:pPr>
      <w:r>
        <w:rPr>
          <w:rtl/>
        </w:rPr>
        <w:t>עיון בפסיקה הנוהגת</w:t>
      </w:r>
      <w:r w:rsidRPr="008D7304">
        <w:rPr>
          <w:rtl/>
        </w:rPr>
        <w:t xml:space="preserve"> לעניין סחר בס</w:t>
      </w:r>
      <w:r>
        <w:rPr>
          <w:rFonts w:hint="cs"/>
          <w:rtl/>
        </w:rPr>
        <w:t>מי</w:t>
      </w:r>
      <w:r w:rsidRPr="008D7304">
        <w:rPr>
          <w:rtl/>
        </w:rPr>
        <w:t xml:space="preserve">ם מסוג </w:t>
      </w:r>
      <w:r w:rsidRPr="008D7304">
        <w:t>MDMA</w:t>
      </w:r>
      <w:r>
        <w:rPr>
          <w:rFonts w:hint="cs"/>
          <w:rtl/>
        </w:rPr>
        <w:t xml:space="preserve"> ו-</w:t>
      </w:r>
      <w:r>
        <w:rPr>
          <w:rFonts w:hint="cs"/>
        </w:rPr>
        <w:t>LSD</w:t>
      </w:r>
      <w:r w:rsidRPr="008D7304">
        <w:rPr>
          <w:rtl/>
        </w:rPr>
        <w:t>, שלא סווג</w:t>
      </w:r>
      <w:r>
        <w:rPr>
          <w:rFonts w:hint="cs"/>
          <w:rtl/>
        </w:rPr>
        <w:t>ו</w:t>
      </w:r>
      <w:r w:rsidRPr="008D7304">
        <w:rPr>
          <w:rtl/>
        </w:rPr>
        <w:t xml:space="preserve"> כס</w:t>
      </w:r>
      <w:r>
        <w:rPr>
          <w:rFonts w:hint="cs"/>
          <w:rtl/>
        </w:rPr>
        <w:t>מי</w:t>
      </w:r>
      <w:r w:rsidRPr="008D7304">
        <w:rPr>
          <w:rtl/>
        </w:rPr>
        <w:t>ם "קש</w:t>
      </w:r>
      <w:r>
        <w:rPr>
          <w:rFonts w:hint="cs"/>
          <w:rtl/>
        </w:rPr>
        <w:t>ים</w:t>
      </w:r>
      <w:r w:rsidRPr="008D7304">
        <w:rPr>
          <w:rtl/>
        </w:rPr>
        <w:t xml:space="preserve">", מעלה כי מתחם העונש ההולם לאירוע של סחר בכמות משמעותית, על-ידי מי שעוסק בסחר בסמים, הינו בין מאסר שניתן לרצותו בעבודות שירות </w:t>
      </w:r>
      <w:r>
        <w:rPr>
          <w:rFonts w:hint="cs"/>
          <w:rtl/>
        </w:rPr>
        <w:t>לבין</w:t>
      </w:r>
      <w:r w:rsidRPr="008D7304">
        <w:rPr>
          <w:rtl/>
        </w:rPr>
        <w:t xml:space="preserve"> 12 חודשי מאסר בפועל כעונש עיקרי (וראו למשל דיון מפורט</w:t>
      </w:r>
      <w:r>
        <w:rPr>
          <w:rFonts w:hint="cs"/>
          <w:rtl/>
        </w:rPr>
        <w:t xml:space="preserve"> ב</w:t>
      </w:r>
      <w:hyperlink r:id="rId31" w:history="1">
        <w:r w:rsidR="00A41770" w:rsidRPr="00A41770">
          <w:rPr>
            <w:color w:val="0000FF"/>
            <w:u w:val="single"/>
            <w:rtl/>
          </w:rPr>
          <w:t>עפ"ג 59106-03-14</w:t>
        </w:r>
      </w:hyperlink>
      <w:r w:rsidRPr="008D7304">
        <w:rPr>
          <w:rtl/>
        </w:rPr>
        <w:t xml:space="preserve"> </w:t>
      </w:r>
      <w:r w:rsidRPr="008D7304">
        <w:rPr>
          <w:b/>
          <w:bCs/>
          <w:rtl/>
        </w:rPr>
        <w:t>מ.י. נ' פלוני</w:t>
      </w:r>
      <w:r w:rsidRPr="008D7304">
        <w:rPr>
          <w:rtl/>
        </w:rPr>
        <w:t xml:space="preserve"> </w:t>
      </w:r>
      <w:r>
        <w:rPr>
          <w:rFonts w:hint="cs"/>
          <w:rtl/>
        </w:rPr>
        <w:t>(</w:t>
      </w:r>
      <w:r w:rsidRPr="008D7304">
        <w:rPr>
          <w:rtl/>
        </w:rPr>
        <w:t>2014)</w:t>
      </w:r>
      <w:r>
        <w:rPr>
          <w:rFonts w:hint="cs"/>
          <w:rtl/>
        </w:rPr>
        <w:t xml:space="preserve">, וכן </w:t>
      </w:r>
      <w:hyperlink r:id="rId32" w:history="1">
        <w:r w:rsidR="00A41770" w:rsidRPr="00A41770">
          <w:rPr>
            <w:color w:val="0000FF"/>
            <w:u w:val="single"/>
            <w:rtl/>
          </w:rPr>
          <w:t>ת"פ 48167-02-13</w:t>
        </w:r>
      </w:hyperlink>
      <w:r>
        <w:rPr>
          <w:rFonts w:hint="cs"/>
          <w:rtl/>
        </w:rPr>
        <w:t xml:space="preserve"> </w:t>
      </w:r>
      <w:r>
        <w:rPr>
          <w:rFonts w:hint="cs"/>
          <w:b/>
          <w:bCs/>
          <w:rtl/>
        </w:rPr>
        <w:t>מ.י. נ' סימן טוב</w:t>
      </w:r>
      <w:r>
        <w:rPr>
          <w:rFonts w:hint="cs"/>
          <w:rtl/>
        </w:rPr>
        <w:t xml:space="preserve"> (2014)</w:t>
      </w:r>
      <w:r w:rsidRPr="00EF3F82">
        <w:rPr>
          <w:rtl/>
        </w:rPr>
        <w:t xml:space="preserve">). אאמץ מתחם זה ההולם גם את </w:t>
      </w:r>
      <w:r>
        <w:rPr>
          <w:rtl/>
        </w:rPr>
        <w:t xml:space="preserve">ענייננו, </w:t>
      </w:r>
      <w:r>
        <w:rPr>
          <w:rFonts w:hint="cs"/>
          <w:rtl/>
        </w:rPr>
        <w:t>הן לגבי עבירות הסחר והן לגבי עבירת ההחזקה שלא לצריכה עצמית</w:t>
      </w:r>
      <w:r w:rsidRPr="00EF3F82">
        <w:rPr>
          <w:rtl/>
        </w:rPr>
        <w:t>.</w:t>
      </w:r>
    </w:p>
    <w:p w14:paraId="3783170F" w14:textId="77777777" w:rsidR="00066AA4" w:rsidRPr="00EF3F82" w:rsidRDefault="00066AA4" w:rsidP="00066AA4">
      <w:pPr>
        <w:pStyle w:val="ListParagraph"/>
        <w:numPr>
          <w:ilvl w:val="0"/>
          <w:numId w:val="3"/>
        </w:numPr>
        <w:spacing w:line="360" w:lineRule="auto"/>
        <w:jc w:val="both"/>
      </w:pPr>
      <w:r>
        <w:rPr>
          <w:rFonts w:hint="cs"/>
          <w:rtl/>
        </w:rPr>
        <w:t xml:space="preserve">התביעה הגישה לעיוני את ענייניהם של שני נאשמים נוספים בפרשה זו, שמכרו אף-הם סמים לאותו סוכן משטרתי, וביקשה לגזור גזירה שווה בינם לבין הנאשם דכאן; אלא, שההבדל בינם לבין הנאשם דכאן הוא מהותי </w:t>
      </w:r>
      <w:r>
        <w:rPr>
          <w:rtl/>
        </w:rPr>
        <w:t>–</w:t>
      </w:r>
      <w:r>
        <w:rPr>
          <w:rFonts w:hint="cs"/>
          <w:rtl/>
        </w:rPr>
        <w:t xml:space="preserve"> אותם נאשמים הורשעו בעבירות הנוגעות לסם "קשה" מסוג קוקאין </w:t>
      </w:r>
      <w:r>
        <w:rPr>
          <w:rtl/>
        </w:rPr>
        <w:t>–</w:t>
      </w:r>
      <w:r>
        <w:rPr>
          <w:rFonts w:hint="cs"/>
          <w:rtl/>
        </w:rPr>
        <w:t xml:space="preserve"> ואין מקום להשוואה המתבקשת (</w:t>
      </w:r>
      <w:hyperlink r:id="rId33" w:history="1">
        <w:r w:rsidR="00A41770" w:rsidRPr="00A41770">
          <w:rPr>
            <w:color w:val="0000FF"/>
            <w:u w:val="single"/>
            <w:rtl/>
          </w:rPr>
          <w:t>רע"פ 189/15</w:t>
        </w:r>
      </w:hyperlink>
      <w:r>
        <w:rPr>
          <w:rFonts w:hint="cs"/>
          <w:rtl/>
        </w:rPr>
        <w:t xml:space="preserve"> </w:t>
      </w:r>
      <w:r>
        <w:rPr>
          <w:rFonts w:hint="cs"/>
          <w:b/>
          <w:bCs/>
          <w:rtl/>
        </w:rPr>
        <w:t>כהן נ' מ.י.</w:t>
      </w:r>
      <w:r>
        <w:rPr>
          <w:rFonts w:hint="cs"/>
          <w:rtl/>
        </w:rPr>
        <w:t xml:space="preserve"> (2015) ורע"פ </w:t>
      </w:r>
      <w:hyperlink r:id="rId34" w:history="1">
        <w:r w:rsidR="008E1DAF" w:rsidRPr="008E1DAF">
          <w:rPr>
            <w:rStyle w:val="Hyperlink"/>
            <w:rtl/>
          </w:rPr>
          <w:t>126/14</w:t>
        </w:r>
      </w:hyperlink>
      <w:r>
        <w:rPr>
          <w:rFonts w:hint="cs"/>
          <w:rtl/>
        </w:rPr>
        <w:t xml:space="preserve"> </w:t>
      </w:r>
      <w:r w:rsidR="008E1DAF" w:rsidRPr="008E1DAF">
        <w:rPr>
          <w:b/>
          <w:bCs/>
          <w:rtl/>
        </w:rPr>
        <w:t>חביף</w:t>
      </w:r>
      <w:r>
        <w:rPr>
          <w:rFonts w:hint="cs"/>
          <w:b/>
          <w:bCs/>
          <w:rtl/>
        </w:rPr>
        <w:t xml:space="preserve"> נ' מ.י.</w:t>
      </w:r>
      <w:r>
        <w:rPr>
          <w:rFonts w:hint="cs"/>
          <w:rtl/>
        </w:rPr>
        <w:t xml:space="preserve"> (2015)).</w:t>
      </w:r>
    </w:p>
    <w:p w14:paraId="3B186EBF" w14:textId="77777777" w:rsidR="00066AA4" w:rsidRDefault="00066AA4" w:rsidP="00066AA4">
      <w:pPr>
        <w:pStyle w:val="ListParagraph"/>
        <w:numPr>
          <w:ilvl w:val="0"/>
          <w:numId w:val="3"/>
        </w:numPr>
        <w:spacing w:line="360" w:lineRule="auto"/>
        <w:jc w:val="both"/>
      </w:pPr>
      <w:r>
        <w:rPr>
          <w:rFonts w:hint="cs"/>
          <w:rtl/>
        </w:rPr>
        <w:t>להחזקתן של כמויות קטנות של חשיש לצריכה עצמית לא יינתן משקל מהותי לעונש ולא יקבעו מתחמים נפרדים.</w:t>
      </w:r>
    </w:p>
    <w:p w14:paraId="335D5620" w14:textId="77777777" w:rsidR="00066AA4" w:rsidRPr="00E87FC7" w:rsidRDefault="00066AA4" w:rsidP="00066AA4">
      <w:pPr>
        <w:pStyle w:val="ListParagraph"/>
        <w:spacing w:line="360" w:lineRule="auto"/>
        <w:ind w:left="360"/>
        <w:jc w:val="both"/>
        <w:rPr>
          <w:rtl/>
        </w:rPr>
      </w:pPr>
    </w:p>
    <w:p w14:paraId="1EBDE112" w14:textId="77777777" w:rsidR="00066AA4" w:rsidRPr="003D1FEA" w:rsidRDefault="00066AA4" w:rsidP="00066AA4">
      <w:pPr>
        <w:spacing w:line="360" w:lineRule="auto"/>
        <w:jc w:val="both"/>
        <w:rPr>
          <w:b/>
          <w:bCs/>
          <w:u w:val="single"/>
          <w:rtl/>
        </w:rPr>
      </w:pPr>
      <w:r>
        <w:rPr>
          <w:rFonts w:hint="cs"/>
          <w:b/>
          <w:bCs/>
          <w:u w:val="single"/>
          <w:rtl/>
        </w:rPr>
        <w:t>קביעת מתחם העונש ההולם בגין האירוע מיום 24.7.09:</w:t>
      </w:r>
    </w:p>
    <w:p w14:paraId="7570220A" w14:textId="77777777" w:rsidR="00066AA4" w:rsidRDefault="00066AA4" w:rsidP="00066AA4">
      <w:pPr>
        <w:pStyle w:val="ListParagraph"/>
        <w:numPr>
          <w:ilvl w:val="0"/>
          <w:numId w:val="4"/>
        </w:numPr>
        <w:spacing w:line="360" w:lineRule="auto"/>
        <w:jc w:val="both"/>
      </w:pPr>
      <w:r>
        <w:rPr>
          <w:rFonts w:hint="cs"/>
          <w:rtl/>
        </w:rPr>
        <w:t>התביעה הודיעה כי אינה מבקשת להרשיע את הנאשם בעבירת התקיפה, וענייננו אפוא באירוע של השתוללות הנאשם שהובילה לנזק לרכוש בדירה, לרבות התנגדות למעצר.</w:t>
      </w:r>
    </w:p>
    <w:p w14:paraId="69D6C3CE" w14:textId="77777777" w:rsidR="00066AA4" w:rsidRDefault="00066AA4" w:rsidP="00066AA4">
      <w:pPr>
        <w:pStyle w:val="ListParagraph"/>
        <w:numPr>
          <w:ilvl w:val="0"/>
          <w:numId w:val="4"/>
        </w:numPr>
        <w:spacing w:line="360" w:lineRule="auto"/>
        <w:jc w:val="both"/>
        <w:rPr>
          <w:rtl/>
        </w:rPr>
      </w:pPr>
      <w:r>
        <w:rPr>
          <w:rFonts w:hint="cs"/>
          <w:rtl/>
        </w:rPr>
        <w:t>התביעה המליצה על מתחם עונשי בין  מאסר מותנה לבין שישה חודשי מאסר, כעונש עיקרי, ומתחם זה אכן הולם את הסיבות האירוע.</w:t>
      </w:r>
    </w:p>
    <w:p w14:paraId="6F229E82" w14:textId="77777777" w:rsidR="00066AA4" w:rsidRDefault="00066AA4" w:rsidP="00066AA4">
      <w:pPr>
        <w:spacing w:line="360" w:lineRule="auto"/>
        <w:jc w:val="both"/>
        <w:rPr>
          <w:rtl/>
        </w:rPr>
      </w:pPr>
    </w:p>
    <w:p w14:paraId="1E27D7EA" w14:textId="77777777" w:rsidR="00066AA4" w:rsidRPr="00D90058" w:rsidRDefault="00066AA4" w:rsidP="00066AA4">
      <w:pPr>
        <w:spacing w:line="360" w:lineRule="auto"/>
        <w:jc w:val="both"/>
        <w:rPr>
          <w:b/>
          <w:bCs/>
          <w:u w:val="single"/>
          <w:rtl/>
        </w:rPr>
      </w:pPr>
      <w:r>
        <w:rPr>
          <w:rFonts w:hint="cs"/>
          <w:b/>
          <w:bCs/>
          <w:u w:val="single"/>
          <w:rtl/>
        </w:rPr>
        <w:t>נסיבות שאינן קשורות בעבירות:</w:t>
      </w:r>
    </w:p>
    <w:p w14:paraId="7992FB0E" w14:textId="77777777" w:rsidR="00066AA4" w:rsidRDefault="00066AA4" w:rsidP="00066AA4">
      <w:pPr>
        <w:pStyle w:val="ListParagraph"/>
        <w:numPr>
          <w:ilvl w:val="0"/>
          <w:numId w:val="5"/>
        </w:numPr>
        <w:spacing w:line="360" w:lineRule="auto"/>
        <w:jc w:val="both"/>
      </w:pPr>
      <w:r>
        <w:rPr>
          <w:rFonts w:hint="cs"/>
          <w:rtl/>
        </w:rPr>
        <w:t>הנאשם, יליד 1980, כבן 36 כיום, גרוש ואב לילדה כבת 15, עובד בחנות ירקות. מוצא הנאשם בסביבה ובמשפחה בה רווחה עבריינות, לרבות עבריינות סמים, הוא סיים תשע שנות לימוד ולא גויס לצה"ל, עקב עברו הפלילי. לאורך השנים עבד הנאשם בחנות הפיצוחים של משפחתו.</w:t>
      </w:r>
    </w:p>
    <w:p w14:paraId="16B63A21" w14:textId="77777777" w:rsidR="00066AA4" w:rsidRDefault="00066AA4" w:rsidP="00066AA4">
      <w:pPr>
        <w:pStyle w:val="ListParagraph"/>
        <w:numPr>
          <w:ilvl w:val="0"/>
          <w:numId w:val="5"/>
        </w:numPr>
        <w:spacing w:line="360" w:lineRule="auto"/>
        <w:jc w:val="both"/>
      </w:pPr>
      <w:r>
        <w:rPr>
          <w:rFonts w:hint="cs"/>
          <w:rtl/>
        </w:rPr>
        <w:t>לחובת הנאשם עבר פלילי מכביד בעבירות אלימות, סמים ועוד, שתחילתו עוד בנעוריו וכשהרשעה אחרונה, משנת 2010, נגעה להחזקת סם לצריכה עצמית בשנת 2007. הנאשם גם ריצה עונשי מאסר. נגד הנאשם שני מאסרים מותנים:</w:t>
      </w:r>
    </w:p>
    <w:p w14:paraId="67E0C925" w14:textId="77777777" w:rsidR="00066AA4" w:rsidRDefault="00066AA4" w:rsidP="00066AA4">
      <w:pPr>
        <w:pStyle w:val="ListParagraph"/>
        <w:numPr>
          <w:ilvl w:val="1"/>
          <w:numId w:val="5"/>
        </w:numPr>
        <w:spacing w:line="360" w:lineRule="auto"/>
        <w:jc w:val="both"/>
      </w:pPr>
      <w:r>
        <w:rPr>
          <w:rFonts w:hint="cs"/>
          <w:rtl/>
        </w:rPr>
        <w:t>מאסר מותנה בן 4 חודשים, שניתן להפעילו בגין עבירה של היזק בזדון לרכוש, שהוטל ביום 13.5.07 בת"פ (ראשל"צ) 1722/07 (תע/2);</w:t>
      </w:r>
    </w:p>
    <w:p w14:paraId="35918362" w14:textId="77777777" w:rsidR="00066AA4" w:rsidRDefault="00066AA4" w:rsidP="00066AA4">
      <w:pPr>
        <w:pStyle w:val="ListParagraph"/>
        <w:numPr>
          <w:ilvl w:val="1"/>
          <w:numId w:val="5"/>
        </w:numPr>
        <w:spacing w:line="360" w:lineRule="auto"/>
        <w:jc w:val="both"/>
      </w:pPr>
      <w:r>
        <w:rPr>
          <w:rFonts w:hint="cs"/>
          <w:rtl/>
        </w:rPr>
        <w:t>מאסר מותנה בן 6 חודשים, שחובה להפעילו בגין עבירות הסמים, שהוטל ביום 4.5.10 בת"פ (ראשל"צ) 3179/09 (תע/3);</w:t>
      </w:r>
    </w:p>
    <w:p w14:paraId="2A6A1281" w14:textId="77777777" w:rsidR="00066AA4" w:rsidRDefault="00066AA4" w:rsidP="00066AA4">
      <w:pPr>
        <w:pStyle w:val="ListParagraph"/>
        <w:numPr>
          <w:ilvl w:val="0"/>
          <w:numId w:val="5"/>
        </w:numPr>
        <w:spacing w:line="360" w:lineRule="auto"/>
        <w:jc w:val="both"/>
      </w:pPr>
      <w:r>
        <w:rPr>
          <w:rFonts w:hint="cs"/>
          <w:rtl/>
        </w:rPr>
        <w:t xml:space="preserve">כאמור, בעניינו של הנאשם הוגשו שישה תסקירים ה"מכסים" תקופה בת למעלה משלוש שנים בתיק זה, ממעצרו של הנאשם בשנת 2013 ועד היום, וזאת בנוסף על היכרות קודמת וכמעט-רציפה עם הנאשם כבר משנת 2007. שירות המבחן היה ספקן באשר ליכולתו ורצונו של הנאשם להשתלב בטיפול ולהפיק ממנו תועלת, ולאורך התקופה חזר והציע להמשיך במעקב אחרי הנאשם, עד לתסקיר החמישי. בנסיבות אלו של היכרות מעמיקה וממושכת, יש לתת לתסקיר משקל נכבד. </w:t>
      </w:r>
    </w:p>
    <w:p w14:paraId="4254B8C7" w14:textId="77777777" w:rsidR="00066AA4" w:rsidRDefault="00066AA4" w:rsidP="00066AA4">
      <w:pPr>
        <w:pStyle w:val="ListParagraph"/>
        <w:numPr>
          <w:ilvl w:val="0"/>
          <w:numId w:val="5"/>
        </w:numPr>
        <w:spacing w:line="360" w:lineRule="auto"/>
        <w:jc w:val="both"/>
      </w:pPr>
      <w:r>
        <w:rPr>
          <w:rFonts w:hint="cs"/>
          <w:rtl/>
        </w:rPr>
        <w:t>מהתסקירים עולים הנתונים הבאים:</w:t>
      </w:r>
    </w:p>
    <w:p w14:paraId="474182EF" w14:textId="77777777" w:rsidR="00066AA4" w:rsidRPr="00202FE5" w:rsidRDefault="00066AA4" w:rsidP="00066AA4">
      <w:pPr>
        <w:spacing w:line="360" w:lineRule="auto"/>
        <w:ind w:left="360"/>
        <w:jc w:val="both"/>
      </w:pPr>
      <w:r>
        <w:rPr>
          <w:rFonts w:hint="cs"/>
          <w:rtl/>
        </w:rPr>
        <w:t xml:space="preserve">תחילה לא גילה הנאשם תובנה למהות מעשיו ומצבו, וברורה היתה מעורבותו העמוקה בעולם הסם. הנאשם לא גילה מוטיבציה אמיתית לשינוי או להפסקת השימוש בסמים. על-אף ספקנותו של שירות המבחן, שוחרר הנאשם ממעצרו ביולי 2013 ושולב בקהילה טיפולית סגורה. הנאשם הורחק מהקהילה, אך לאחר תהליך של גמילה פיזית מסמים שולב בהוסטל של קהילת "רטורנו" במארס 2014. ביוני 2014 הורחק הנאשם מההוסטל בשל אי-עמידה בכלליו, אך הצליח לשמור על ניקיון מסמים ושולב בטיפול ביחידה עירונית לנפגעי סמים. הנאשם שב וכשל בשימוש בסמים, עבר פעם נוספת גמילה פיזית, ובנובמבר 2014 שולב בטיפול במרכז יום לנפגעי סמים ברחובות לצד הקשר עם היחידה העירונית. מאותה עת ועד היום </w:t>
      </w:r>
      <w:r>
        <w:rPr>
          <w:rtl/>
        </w:rPr>
        <w:t>–</w:t>
      </w:r>
      <w:r>
        <w:rPr>
          <w:rFonts w:hint="cs"/>
          <w:rtl/>
        </w:rPr>
        <w:t xml:space="preserve"> שנה וחצי </w:t>
      </w:r>
      <w:r>
        <w:rPr>
          <w:rtl/>
        </w:rPr>
        <w:t>–</w:t>
      </w:r>
      <w:r>
        <w:rPr>
          <w:rFonts w:hint="cs"/>
          <w:rtl/>
        </w:rPr>
        <w:t xml:space="preserve"> מתמיד הנאשם בטיפול, הוא נקי מסמים, ולא הוגשו בעניינו כתבי אישום חדשים. במהלכה של תקופה זו בלטו המוטיבציה הגבוהה של הנאשם, רמת המחויבות שלו לטיפול, ונטילת האחריות ביתר תחומי החיים, כגון חידוש והידוק הקשר עם בתו, יציאה לעבודה, ופעולותיו להסדרת חובותיו. מטפליו של הנאשם ושירות המבחן התרשמו עמוקות מהצלחת הטיפול בנאשם ומהשינוי הכן והמתמיד בו, והשירות סיכם תסקירו האחרון בהמלצה לעונש שיקומי של של"צ ומבחן.</w:t>
      </w:r>
    </w:p>
    <w:p w14:paraId="3748E018" w14:textId="77777777" w:rsidR="00066AA4" w:rsidRDefault="00066AA4" w:rsidP="00066AA4">
      <w:pPr>
        <w:pStyle w:val="ListParagraph"/>
        <w:numPr>
          <w:ilvl w:val="0"/>
          <w:numId w:val="5"/>
        </w:numPr>
        <w:spacing w:line="360" w:lineRule="auto"/>
        <w:jc w:val="both"/>
      </w:pPr>
      <w:r>
        <w:rPr>
          <w:rFonts w:hint="cs"/>
          <w:rtl/>
        </w:rPr>
        <w:t xml:space="preserve">ענייננו אפוא במקרה חריג של הצלחה שיקומית מוכחת (והשוו </w:t>
      </w:r>
      <w:hyperlink r:id="rId35" w:history="1">
        <w:r w:rsidR="00A41770" w:rsidRPr="00A41770">
          <w:rPr>
            <w:color w:val="0000FF"/>
            <w:u w:val="single"/>
            <w:rtl/>
          </w:rPr>
          <w:t>ע"פ 779/15</w:t>
        </w:r>
      </w:hyperlink>
      <w:r w:rsidRPr="007017D6">
        <w:rPr>
          <w:rtl/>
        </w:rPr>
        <w:t xml:space="preserve"> </w:t>
      </w:r>
      <w:r w:rsidRPr="007017D6">
        <w:rPr>
          <w:b/>
          <w:bCs/>
          <w:rtl/>
        </w:rPr>
        <w:t>פלוני נ' מ.י.</w:t>
      </w:r>
      <w:r w:rsidRPr="007017D6">
        <w:rPr>
          <w:rtl/>
        </w:rPr>
        <w:t xml:space="preserve"> (2015)</w:t>
      </w:r>
      <w:r>
        <w:rPr>
          <w:rFonts w:hint="cs"/>
          <w:rtl/>
        </w:rPr>
        <w:t xml:space="preserve">). אמנם, לא תמה הדרך </w:t>
      </w:r>
      <w:r>
        <w:rPr>
          <w:rtl/>
        </w:rPr>
        <w:t>–</w:t>
      </w:r>
      <w:r>
        <w:rPr>
          <w:rFonts w:hint="cs"/>
          <w:rtl/>
        </w:rPr>
        <w:t xml:space="preserve"> ולעולם לא תמה הדרך </w:t>
      </w:r>
      <w:r>
        <w:rPr>
          <w:rtl/>
        </w:rPr>
        <w:t>–</w:t>
      </w:r>
      <w:r>
        <w:rPr>
          <w:rFonts w:hint="cs"/>
          <w:rtl/>
        </w:rPr>
        <w:t xml:space="preserve"> אך רמת המוטיבציה של הנאשם והתמדתו בניקיונו מסמים, מחויבותו הפורה לטיפול ונטילת האחריות שלו על חייו, מצדיקים אימוץ חלקי של המלצת שירות המבחן, באופן זה שלא יוטל על הנאשם עונש מאסר בפועל, שיעצור ויכשיל את מאמצי השיקום. </w:t>
      </w:r>
    </w:p>
    <w:p w14:paraId="01C9C753" w14:textId="77777777" w:rsidR="00066AA4" w:rsidRDefault="00066AA4" w:rsidP="00066AA4">
      <w:pPr>
        <w:pStyle w:val="ListParagraph"/>
        <w:numPr>
          <w:ilvl w:val="0"/>
          <w:numId w:val="5"/>
        </w:numPr>
        <w:spacing w:line="360" w:lineRule="auto"/>
        <w:jc w:val="both"/>
      </w:pPr>
      <w:r>
        <w:rPr>
          <w:rFonts w:hint="cs"/>
          <w:rtl/>
        </w:rPr>
        <w:t>עוד יש להוסיף את חלוף הזמן הרב מאז ביצוע העבירות, זמן שנוצל לתהליך השיקום.</w:t>
      </w:r>
    </w:p>
    <w:p w14:paraId="34F05D05" w14:textId="77777777" w:rsidR="00066AA4" w:rsidRDefault="00066AA4" w:rsidP="00066AA4">
      <w:pPr>
        <w:pStyle w:val="ListParagraph"/>
        <w:numPr>
          <w:ilvl w:val="0"/>
          <w:numId w:val="5"/>
        </w:numPr>
        <w:spacing w:line="360" w:lineRule="auto"/>
        <w:jc w:val="both"/>
      </w:pPr>
      <w:r>
        <w:rPr>
          <w:rFonts w:hint="cs"/>
          <w:rtl/>
        </w:rPr>
        <w:t xml:space="preserve">עם-זאת, חומרת מעשיו החוזרים של הנאשם אינה מאפשרת אימוץ מלא של המלצת השירות, אלא רק הסרת האיום של מאסר בכליאה והמרתו בעבודות שירות </w:t>
      </w:r>
      <w:r>
        <w:rPr>
          <w:rtl/>
        </w:rPr>
        <w:t>–</w:t>
      </w:r>
      <w:r>
        <w:rPr>
          <w:rFonts w:hint="cs"/>
          <w:rtl/>
        </w:rPr>
        <w:t xml:space="preserve"> בכך יבוא ערך השיקום לביטוי הולם, תוך מתן מקום גם לשיקול הגמול הראוי.</w:t>
      </w:r>
    </w:p>
    <w:p w14:paraId="042D668F" w14:textId="77777777" w:rsidR="00066AA4" w:rsidRDefault="00066AA4" w:rsidP="00066AA4">
      <w:pPr>
        <w:pStyle w:val="ListParagraph"/>
        <w:numPr>
          <w:ilvl w:val="0"/>
          <w:numId w:val="5"/>
        </w:numPr>
        <w:spacing w:line="360" w:lineRule="auto"/>
        <w:jc w:val="both"/>
      </w:pPr>
      <w:r>
        <w:rPr>
          <w:rFonts w:hint="cs"/>
          <w:rtl/>
        </w:rPr>
        <w:t xml:space="preserve">לתוצאה זו ניתן להגיע בשתי דרכים: החרגה מוצדקת של עונשו של הנאשם ממתחמי העונש שקבעתי, מטעמי שיקום; או קביעת עונשו של הנאשם בתחתית המתחמים והטלת העונש כאחד, תוך חפיפת העונשים </w:t>
      </w:r>
      <w:r>
        <w:rPr>
          <w:rtl/>
        </w:rPr>
        <w:t>–</w:t>
      </w:r>
      <w:r>
        <w:rPr>
          <w:rFonts w:hint="cs"/>
          <w:rtl/>
        </w:rPr>
        <w:t xml:space="preserve"> ובדרך זו אבחר.</w:t>
      </w:r>
    </w:p>
    <w:p w14:paraId="5CC428FB" w14:textId="77777777" w:rsidR="00066AA4" w:rsidRDefault="00066AA4" w:rsidP="00066AA4">
      <w:pPr>
        <w:pStyle w:val="ListParagraph"/>
        <w:numPr>
          <w:ilvl w:val="0"/>
          <w:numId w:val="5"/>
        </w:numPr>
        <w:spacing w:line="360" w:lineRule="auto"/>
        <w:jc w:val="both"/>
      </w:pPr>
      <w:r>
        <w:rPr>
          <w:rFonts w:hint="cs"/>
          <w:rtl/>
        </w:rPr>
        <w:t>באשר למאסרים המותנים: מטעמי השיקום וחלוף הזמן, יופעלו אלו בחפיפה שלמה זה לזה ולעונש שיוטל.</w:t>
      </w:r>
    </w:p>
    <w:p w14:paraId="6C650564" w14:textId="77777777" w:rsidR="00066AA4" w:rsidRDefault="00066AA4" w:rsidP="00066AA4">
      <w:pPr>
        <w:pStyle w:val="ListParagraph"/>
        <w:numPr>
          <w:ilvl w:val="0"/>
          <w:numId w:val="5"/>
        </w:numPr>
        <w:spacing w:line="360" w:lineRule="auto"/>
        <w:jc w:val="both"/>
      </w:pPr>
      <w:r>
        <w:rPr>
          <w:rFonts w:hint="cs"/>
          <w:rtl/>
        </w:rPr>
        <w:t>מחמת מצבו הכלכלי של הנאשם ותקופת עבודות השירות, לא אחייבו בקנס; לנוכח ניקיונו מסמים, אמנע מפסילה בפועל מלנהוג, ואף אאריך את תקופת הפסילה המותנית שהושתה על הנאשם.</w:t>
      </w:r>
    </w:p>
    <w:p w14:paraId="7A8CAFDB" w14:textId="77777777" w:rsidR="00066AA4" w:rsidRDefault="00066AA4" w:rsidP="00066AA4">
      <w:pPr>
        <w:spacing w:line="360" w:lineRule="auto"/>
        <w:jc w:val="both"/>
        <w:rPr>
          <w:rtl/>
        </w:rPr>
      </w:pPr>
    </w:p>
    <w:p w14:paraId="02435F5F" w14:textId="77777777" w:rsidR="00066AA4" w:rsidRPr="00D8674B" w:rsidRDefault="00066AA4" w:rsidP="00066AA4">
      <w:pPr>
        <w:spacing w:line="360" w:lineRule="auto"/>
        <w:jc w:val="both"/>
        <w:rPr>
          <w:b/>
          <w:bCs/>
          <w:u w:val="single"/>
          <w:rtl/>
        </w:rPr>
      </w:pPr>
      <w:r>
        <w:rPr>
          <w:rFonts w:hint="cs"/>
          <w:b/>
          <w:bCs/>
          <w:u w:val="single"/>
          <w:rtl/>
        </w:rPr>
        <w:t>סוף-דבר, אני גוזר על הנאשם את העונשים הבאים:</w:t>
      </w:r>
    </w:p>
    <w:p w14:paraId="6DAE67E5" w14:textId="77777777" w:rsidR="00066AA4" w:rsidRDefault="00066AA4" w:rsidP="00066AA4">
      <w:pPr>
        <w:spacing w:line="360" w:lineRule="auto"/>
        <w:ind w:left="720" w:hanging="720"/>
        <w:jc w:val="both"/>
        <w:rPr>
          <w:rtl/>
        </w:rPr>
      </w:pPr>
      <w:r>
        <w:rPr>
          <w:rFonts w:hint="cs"/>
          <w:rtl/>
        </w:rPr>
        <w:t>א.</w:t>
      </w:r>
      <w:r>
        <w:rPr>
          <w:rtl/>
        </w:rPr>
        <w:tab/>
      </w:r>
      <w:r>
        <w:rPr>
          <w:rFonts w:hint="cs"/>
          <w:rtl/>
        </w:rPr>
        <w:t>6 חודשי מאסר שירוצו בעבודות שירות, החל מיום 12.9.16 בבית אבות "משען" בחולון. הנאשם מוזהר כי אי-ציות להוראות הממונה על עבודות השירות, או הממונים במקום העבודה, יוביל להפסקת העבודות ולהמשך ריצוי המאסר בכליאה. גילוי עקבות סם בבדיקת סמים או ניסיון לשבש תוצאת בדיקה יובילו אף-הם להמשך ריצוי המאסר בכליאה. תשומת-לב הנאשם להוראות בחוות הדעת.</w:t>
      </w:r>
    </w:p>
    <w:p w14:paraId="56D4B8B9" w14:textId="77777777" w:rsidR="00066AA4" w:rsidRDefault="00066AA4" w:rsidP="00066AA4">
      <w:pPr>
        <w:spacing w:line="360" w:lineRule="auto"/>
        <w:ind w:left="720" w:hanging="720"/>
        <w:jc w:val="both"/>
        <w:rPr>
          <w:rtl/>
        </w:rPr>
      </w:pPr>
      <w:r>
        <w:rPr>
          <w:rFonts w:hint="cs"/>
          <w:rtl/>
        </w:rPr>
        <w:t>ב.</w:t>
      </w:r>
      <w:r>
        <w:rPr>
          <w:rFonts w:hint="cs"/>
          <w:rtl/>
        </w:rPr>
        <w:tab/>
        <w:t>אני מפעיל בחפיפה מלאה לעונש אותו הטלתי וזה לזה את המאסרים המותנים שהוטלו ביום 13.5.07 בת"פ (ראשל"צ) 1722/07 וביום 4.5.10 בת"פ (ראשל"צ) 3179/09, כך שהנאשם ירצה בסך הכל 6 חודשי מאסר בעבודות שירות, כמפורט לעיל.</w:t>
      </w:r>
    </w:p>
    <w:p w14:paraId="39BF7DC7" w14:textId="77777777" w:rsidR="00066AA4" w:rsidRDefault="00066AA4" w:rsidP="00066AA4">
      <w:pPr>
        <w:spacing w:line="360" w:lineRule="auto"/>
        <w:ind w:left="720" w:hanging="720"/>
        <w:jc w:val="both"/>
        <w:rPr>
          <w:rtl/>
        </w:rPr>
      </w:pPr>
      <w:r>
        <w:rPr>
          <w:rFonts w:hint="cs"/>
          <w:rtl/>
        </w:rPr>
        <w:t>ב.</w:t>
      </w:r>
      <w:r>
        <w:rPr>
          <w:rFonts w:hint="cs"/>
          <w:rtl/>
        </w:rPr>
        <w:tab/>
        <w:t>מאסר על-תנאי בן 6 חודשים למשך שנתיים מהיום, שלא יעבור עבירת סמים שהנה פשע.</w:t>
      </w:r>
    </w:p>
    <w:p w14:paraId="02491CB4" w14:textId="77777777" w:rsidR="00066AA4" w:rsidRDefault="00066AA4" w:rsidP="00066AA4">
      <w:pPr>
        <w:spacing w:line="360" w:lineRule="auto"/>
        <w:ind w:left="720" w:hanging="720"/>
        <w:jc w:val="both"/>
        <w:rPr>
          <w:rtl/>
        </w:rPr>
      </w:pPr>
      <w:r>
        <w:rPr>
          <w:rFonts w:hint="cs"/>
          <w:rtl/>
        </w:rPr>
        <w:t>ג.</w:t>
      </w:r>
      <w:r>
        <w:rPr>
          <w:rFonts w:hint="cs"/>
          <w:rtl/>
        </w:rPr>
        <w:tab/>
        <w:t>מאסר על-תנאי בן 3 חודשים למשך שנתיים מהיום, שלא יעבור עבירת סמים שהנה עוון, או עבירת אלימות לרבות איומים, או עבירה של היזק לרכוש במזיד.</w:t>
      </w:r>
    </w:p>
    <w:p w14:paraId="49DEDDF6" w14:textId="77777777" w:rsidR="00066AA4" w:rsidRDefault="00066AA4" w:rsidP="00066AA4">
      <w:pPr>
        <w:spacing w:line="360" w:lineRule="auto"/>
        <w:ind w:left="720" w:hanging="720"/>
        <w:jc w:val="both"/>
        <w:rPr>
          <w:rtl/>
        </w:rPr>
      </w:pPr>
      <w:r>
        <w:rPr>
          <w:rFonts w:hint="cs"/>
          <w:rtl/>
        </w:rPr>
        <w:t>ד.</w:t>
      </w:r>
      <w:r>
        <w:rPr>
          <w:rFonts w:hint="cs"/>
          <w:rtl/>
        </w:rPr>
        <w:tab/>
        <w:t>אני מאריך בשנה מהיום את הפסילה המותנית בת 6 חודשים שהוטלה ביום 4.5.10 בת"פ (ראשל"צ) 3179/09.</w:t>
      </w:r>
    </w:p>
    <w:p w14:paraId="05F60588" w14:textId="77777777" w:rsidR="00066AA4" w:rsidRDefault="00066AA4" w:rsidP="00066AA4">
      <w:pPr>
        <w:spacing w:line="360" w:lineRule="auto"/>
        <w:ind w:left="720" w:hanging="720"/>
        <w:jc w:val="both"/>
        <w:rPr>
          <w:rtl/>
        </w:rPr>
      </w:pPr>
      <w:r>
        <w:rPr>
          <w:rFonts w:hint="cs"/>
          <w:rtl/>
        </w:rPr>
        <w:t>ה.</w:t>
      </w:r>
      <w:r>
        <w:rPr>
          <w:rFonts w:hint="cs"/>
          <w:rtl/>
        </w:rPr>
        <w:tab/>
        <w:t xml:space="preserve">אני מורה על חילוט </w:t>
      </w:r>
      <w:r>
        <w:rPr>
          <w:rFonts w:ascii="Arial" w:hAnsi="Arial" w:hint="cs"/>
          <w:rtl/>
        </w:rPr>
        <w:t>סכום של 10,000 ₪ וטלפון נייד, שנתפסו מחזקת הנאשם במהלך החקירה</w:t>
      </w:r>
      <w:r>
        <w:rPr>
          <w:rFonts w:hint="cs"/>
          <w:rtl/>
        </w:rPr>
        <w:t>, וסכום הכסף יועבר לזכות קרן הסמים (לפי החלטה מיום 14.4.16).</w:t>
      </w:r>
    </w:p>
    <w:p w14:paraId="4A3EF0BF" w14:textId="77777777" w:rsidR="00066AA4" w:rsidRDefault="00066AA4" w:rsidP="00066AA4">
      <w:pPr>
        <w:spacing w:line="360" w:lineRule="auto"/>
        <w:ind w:left="720" w:hanging="720"/>
        <w:jc w:val="both"/>
        <w:rPr>
          <w:rtl/>
        </w:rPr>
      </w:pPr>
      <w:r>
        <w:rPr>
          <w:rFonts w:hint="cs"/>
          <w:rtl/>
        </w:rPr>
        <w:t>ו</w:t>
      </w:r>
      <w:r>
        <w:rPr>
          <w:rFonts w:hint="cs"/>
          <w:rtl/>
        </w:rPr>
        <w:tab/>
        <w:t>אני מעמיד את הנאשם ב"מבחן סמים" למשך שנה וחצי מהיום, ומזהיר אותו כי אי-ציות או הימנעות משיתוף פעולה עם שירות המבחן, יובילו להשבת התיק לבית המשפט ולגזירת עונש חלופי נוסף.</w:t>
      </w:r>
    </w:p>
    <w:p w14:paraId="6BA6AE05" w14:textId="77777777" w:rsidR="00066AA4" w:rsidRDefault="00066AA4" w:rsidP="00066AA4">
      <w:pPr>
        <w:bidi w:val="0"/>
        <w:rPr>
          <w:rtl/>
        </w:rPr>
      </w:pPr>
      <w:r>
        <w:rPr>
          <w:rtl/>
        </w:rPr>
        <w:br w:type="page"/>
      </w:r>
    </w:p>
    <w:p w14:paraId="746EDF76" w14:textId="77777777" w:rsidR="00066AA4" w:rsidRPr="00891A38" w:rsidRDefault="00066AA4" w:rsidP="00066AA4">
      <w:pPr>
        <w:spacing w:line="360" w:lineRule="auto"/>
        <w:jc w:val="both"/>
        <w:rPr>
          <w:b/>
          <w:bCs/>
          <w:u w:val="single"/>
          <w:rtl/>
        </w:rPr>
      </w:pPr>
      <w:r>
        <w:rPr>
          <w:rFonts w:hint="cs"/>
          <w:b/>
          <w:bCs/>
          <w:u w:val="single"/>
          <w:rtl/>
        </w:rPr>
        <w:t>הוראות נלוות:</w:t>
      </w:r>
    </w:p>
    <w:p w14:paraId="5C7FB690" w14:textId="77777777" w:rsidR="00066AA4" w:rsidRDefault="00066AA4" w:rsidP="00066AA4">
      <w:pPr>
        <w:spacing w:line="360" w:lineRule="auto"/>
        <w:ind w:left="720" w:hanging="720"/>
        <w:jc w:val="both"/>
        <w:rPr>
          <w:rtl/>
        </w:rPr>
      </w:pPr>
      <w:r>
        <w:rPr>
          <w:rFonts w:hint="cs"/>
          <w:rtl/>
        </w:rPr>
        <w:t>א.</w:t>
      </w:r>
      <w:r>
        <w:rPr>
          <w:rFonts w:hint="cs"/>
          <w:rtl/>
        </w:rPr>
        <w:tab/>
        <w:t>מוצגים: סמים יושמדו. כל מוצג אחר שלא הוריתי לחלטו או להשמידו, פרט לכסף, יועבר להכרעה פרטנית של קצין משטרה;</w:t>
      </w:r>
    </w:p>
    <w:p w14:paraId="2A8BA687" w14:textId="77777777" w:rsidR="00066AA4" w:rsidRDefault="00066AA4" w:rsidP="00066AA4">
      <w:pPr>
        <w:spacing w:line="360" w:lineRule="auto"/>
        <w:ind w:left="720" w:hanging="720"/>
        <w:jc w:val="both"/>
        <w:rPr>
          <w:rtl/>
        </w:rPr>
      </w:pPr>
      <w:r>
        <w:rPr>
          <w:rFonts w:hint="cs"/>
          <w:rtl/>
        </w:rPr>
        <w:t>ב.</w:t>
      </w:r>
      <w:r>
        <w:rPr>
          <w:rFonts w:hint="cs"/>
          <w:rtl/>
        </w:rPr>
        <w:tab/>
        <w:t>עותקי גזר הדין יועברו לממונה על עבודות השירות ולשירות המבחן;</w:t>
      </w:r>
    </w:p>
    <w:p w14:paraId="4A805851" w14:textId="77777777" w:rsidR="00066AA4" w:rsidRDefault="00066AA4" w:rsidP="00066AA4">
      <w:pPr>
        <w:spacing w:line="360" w:lineRule="auto"/>
        <w:ind w:left="720" w:hanging="720"/>
        <w:jc w:val="both"/>
        <w:rPr>
          <w:rtl/>
        </w:rPr>
      </w:pPr>
    </w:p>
    <w:p w14:paraId="38C8FC02" w14:textId="77777777" w:rsidR="00066AA4" w:rsidRDefault="00066AA4" w:rsidP="00066AA4">
      <w:pPr>
        <w:spacing w:line="360" w:lineRule="auto"/>
        <w:ind w:left="720" w:hanging="720"/>
        <w:jc w:val="both"/>
        <w:rPr>
          <w:rtl/>
        </w:rPr>
      </w:pPr>
    </w:p>
    <w:p w14:paraId="1178B7BD" w14:textId="77777777" w:rsidR="00066AA4" w:rsidRDefault="00066AA4" w:rsidP="00066AA4">
      <w:pPr>
        <w:spacing w:line="360" w:lineRule="auto"/>
        <w:ind w:left="720" w:hanging="720"/>
        <w:jc w:val="both"/>
        <w:rPr>
          <w:rtl/>
        </w:rPr>
      </w:pPr>
      <w:r>
        <w:rPr>
          <w:rFonts w:hint="cs"/>
          <w:rtl/>
        </w:rPr>
        <w:t>זכות ערעור תוך 45 יום מהיום לבית המשפט המחוזי.</w:t>
      </w:r>
    </w:p>
    <w:p w14:paraId="5F2D8D6C" w14:textId="77777777" w:rsidR="00066AA4" w:rsidRDefault="00066AA4" w:rsidP="00066AA4">
      <w:pPr>
        <w:spacing w:line="360" w:lineRule="auto"/>
        <w:jc w:val="both"/>
        <w:rPr>
          <w:rtl/>
        </w:rPr>
      </w:pPr>
    </w:p>
    <w:p w14:paraId="7197582D" w14:textId="77777777" w:rsidR="00066AA4" w:rsidRPr="00A41770" w:rsidRDefault="00A41770" w:rsidP="00066AA4">
      <w:pPr>
        <w:spacing w:line="360" w:lineRule="auto"/>
        <w:jc w:val="both"/>
        <w:rPr>
          <w:color w:val="FFFFFF"/>
          <w:sz w:val="2"/>
          <w:szCs w:val="2"/>
          <w:rtl/>
        </w:rPr>
      </w:pPr>
      <w:r w:rsidRPr="00A41770">
        <w:rPr>
          <w:color w:val="FFFFFF"/>
          <w:sz w:val="2"/>
          <w:szCs w:val="2"/>
          <w:rtl/>
        </w:rPr>
        <w:t>5129371</w:t>
      </w:r>
    </w:p>
    <w:p w14:paraId="561E9E6C" w14:textId="77777777" w:rsidR="00066AA4" w:rsidRPr="00E87FC7" w:rsidRDefault="00A41770" w:rsidP="00066AA4">
      <w:pPr>
        <w:rPr>
          <w:rtl/>
        </w:rPr>
      </w:pPr>
      <w:r w:rsidRPr="00A41770">
        <w:rPr>
          <w:rFonts w:ascii="Arial" w:hAnsi="Arial"/>
          <w:color w:val="FFFFFF"/>
          <w:sz w:val="2"/>
          <w:szCs w:val="2"/>
          <w:rtl/>
        </w:rPr>
        <w:t>54678313</w:t>
      </w:r>
      <w:r>
        <w:rPr>
          <w:rFonts w:ascii="Arial" w:hAnsi="Arial"/>
          <w:rtl/>
        </w:rPr>
        <w:t xml:space="preserve">ניתן היום,  כ"ט אייר תשע"ו, 06 יוני 2016, במעמד הצדדים. </w:t>
      </w:r>
    </w:p>
    <w:p w14:paraId="6FB07A9C" w14:textId="77777777" w:rsidR="00066AA4" w:rsidRPr="00E87FC7" w:rsidRDefault="00066AA4" w:rsidP="00066AA4">
      <w:pPr>
        <w:jc w:val="center"/>
      </w:pPr>
      <w:r w:rsidRPr="00E87FC7">
        <w:rPr>
          <w:rFonts w:hint="cs"/>
          <w:rtl/>
        </w:rPr>
        <w:t xml:space="preserve">   </w:t>
      </w:r>
      <w:r w:rsidRPr="00E87FC7">
        <w:rPr>
          <w:rFonts w:hint="cs"/>
          <w:rtl/>
        </w:rPr>
        <w:tab/>
      </w:r>
      <w:r w:rsidRPr="00E87FC7">
        <w:rPr>
          <w:rFonts w:hint="cs"/>
          <w:rtl/>
        </w:rPr>
        <w:tab/>
      </w:r>
      <w:r w:rsidRPr="00E87FC7">
        <w:rPr>
          <w:rFonts w:hint="cs"/>
          <w:rtl/>
        </w:rPr>
        <w:tab/>
      </w:r>
      <w:r w:rsidRPr="00E87FC7">
        <w:rPr>
          <w:rFonts w:hint="cs"/>
          <w:rtl/>
        </w:rPr>
        <w:tab/>
      </w:r>
      <w:r w:rsidRPr="00E87FC7">
        <w:rPr>
          <w:rFonts w:hint="cs"/>
          <w:rtl/>
        </w:rPr>
        <w:tab/>
      </w:r>
    </w:p>
    <w:p w14:paraId="605CA9A8" w14:textId="77777777" w:rsidR="00066AA4" w:rsidRPr="00E87FC7" w:rsidRDefault="00066AA4" w:rsidP="00066AA4">
      <w:pPr>
        <w:jc w:val="center"/>
        <w:rPr>
          <w:rFonts w:ascii="Arial" w:hAnsi="Arial"/>
          <w:rtl/>
        </w:rPr>
      </w:pPr>
    </w:p>
    <w:p w14:paraId="5DE57CF4" w14:textId="77777777" w:rsidR="00066AA4" w:rsidRPr="00E87FC7" w:rsidRDefault="00066AA4" w:rsidP="00066AA4">
      <w:pPr>
        <w:rPr>
          <w:rtl/>
        </w:rPr>
      </w:pPr>
    </w:p>
    <w:p w14:paraId="47F77E32" w14:textId="77777777" w:rsidR="00066AA4" w:rsidRPr="00BE13F8" w:rsidRDefault="00BE13F8" w:rsidP="00066AA4">
      <w:pPr>
        <w:pStyle w:val="a3"/>
        <w:jc w:val="center"/>
        <w:rPr>
          <w:color w:val="FFFFFF"/>
          <w:sz w:val="2"/>
          <w:szCs w:val="2"/>
          <w:rtl/>
        </w:rPr>
      </w:pPr>
      <w:r w:rsidRPr="00BE13F8">
        <w:rPr>
          <w:color w:val="FFFFFF"/>
          <w:sz w:val="2"/>
          <w:szCs w:val="2"/>
          <w:rtl/>
        </w:rPr>
        <w:t>5129371</w:t>
      </w:r>
    </w:p>
    <w:p w14:paraId="7CB13108" w14:textId="77777777" w:rsidR="00A41770" w:rsidRPr="00BE13F8" w:rsidRDefault="00BE13F8" w:rsidP="00A41770">
      <w:pPr>
        <w:keepNext/>
        <w:rPr>
          <w:rFonts w:ascii="David" w:hAnsi="David"/>
          <w:color w:val="FFFFFF"/>
          <w:sz w:val="2"/>
          <w:szCs w:val="2"/>
          <w:rtl/>
        </w:rPr>
      </w:pPr>
      <w:r w:rsidRPr="00BE13F8">
        <w:rPr>
          <w:rFonts w:ascii="David" w:hAnsi="David"/>
          <w:color w:val="FFFFFF"/>
          <w:sz w:val="2"/>
          <w:szCs w:val="2"/>
          <w:rtl/>
        </w:rPr>
        <w:t>54678313</w:t>
      </w:r>
    </w:p>
    <w:p w14:paraId="34B2FD30" w14:textId="77777777" w:rsidR="00A41770" w:rsidRDefault="00A41770" w:rsidP="00A41770">
      <w:r w:rsidRPr="00A41770">
        <w:rPr>
          <w:color w:val="000000"/>
          <w:rtl/>
        </w:rPr>
        <w:t>נוסח מסמך זה כפוף לשינויי ניסוח ועריכה</w:t>
      </w:r>
    </w:p>
    <w:p w14:paraId="51A7E8E3" w14:textId="77777777" w:rsidR="00A41770" w:rsidRDefault="00A41770" w:rsidP="00A41770">
      <w:pPr>
        <w:rPr>
          <w:rtl/>
        </w:rPr>
      </w:pPr>
    </w:p>
    <w:p w14:paraId="319E2D20" w14:textId="77777777" w:rsidR="00A41770" w:rsidRDefault="00A41770" w:rsidP="00A41770">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C35E43E" w14:textId="77777777" w:rsidR="00BE13F8" w:rsidRPr="00BE13F8" w:rsidRDefault="00BE13F8" w:rsidP="00BE13F8">
      <w:pPr>
        <w:keepNext/>
        <w:rPr>
          <w:rFonts w:ascii="David" w:hAnsi="David"/>
          <w:color w:val="000000"/>
          <w:sz w:val="22"/>
          <w:szCs w:val="22"/>
          <w:rtl/>
        </w:rPr>
      </w:pPr>
    </w:p>
    <w:p w14:paraId="5A81DA2A" w14:textId="77777777" w:rsidR="00BE13F8" w:rsidRPr="00BE13F8" w:rsidRDefault="00BE13F8" w:rsidP="00BE13F8">
      <w:pPr>
        <w:keepNext/>
        <w:rPr>
          <w:rFonts w:ascii="David" w:hAnsi="David"/>
          <w:color w:val="000000"/>
          <w:sz w:val="22"/>
          <w:szCs w:val="22"/>
          <w:rtl/>
        </w:rPr>
      </w:pPr>
      <w:r w:rsidRPr="00BE13F8">
        <w:rPr>
          <w:rFonts w:ascii="David" w:hAnsi="David"/>
          <w:color w:val="000000"/>
          <w:sz w:val="22"/>
          <w:szCs w:val="22"/>
          <w:rtl/>
        </w:rPr>
        <w:t>עידו דרויאן 54678313-/</w:t>
      </w:r>
    </w:p>
    <w:sectPr w:rsidR="00BE13F8" w:rsidRPr="00BE13F8" w:rsidSect="00BE13F8">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65B14" w14:textId="77777777" w:rsidR="00020CC6" w:rsidRPr="00363E80" w:rsidRDefault="00020CC6">
      <w:pPr>
        <w:rPr>
          <w:rFonts w:cs="Arial"/>
          <w:szCs w:val="20"/>
        </w:rPr>
      </w:pPr>
      <w:r>
        <w:separator/>
      </w:r>
    </w:p>
  </w:endnote>
  <w:endnote w:type="continuationSeparator" w:id="0">
    <w:p w14:paraId="446DAE76" w14:textId="77777777" w:rsidR="00020CC6" w:rsidRPr="00363E80" w:rsidRDefault="00020CC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E0E05" w14:textId="77777777" w:rsidR="00BD52C6" w:rsidRDefault="00BD52C6" w:rsidP="00BE13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8C9834" w14:textId="77777777" w:rsidR="00BD52C6" w:rsidRPr="00BE13F8" w:rsidRDefault="00BD52C6" w:rsidP="00BE13F8">
    <w:pPr>
      <w:pStyle w:val="a4"/>
      <w:pBdr>
        <w:top w:val="single" w:sz="4" w:space="1" w:color="auto"/>
        <w:between w:val="single" w:sz="4" w:space="0" w:color="auto"/>
      </w:pBdr>
      <w:spacing w:after="60"/>
      <w:jc w:val="center"/>
      <w:rPr>
        <w:rFonts w:ascii="FrankRuehl" w:hAnsi="FrankRuehl" w:cs="FrankRuehl"/>
        <w:color w:val="000000"/>
      </w:rPr>
    </w:pPr>
    <w:r w:rsidRPr="00BE13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A0801" w14:textId="77777777" w:rsidR="00BD52C6" w:rsidRDefault="00BD52C6" w:rsidP="00BE13F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37D4">
      <w:rPr>
        <w:rFonts w:ascii="FrankRuehl" w:hAnsi="FrankRuehl" w:cs="FrankRuehl"/>
        <w:noProof/>
        <w:rtl/>
      </w:rPr>
      <w:t>1</w:t>
    </w:r>
    <w:r>
      <w:rPr>
        <w:rFonts w:ascii="FrankRuehl" w:hAnsi="FrankRuehl" w:cs="FrankRuehl"/>
        <w:rtl/>
      </w:rPr>
      <w:fldChar w:fldCharType="end"/>
    </w:r>
  </w:p>
  <w:p w14:paraId="0551DA6B" w14:textId="77777777" w:rsidR="00BD52C6" w:rsidRPr="00BE13F8" w:rsidRDefault="00BD52C6" w:rsidP="00BE13F8">
    <w:pPr>
      <w:pStyle w:val="a4"/>
      <w:pBdr>
        <w:top w:val="single" w:sz="4" w:space="1" w:color="auto"/>
        <w:between w:val="single" w:sz="4" w:space="0" w:color="auto"/>
      </w:pBdr>
      <w:spacing w:after="60"/>
      <w:jc w:val="center"/>
      <w:rPr>
        <w:rFonts w:ascii="FrankRuehl" w:hAnsi="FrankRuehl" w:cs="FrankRuehl"/>
        <w:color w:val="000000"/>
      </w:rPr>
    </w:pPr>
    <w:r w:rsidRPr="00BE13F8">
      <w:rPr>
        <w:rFonts w:ascii="FrankRuehl" w:hAnsi="FrankRuehl" w:cs="FrankRuehl"/>
        <w:color w:val="000000"/>
      </w:rPr>
      <w:pict w14:anchorId="6231B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784F4" w14:textId="77777777" w:rsidR="00020CC6" w:rsidRPr="00363E80" w:rsidRDefault="00020CC6">
      <w:pPr>
        <w:rPr>
          <w:rFonts w:cs="Arial"/>
          <w:szCs w:val="20"/>
        </w:rPr>
      </w:pPr>
      <w:r>
        <w:separator/>
      </w:r>
    </w:p>
  </w:footnote>
  <w:footnote w:type="continuationSeparator" w:id="0">
    <w:p w14:paraId="524A73EB" w14:textId="77777777" w:rsidR="00020CC6" w:rsidRPr="00363E80" w:rsidRDefault="00020CC6">
      <w:pPr>
        <w:rPr>
          <w:rFonts w:cs="Arial"/>
          <w:szCs w:val="20"/>
        </w:rPr>
      </w:pPr>
      <w:r>
        <w:continuationSeparator/>
      </w:r>
    </w:p>
  </w:footnote>
  <w:footnote w:id="1">
    <w:p w14:paraId="29850142" w14:textId="77777777" w:rsidR="00BD52C6" w:rsidRDefault="00BD52C6" w:rsidP="00066AA4">
      <w:pPr>
        <w:pStyle w:val="a6"/>
      </w:pPr>
      <w:r>
        <w:rPr>
          <w:rStyle w:val="a8"/>
        </w:rPr>
        <w:footnoteRef/>
      </w:r>
      <w:r>
        <w:rPr>
          <w:rtl/>
        </w:rPr>
        <w:t xml:space="preserve"> </w:t>
      </w:r>
      <w:r>
        <w:rPr>
          <w:rtl/>
        </w:rPr>
        <w:tab/>
      </w:r>
      <w:r>
        <w:rPr>
          <w:rFonts w:hint="cs"/>
          <w:rtl/>
        </w:rPr>
        <w:t>לפי תיקון בהסכמה מיום 4.4.16;</w:t>
      </w:r>
    </w:p>
  </w:footnote>
  <w:footnote w:id="2">
    <w:p w14:paraId="6E8E065C" w14:textId="77777777" w:rsidR="00BD52C6" w:rsidRDefault="00BD52C6" w:rsidP="00066AA4">
      <w:pPr>
        <w:pStyle w:val="a6"/>
        <w:rPr>
          <w:rtl/>
        </w:rPr>
      </w:pPr>
      <w:r>
        <w:rPr>
          <w:rStyle w:val="a8"/>
        </w:rPr>
        <w:footnoteRef/>
      </w:r>
      <w:r>
        <w:rPr>
          <w:rtl/>
        </w:rPr>
        <w:t xml:space="preserve"> </w:t>
      </w:r>
      <w:r>
        <w:rPr>
          <w:rtl/>
        </w:rPr>
        <w:tab/>
      </w:r>
      <w:r>
        <w:rPr>
          <w:rFonts w:hint="cs"/>
          <w:rtl/>
        </w:rPr>
        <w:t xml:space="preserve">צוין בטעות </w:t>
      </w:r>
      <w:r>
        <w:rPr>
          <w:rtl/>
        </w:rPr>
        <w:t>–</w:t>
      </w:r>
      <w:r>
        <w:rPr>
          <w:rFonts w:hint="cs"/>
          <w:rtl/>
        </w:rPr>
        <w:t xml:space="preserve"> שתוקנה </w:t>
      </w:r>
      <w:r>
        <w:rPr>
          <w:rtl/>
        </w:rPr>
        <w:t>–</w:t>
      </w:r>
      <w:r>
        <w:rPr>
          <w:rFonts w:hint="cs"/>
          <w:rtl/>
        </w:rPr>
        <w:t xml:space="preserve"> כ</w:t>
      </w:r>
      <w:hyperlink r:id="rId1" w:history="1">
        <w:r w:rsidRPr="00A41770">
          <w:rPr>
            <w:color w:val="0000FF"/>
            <w:u w:val="single"/>
            <w:rtl/>
          </w:rPr>
          <w:t>ת"פ 38879-11-12</w:t>
        </w:r>
      </w:hyperlink>
      <w:r>
        <w:rPr>
          <w:rFonts w:hint="cs"/>
          <w:rtl/>
        </w:rPr>
        <w:t>;</w:t>
      </w:r>
    </w:p>
  </w:footnote>
  <w:footnote w:id="3">
    <w:p w14:paraId="5996D8E7" w14:textId="77777777" w:rsidR="00BD52C6" w:rsidRDefault="00BD52C6" w:rsidP="00066AA4">
      <w:pPr>
        <w:pStyle w:val="a6"/>
      </w:pPr>
      <w:r>
        <w:rPr>
          <w:rStyle w:val="a8"/>
        </w:rPr>
        <w:footnoteRef/>
      </w:r>
      <w:r>
        <w:rPr>
          <w:rtl/>
        </w:rPr>
        <w:t xml:space="preserve"> </w:t>
      </w:r>
      <w:r>
        <w:rPr>
          <w:rtl/>
        </w:rPr>
        <w:tab/>
      </w:r>
      <w:r>
        <w:rPr>
          <w:rFonts w:hint="cs"/>
          <w:rtl/>
        </w:rPr>
        <w:t>הודעת התביעה, ע' 16 לפרוט' 4.4.16;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BBC67" w14:textId="77777777" w:rsidR="00BD52C6" w:rsidRPr="00BE13F8" w:rsidRDefault="00BD52C6" w:rsidP="00BE13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45180-02-13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D783" w14:textId="77777777" w:rsidR="00BD52C6" w:rsidRPr="00BE13F8" w:rsidRDefault="00BD52C6" w:rsidP="00BE13F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45180-02-13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73E78"/>
    <w:multiLevelType w:val="hybridMultilevel"/>
    <w:tmpl w:val="8446D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6403EE"/>
    <w:multiLevelType w:val="hybridMultilevel"/>
    <w:tmpl w:val="E4F2B8E0"/>
    <w:lvl w:ilvl="0" w:tplc="0409000F">
      <w:start w:val="1"/>
      <w:numFmt w:val="decimal"/>
      <w:lvlText w:val="%1."/>
      <w:lvlJc w:val="left"/>
      <w:pPr>
        <w:ind w:left="360" w:hanging="360"/>
      </w:pPr>
    </w:lvl>
    <w:lvl w:ilvl="1" w:tplc="E0083BD8">
      <w:start w:val="1"/>
      <w:numFmt w:val="hebrew1"/>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6631FC"/>
    <w:multiLevelType w:val="hybridMultilevel"/>
    <w:tmpl w:val="FC60B86C"/>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1151D5"/>
    <w:multiLevelType w:val="hybridMultilevel"/>
    <w:tmpl w:val="607C0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314683"/>
    <w:multiLevelType w:val="hybridMultilevel"/>
    <w:tmpl w:val="6916D1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7062582">
    <w:abstractNumId w:val="1"/>
  </w:num>
  <w:num w:numId="2" w16cid:durableId="1102651633">
    <w:abstractNumId w:val="3"/>
  </w:num>
  <w:num w:numId="3" w16cid:durableId="108746581">
    <w:abstractNumId w:val="4"/>
  </w:num>
  <w:num w:numId="4" w16cid:durableId="746804054">
    <w:abstractNumId w:val="0"/>
  </w:num>
  <w:num w:numId="5" w16cid:durableId="1520074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6AA4"/>
    <w:rsid w:val="00020CC6"/>
    <w:rsid w:val="00066AA4"/>
    <w:rsid w:val="00174FB2"/>
    <w:rsid w:val="00593256"/>
    <w:rsid w:val="0085791A"/>
    <w:rsid w:val="008932E5"/>
    <w:rsid w:val="008E1DAF"/>
    <w:rsid w:val="009737D4"/>
    <w:rsid w:val="00A41770"/>
    <w:rsid w:val="00AC4701"/>
    <w:rsid w:val="00B1215F"/>
    <w:rsid w:val="00B21EF6"/>
    <w:rsid w:val="00B23DAB"/>
    <w:rsid w:val="00BD52C6"/>
    <w:rsid w:val="00BE1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83087B"/>
  <w15:chartTrackingRefBased/>
  <w15:docId w15:val="{2373FD8C-1693-4D8E-9ED6-8B62B116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6AA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66AA4"/>
    <w:pPr>
      <w:tabs>
        <w:tab w:val="center" w:pos="4153"/>
        <w:tab w:val="right" w:pos="8306"/>
      </w:tabs>
    </w:pPr>
  </w:style>
  <w:style w:type="paragraph" w:styleId="a4">
    <w:name w:val="footer"/>
    <w:basedOn w:val="a"/>
    <w:rsid w:val="00066AA4"/>
    <w:pPr>
      <w:tabs>
        <w:tab w:val="center" w:pos="4153"/>
        <w:tab w:val="right" w:pos="8306"/>
      </w:tabs>
    </w:pPr>
  </w:style>
  <w:style w:type="character" w:styleId="a5">
    <w:name w:val="page number"/>
    <w:basedOn w:val="a0"/>
    <w:rsid w:val="00066AA4"/>
  </w:style>
  <w:style w:type="paragraph" w:styleId="a6">
    <w:name w:val="footnote text"/>
    <w:basedOn w:val="a"/>
    <w:link w:val="a7"/>
    <w:rsid w:val="00066AA4"/>
    <w:rPr>
      <w:sz w:val="20"/>
      <w:szCs w:val="20"/>
    </w:rPr>
  </w:style>
  <w:style w:type="character" w:customStyle="1" w:styleId="a7">
    <w:name w:val="טקסט הערת שוליים תו"/>
    <w:link w:val="a6"/>
    <w:rsid w:val="00066AA4"/>
    <w:rPr>
      <w:rFonts w:cs="David"/>
      <w:lang w:val="en-US" w:eastAsia="en-US" w:bidi="he-IL"/>
    </w:rPr>
  </w:style>
  <w:style w:type="character" w:styleId="a8">
    <w:name w:val="footnote reference"/>
    <w:rsid w:val="00066AA4"/>
    <w:rPr>
      <w:vertAlign w:val="superscript"/>
    </w:rPr>
  </w:style>
  <w:style w:type="paragraph" w:customStyle="1" w:styleId="ListParagraph">
    <w:name w:val="List Paragraph"/>
    <w:basedOn w:val="a"/>
    <w:rsid w:val="00066AA4"/>
    <w:pPr>
      <w:ind w:left="720"/>
      <w:contextualSpacing/>
    </w:pPr>
  </w:style>
  <w:style w:type="character" w:styleId="Hyperlink">
    <w:name w:val="Hyperlink"/>
    <w:rsid w:val="00A41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4097092" TargetMode="External"/><Relationship Id="rId26" Type="http://schemas.openxmlformats.org/officeDocument/2006/relationships/hyperlink" Target="http://www.nevo.co.il/law/4216/7.c" TargetMode="External"/><Relationship Id="rId39" Type="http://schemas.openxmlformats.org/officeDocument/2006/relationships/footer" Target="footer1.xml"/><Relationship Id="rId21" Type="http://schemas.openxmlformats.org/officeDocument/2006/relationships/hyperlink" Target="http://www.nevo.co.il/case/8479617" TargetMode="External"/><Relationship Id="rId34" Type="http://schemas.openxmlformats.org/officeDocument/2006/relationships/hyperlink" Target="http://www.nevo.co.il/case/18793360"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45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 TargetMode="External"/><Relationship Id="rId24" Type="http://schemas.openxmlformats.org/officeDocument/2006/relationships/hyperlink" Target="http://www.nevo.co.il/case/6858937" TargetMode="External"/><Relationship Id="rId32" Type="http://schemas.openxmlformats.org/officeDocument/2006/relationships/hyperlink" Target="http://www.nevo.co.il/case/660323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793477"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491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1309010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4918/47.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009419"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4918/47.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19994719"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405441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1816</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10876</CharactersWithSpaces>
  <SharedDoc>false</SharedDoc>
  <HLinks>
    <vt:vector size="186" baseType="variant">
      <vt:variant>
        <vt:i4>393283</vt:i4>
      </vt:variant>
      <vt:variant>
        <vt:i4>87</vt:i4>
      </vt:variant>
      <vt:variant>
        <vt:i4>0</vt:i4>
      </vt:variant>
      <vt:variant>
        <vt:i4>5</vt:i4>
      </vt:variant>
      <vt:variant>
        <vt:lpwstr>http://www.nevo.co.il/advertisements/nevo-100.doc</vt:lpwstr>
      </vt:variant>
      <vt:variant>
        <vt:lpwstr/>
      </vt:variant>
      <vt:variant>
        <vt:i4>3801200</vt:i4>
      </vt:variant>
      <vt:variant>
        <vt:i4>84</vt:i4>
      </vt:variant>
      <vt:variant>
        <vt:i4>0</vt:i4>
      </vt:variant>
      <vt:variant>
        <vt:i4>5</vt:i4>
      </vt:variant>
      <vt:variant>
        <vt:lpwstr>http://www.nevo.co.il/case/20009419</vt:lpwstr>
      </vt:variant>
      <vt:variant>
        <vt:lpwstr/>
      </vt:variant>
      <vt:variant>
        <vt:i4>3342454</vt:i4>
      </vt:variant>
      <vt:variant>
        <vt:i4>81</vt:i4>
      </vt:variant>
      <vt:variant>
        <vt:i4>0</vt:i4>
      </vt:variant>
      <vt:variant>
        <vt:i4>5</vt:i4>
      </vt:variant>
      <vt:variant>
        <vt:lpwstr>http://www.nevo.co.il/case/18793360</vt:lpwstr>
      </vt:variant>
      <vt:variant>
        <vt:lpwstr/>
      </vt:variant>
      <vt:variant>
        <vt:i4>3997811</vt:i4>
      </vt:variant>
      <vt:variant>
        <vt:i4>78</vt:i4>
      </vt:variant>
      <vt:variant>
        <vt:i4>0</vt:i4>
      </vt:variant>
      <vt:variant>
        <vt:i4>5</vt:i4>
      </vt:variant>
      <vt:variant>
        <vt:lpwstr>http://www.nevo.co.il/case/19994719</vt:lpwstr>
      </vt:variant>
      <vt:variant>
        <vt:lpwstr/>
      </vt:variant>
      <vt:variant>
        <vt:i4>3932274</vt:i4>
      </vt:variant>
      <vt:variant>
        <vt:i4>75</vt:i4>
      </vt:variant>
      <vt:variant>
        <vt:i4>0</vt:i4>
      </vt:variant>
      <vt:variant>
        <vt:i4>5</vt:i4>
      </vt:variant>
      <vt:variant>
        <vt:lpwstr>http://www.nevo.co.il/case/6603238</vt:lpwstr>
      </vt:variant>
      <vt:variant>
        <vt:lpwstr/>
      </vt:variant>
      <vt:variant>
        <vt:i4>3211391</vt:i4>
      </vt:variant>
      <vt:variant>
        <vt:i4>72</vt:i4>
      </vt:variant>
      <vt:variant>
        <vt:i4>0</vt:i4>
      </vt:variant>
      <vt:variant>
        <vt:i4>5</vt:i4>
      </vt:variant>
      <vt:variant>
        <vt:lpwstr>http://www.nevo.co.il/case/13090102</vt:lpwstr>
      </vt:variant>
      <vt:variant>
        <vt:lpwstr/>
      </vt:variant>
      <vt:variant>
        <vt:i4>7995492</vt:i4>
      </vt:variant>
      <vt:variant>
        <vt:i4>69</vt:i4>
      </vt:variant>
      <vt:variant>
        <vt:i4>0</vt:i4>
      </vt:variant>
      <vt:variant>
        <vt:i4>5</vt:i4>
      </vt:variant>
      <vt:variant>
        <vt:lpwstr>http://www.nevo.co.il/law/70301</vt:lpwstr>
      </vt:variant>
      <vt:variant>
        <vt:lpwstr/>
      </vt:variant>
      <vt:variant>
        <vt:i4>6291553</vt:i4>
      </vt:variant>
      <vt:variant>
        <vt:i4>66</vt:i4>
      </vt:variant>
      <vt:variant>
        <vt:i4>0</vt:i4>
      </vt:variant>
      <vt:variant>
        <vt:i4>5</vt:i4>
      </vt:variant>
      <vt:variant>
        <vt:lpwstr>http://www.nevo.co.il/law/70301/452</vt:lpwstr>
      </vt:variant>
      <vt:variant>
        <vt:lpwstr/>
      </vt:variant>
      <vt:variant>
        <vt:i4>8323182</vt:i4>
      </vt:variant>
      <vt:variant>
        <vt:i4>63</vt:i4>
      </vt:variant>
      <vt:variant>
        <vt:i4>0</vt:i4>
      </vt:variant>
      <vt:variant>
        <vt:i4>5</vt:i4>
      </vt:variant>
      <vt:variant>
        <vt:lpwstr>http://www.nevo.co.il/law/74918</vt:lpwstr>
      </vt:variant>
      <vt:variant>
        <vt:lpwstr/>
      </vt:variant>
      <vt:variant>
        <vt:i4>393292</vt:i4>
      </vt:variant>
      <vt:variant>
        <vt:i4>60</vt:i4>
      </vt:variant>
      <vt:variant>
        <vt:i4>0</vt:i4>
      </vt:variant>
      <vt:variant>
        <vt:i4>5</vt:i4>
      </vt:variant>
      <vt:variant>
        <vt:lpwstr>http://www.nevo.co.il/law/74918/47.a</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3997815</vt:i4>
      </vt:variant>
      <vt:variant>
        <vt:i4>51</vt:i4>
      </vt:variant>
      <vt:variant>
        <vt:i4>0</vt:i4>
      </vt:variant>
      <vt:variant>
        <vt:i4>5</vt:i4>
      </vt:variant>
      <vt:variant>
        <vt:lpwstr>http://www.nevo.co.il/case/6858937</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4063352</vt:i4>
      </vt:variant>
      <vt:variant>
        <vt:i4>42</vt:i4>
      </vt:variant>
      <vt:variant>
        <vt:i4>0</vt:i4>
      </vt:variant>
      <vt:variant>
        <vt:i4>5</vt:i4>
      </vt:variant>
      <vt:variant>
        <vt:lpwstr>http://www.nevo.co.il/case/8479617</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4128890</vt:i4>
      </vt:variant>
      <vt:variant>
        <vt:i4>33</vt:i4>
      </vt:variant>
      <vt:variant>
        <vt:i4>0</vt:i4>
      </vt:variant>
      <vt:variant>
        <vt:i4>5</vt:i4>
      </vt:variant>
      <vt:variant>
        <vt:lpwstr>http://www.nevo.co.il/case/4097092</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3932279</vt:i4>
      </vt:variant>
      <vt:variant>
        <vt:i4>24</vt:i4>
      </vt:variant>
      <vt:variant>
        <vt:i4>0</vt:i4>
      </vt:variant>
      <vt:variant>
        <vt:i4>5</vt:i4>
      </vt:variant>
      <vt:variant>
        <vt:lpwstr>http://www.nevo.co.il/case/6793477</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393292</vt:i4>
      </vt:variant>
      <vt:variant>
        <vt:i4>15</vt:i4>
      </vt:variant>
      <vt:variant>
        <vt:i4>0</vt:i4>
      </vt:variant>
      <vt:variant>
        <vt:i4>5</vt:i4>
      </vt:variant>
      <vt:variant>
        <vt:lpwstr>http://www.nevo.co.il/law/74918/47.a</vt:lpwstr>
      </vt:variant>
      <vt:variant>
        <vt:lpwstr/>
      </vt:variant>
      <vt:variant>
        <vt:i4>8323182</vt:i4>
      </vt:variant>
      <vt:variant>
        <vt:i4>12</vt:i4>
      </vt:variant>
      <vt:variant>
        <vt:i4>0</vt:i4>
      </vt:variant>
      <vt:variant>
        <vt:i4>5</vt:i4>
      </vt:variant>
      <vt:variant>
        <vt:lpwstr>http://www.nevo.co.il/law/74918</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3932273</vt:i4>
      </vt:variant>
      <vt:variant>
        <vt:i4>0</vt:i4>
      </vt:variant>
      <vt:variant>
        <vt:i4>0</vt:i4>
      </vt:variant>
      <vt:variant>
        <vt:i4>5</vt:i4>
      </vt:variant>
      <vt:variant>
        <vt:lpwstr>http://www.nevo.co.il/case/4054419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45180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רעות בר טוב;איתן כבריאן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20160606</vt:lpwstr>
  </property>
  <property fmtid="{D5CDD505-2E9C-101B-9397-08002B2CF9AE}" pid="14" name="TYPE_N_DATE">
    <vt:lpwstr>38020160606</vt:lpwstr>
  </property>
  <property fmtid="{D5CDD505-2E9C-101B-9397-08002B2CF9AE}" pid="15" name="WORDNUMPAGES">
    <vt:lpwstr>6</vt:lpwstr>
  </property>
  <property fmtid="{D5CDD505-2E9C-101B-9397-08002B2CF9AE}" pid="16" name="TYPE_ABS_DATE">
    <vt:lpwstr>380020160606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6793477;4097092;8479617;6858937;13090102;6603238;19994719;18793360;20009419;4054419</vt:lpwstr>
  </property>
  <property fmtid="{D5CDD505-2E9C-101B-9397-08002B2CF9AE}" pid="36" name="LAWLISTTMP1">
    <vt:lpwstr>4216/013:2;007.a:6;007.c:6</vt:lpwstr>
  </property>
  <property fmtid="{D5CDD505-2E9C-101B-9397-08002B2CF9AE}" pid="37" name="LAWLISTTMP2">
    <vt:lpwstr>74918/047.a:2</vt:lpwstr>
  </property>
  <property fmtid="{D5CDD505-2E9C-101B-9397-08002B2CF9AE}" pid="38" name="LAWLISTTMP3">
    <vt:lpwstr>70301/452:2</vt:lpwstr>
  </property>
</Properties>
</file>