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A0131F" w:rsidRPr="008A5B10" w14:paraId="07B65632" w14:textId="77777777">
        <w:trPr>
          <w:trHeight w:hRule="exact" w:val="418"/>
          <w:jc w:val="center"/>
        </w:trPr>
        <w:tc>
          <w:tcPr>
            <w:tcW w:w="8721" w:type="dxa"/>
            <w:gridSpan w:val="2"/>
          </w:tcPr>
          <w:p w14:paraId="6D58EE2E" w14:textId="77777777" w:rsidR="00A0131F" w:rsidRPr="008A5B10" w:rsidRDefault="008A5B10">
            <w:pPr>
              <w:pStyle w:val="a3"/>
              <w:jc w:val="center"/>
              <w:rPr>
                <w:rFonts w:ascii="Tahoma" w:hAnsi="Tahoma" w:cs="Tahoma"/>
                <w:color w:val="000080"/>
                <w:rtl/>
              </w:rPr>
            </w:pPr>
            <w:bookmarkStart w:id="0" w:name="LastJudge"/>
            <w:r w:rsidRPr="008A5B10">
              <w:rPr>
                <w:rFonts w:ascii="Tahoma" w:hAnsi="Tahoma" w:cs="Tahoma"/>
                <w:b/>
                <w:bCs/>
                <w:color w:val="000080"/>
                <w:rtl/>
              </w:rPr>
              <w:t>בית משפט השלום בירושלים</w:t>
            </w:r>
          </w:p>
        </w:tc>
      </w:tr>
      <w:tr w:rsidR="00A0131F" w:rsidRPr="008A5B10" w14:paraId="0ADA158D" w14:textId="77777777">
        <w:trPr>
          <w:trHeight w:val="337"/>
          <w:jc w:val="center"/>
        </w:trPr>
        <w:tc>
          <w:tcPr>
            <w:tcW w:w="5050" w:type="dxa"/>
          </w:tcPr>
          <w:p w14:paraId="79157CD3" w14:textId="77777777" w:rsidR="00A0131F" w:rsidRPr="008A5B10" w:rsidRDefault="008A5B10">
            <w:pPr>
              <w:rPr>
                <w:rFonts w:cs="FrankRuehl"/>
                <w:sz w:val="28"/>
                <w:szCs w:val="28"/>
                <w:rtl/>
              </w:rPr>
            </w:pPr>
            <w:r w:rsidRPr="008A5B10">
              <w:rPr>
                <w:rFonts w:cs="FrankRuehl"/>
                <w:sz w:val="28"/>
                <w:szCs w:val="28"/>
                <w:rtl/>
              </w:rPr>
              <w:t>ת"פ</w:t>
            </w:r>
            <w:r w:rsidRPr="008A5B10">
              <w:rPr>
                <w:rFonts w:cs="FrankRuehl" w:hint="cs"/>
                <w:sz w:val="28"/>
                <w:szCs w:val="28"/>
                <w:rtl/>
              </w:rPr>
              <w:t xml:space="preserve"> </w:t>
            </w:r>
            <w:r w:rsidRPr="008A5B10">
              <w:rPr>
                <w:rFonts w:cs="FrankRuehl"/>
                <w:sz w:val="28"/>
                <w:szCs w:val="28"/>
                <w:rtl/>
              </w:rPr>
              <w:t>46354-02-13</w:t>
            </w:r>
            <w:r w:rsidRPr="008A5B10">
              <w:rPr>
                <w:rFonts w:cs="FrankRuehl" w:hint="cs"/>
                <w:sz w:val="28"/>
                <w:szCs w:val="28"/>
                <w:rtl/>
              </w:rPr>
              <w:t xml:space="preserve"> </w:t>
            </w:r>
            <w:r w:rsidRPr="008A5B10">
              <w:rPr>
                <w:rFonts w:cs="FrankRuehl"/>
                <w:sz w:val="28"/>
                <w:szCs w:val="28"/>
                <w:rtl/>
              </w:rPr>
              <w:t>מדינת ישראל נ' נח</w:t>
            </w:r>
          </w:p>
        </w:tc>
        <w:tc>
          <w:tcPr>
            <w:tcW w:w="3671" w:type="dxa"/>
          </w:tcPr>
          <w:p w14:paraId="4862A17D" w14:textId="77777777" w:rsidR="00A0131F" w:rsidRPr="008A5B10" w:rsidRDefault="008A5B10">
            <w:pPr>
              <w:pStyle w:val="a3"/>
              <w:jc w:val="right"/>
              <w:rPr>
                <w:rFonts w:cs="FrankRuehl"/>
                <w:sz w:val="28"/>
                <w:szCs w:val="28"/>
                <w:rtl/>
              </w:rPr>
            </w:pPr>
            <w:r w:rsidRPr="008A5B10">
              <w:rPr>
                <w:rFonts w:cs="FrankRuehl"/>
                <w:sz w:val="28"/>
                <w:szCs w:val="28"/>
                <w:rtl/>
              </w:rPr>
              <w:t>19 מרץ 2015</w:t>
            </w:r>
          </w:p>
        </w:tc>
      </w:tr>
    </w:tbl>
    <w:p w14:paraId="6B796D3B" w14:textId="77777777" w:rsidR="00A0131F" w:rsidRPr="008A5B10" w:rsidRDefault="008A5B10">
      <w:pPr>
        <w:pStyle w:val="a3"/>
        <w:rPr>
          <w:rtl/>
        </w:rPr>
      </w:pPr>
      <w:r w:rsidRPr="008A5B10">
        <w:rPr>
          <w:rFonts w:hint="cs"/>
          <w:rtl/>
        </w:rPr>
        <w:t xml:space="preserve"> </w:t>
      </w:r>
    </w:p>
    <w:p w14:paraId="2C605451" w14:textId="77777777" w:rsidR="00A0131F" w:rsidRPr="008A5B10" w:rsidRDefault="008A5B10">
      <w:pPr>
        <w:pStyle w:val="a3"/>
      </w:pPr>
      <w:r w:rsidRPr="008A5B10">
        <w:rPr>
          <w:rFonts w:cs="Times New Roman" w:hint="cs"/>
          <w:b/>
          <w:bCs/>
          <w:sz w:val="26"/>
          <w:szCs w:val="28"/>
          <w:rtl/>
        </w:rPr>
        <w:t xml:space="preserve"> </w:t>
      </w:r>
    </w:p>
    <w:p w14:paraId="068F5FDA" w14:textId="77777777" w:rsidR="00A0131F" w:rsidRPr="008A5B10" w:rsidRDefault="00A0131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0131F" w:rsidRPr="008A5B10" w14:paraId="513400AF" w14:textId="77777777">
        <w:trPr>
          <w:trHeight w:val="295"/>
          <w:jc w:val="center"/>
        </w:trPr>
        <w:tc>
          <w:tcPr>
            <w:tcW w:w="923" w:type="dxa"/>
            <w:tcBorders>
              <w:top w:val="nil"/>
              <w:left w:val="nil"/>
              <w:bottom w:val="nil"/>
              <w:right w:val="nil"/>
            </w:tcBorders>
          </w:tcPr>
          <w:p w14:paraId="455CD90E" w14:textId="77777777" w:rsidR="00A0131F" w:rsidRPr="008A5B10" w:rsidRDefault="008A5B10">
            <w:pPr>
              <w:jc w:val="both"/>
              <w:rPr>
                <w:rFonts w:ascii="Arial" w:hAnsi="Arial" w:cs="FrankRuehl"/>
                <w:sz w:val="28"/>
                <w:szCs w:val="28"/>
              </w:rPr>
            </w:pPr>
            <w:r w:rsidRPr="008A5B10">
              <w:rPr>
                <w:rFonts w:ascii="Arial" w:hAnsi="Arial" w:cs="FrankRuehl" w:hint="cs"/>
                <w:sz w:val="28"/>
                <w:szCs w:val="28"/>
                <w:rtl/>
              </w:rPr>
              <w:t>ב</w:t>
            </w:r>
            <w:r w:rsidRPr="008A5B10">
              <w:rPr>
                <w:rFonts w:ascii="Arial" w:hAnsi="Arial" w:cs="FrankRuehl"/>
                <w:sz w:val="28"/>
                <w:szCs w:val="28"/>
                <w:rtl/>
              </w:rPr>
              <w:t xml:space="preserve">פני </w:t>
            </w:r>
          </w:p>
        </w:tc>
        <w:tc>
          <w:tcPr>
            <w:tcW w:w="7897" w:type="dxa"/>
            <w:gridSpan w:val="2"/>
            <w:tcBorders>
              <w:top w:val="nil"/>
              <w:left w:val="nil"/>
              <w:bottom w:val="nil"/>
              <w:right w:val="nil"/>
            </w:tcBorders>
          </w:tcPr>
          <w:p w14:paraId="15FFC408" w14:textId="77777777" w:rsidR="00A0131F" w:rsidRPr="008A5B10" w:rsidRDefault="008A5B10">
            <w:pPr>
              <w:rPr>
                <w:rFonts w:ascii="Arial" w:hAnsi="Arial" w:cs="FrankRuehl"/>
                <w:b/>
                <w:bCs/>
                <w:sz w:val="28"/>
                <w:szCs w:val="28"/>
                <w:rtl/>
              </w:rPr>
            </w:pPr>
            <w:r w:rsidRPr="008A5B10">
              <w:rPr>
                <w:rFonts w:ascii="Arial" w:hAnsi="Arial" w:cs="FrankRuehl" w:hint="cs"/>
                <w:b/>
                <w:bCs/>
                <w:sz w:val="28"/>
                <w:szCs w:val="28"/>
                <w:rtl/>
              </w:rPr>
              <w:t>כב' השופטת דנה כהן-לקח</w:t>
            </w:r>
          </w:p>
          <w:p w14:paraId="1010277F" w14:textId="77777777" w:rsidR="00A0131F" w:rsidRPr="008A5B10" w:rsidRDefault="00A0131F">
            <w:pPr>
              <w:rPr>
                <w:rtl/>
              </w:rPr>
            </w:pPr>
          </w:p>
          <w:p w14:paraId="56C7FCA4" w14:textId="77777777" w:rsidR="00A0131F" w:rsidRPr="008A5B10" w:rsidRDefault="00A0131F">
            <w:pPr>
              <w:jc w:val="both"/>
              <w:rPr>
                <w:rFonts w:ascii="Arial" w:hAnsi="Arial" w:cs="FrankRuehl"/>
                <w:sz w:val="28"/>
                <w:szCs w:val="28"/>
              </w:rPr>
            </w:pPr>
          </w:p>
        </w:tc>
      </w:tr>
      <w:tr w:rsidR="00A0131F" w:rsidRPr="008A5B10" w14:paraId="42EE96EC" w14:textId="77777777">
        <w:trPr>
          <w:trHeight w:val="355"/>
          <w:jc w:val="center"/>
        </w:trPr>
        <w:tc>
          <w:tcPr>
            <w:tcW w:w="923" w:type="dxa"/>
            <w:tcBorders>
              <w:top w:val="nil"/>
              <w:left w:val="nil"/>
              <w:bottom w:val="nil"/>
              <w:right w:val="nil"/>
            </w:tcBorders>
          </w:tcPr>
          <w:p w14:paraId="530B22FF" w14:textId="77777777" w:rsidR="00A0131F" w:rsidRPr="008A5B10" w:rsidRDefault="008A5B10">
            <w:pPr>
              <w:jc w:val="both"/>
              <w:rPr>
                <w:rFonts w:ascii="Arial" w:hAnsi="Arial" w:cs="FrankRuehl"/>
                <w:sz w:val="28"/>
                <w:szCs w:val="28"/>
              </w:rPr>
            </w:pPr>
            <w:bookmarkStart w:id="1" w:name="FirstAppellant"/>
            <w:r w:rsidRPr="008A5B10">
              <w:rPr>
                <w:rFonts w:ascii="Arial" w:hAnsi="Arial" w:cs="FrankRuehl" w:hint="cs"/>
                <w:sz w:val="28"/>
                <w:szCs w:val="28"/>
                <w:rtl/>
              </w:rPr>
              <w:t>בעניין:</w:t>
            </w:r>
          </w:p>
        </w:tc>
        <w:tc>
          <w:tcPr>
            <w:tcW w:w="4126" w:type="dxa"/>
            <w:tcBorders>
              <w:top w:val="nil"/>
              <w:left w:val="nil"/>
              <w:bottom w:val="nil"/>
              <w:right w:val="nil"/>
            </w:tcBorders>
          </w:tcPr>
          <w:p w14:paraId="6D4A8047" w14:textId="77777777" w:rsidR="00A0131F" w:rsidRPr="008A5B10" w:rsidRDefault="008A5B10">
            <w:r w:rsidRPr="008A5B10">
              <w:rPr>
                <w:rFonts w:hint="cs"/>
                <w:rtl/>
              </w:rPr>
              <w:t>מדינת ישראל</w:t>
            </w:r>
          </w:p>
        </w:tc>
        <w:tc>
          <w:tcPr>
            <w:tcW w:w="3771" w:type="dxa"/>
            <w:tcBorders>
              <w:top w:val="nil"/>
              <w:left w:val="nil"/>
              <w:bottom w:val="nil"/>
              <w:right w:val="nil"/>
            </w:tcBorders>
          </w:tcPr>
          <w:p w14:paraId="5E28165B" w14:textId="77777777" w:rsidR="00A0131F" w:rsidRPr="008A5B10" w:rsidRDefault="00A0131F">
            <w:pPr>
              <w:jc w:val="both"/>
              <w:rPr>
                <w:rFonts w:ascii="Arial" w:hAnsi="Arial" w:cs="FrankRuehl"/>
                <w:sz w:val="28"/>
                <w:szCs w:val="28"/>
              </w:rPr>
            </w:pPr>
          </w:p>
        </w:tc>
      </w:tr>
      <w:bookmarkEnd w:id="1"/>
      <w:tr w:rsidR="00A0131F" w:rsidRPr="008A5B10" w14:paraId="4733D27A" w14:textId="77777777">
        <w:trPr>
          <w:trHeight w:val="355"/>
          <w:jc w:val="center"/>
        </w:trPr>
        <w:tc>
          <w:tcPr>
            <w:tcW w:w="923" w:type="dxa"/>
            <w:tcBorders>
              <w:top w:val="nil"/>
              <w:left w:val="nil"/>
              <w:bottom w:val="nil"/>
              <w:right w:val="nil"/>
            </w:tcBorders>
          </w:tcPr>
          <w:p w14:paraId="5620AADC" w14:textId="77777777" w:rsidR="00A0131F" w:rsidRPr="008A5B10" w:rsidRDefault="00A0131F">
            <w:pPr>
              <w:jc w:val="both"/>
              <w:rPr>
                <w:rFonts w:ascii="Arial" w:hAnsi="Arial" w:cs="FrankRuehl"/>
                <w:sz w:val="28"/>
                <w:szCs w:val="28"/>
                <w:rtl/>
              </w:rPr>
            </w:pPr>
          </w:p>
        </w:tc>
        <w:tc>
          <w:tcPr>
            <w:tcW w:w="4126" w:type="dxa"/>
            <w:tcBorders>
              <w:top w:val="nil"/>
              <w:left w:val="nil"/>
              <w:bottom w:val="nil"/>
              <w:right w:val="nil"/>
            </w:tcBorders>
          </w:tcPr>
          <w:p w14:paraId="3E478C91" w14:textId="77777777" w:rsidR="00A0131F" w:rsidRPr="008A5B10" w:rsidRDefault="00A0131F">
            <w:pPr>
              <w:jc w:val="both"/>
              <w:rPr>
                <w:rtl/>
              </w:rPr>
            </w:pPr>
          </w:p>
        </w:tc>
        <w:tc>
          <w:tcPr>
            <w:tcW w:w="3771" w:type="dxa"/>
            <w:tcBorders>
              <w:top w:val="nil"/>
              <w:left w:val="nil"/>
              <w:bottom w:val="nil"/>
              <w:right w:val="nil"/>
            </w:tcBorders>
          </w:tcPr>
          <w:p w14:paraId="59E87DED" w14:textId="77777777" w:rsidR="00A0131F" w:rsidRPr="008A5B10" w:rsidRDefault="008A5B10">
            <w:pPr>
              <w:jc w:val="right"/>
              <w:rPr>
                <w:rFonts w:ascii="Arial" w:hAnsi="Arial" w:cs="FrankRuehl"/>
                <w:sz w:val="28"/>
                <w:szCs w:val="28"/>
                <w:rtl/>
              </w:rPr>
            </w:pPr>
            <w:r w:rsidRPr="008A5B10">
              <w:rPr>
                <w:rFonts w:ascii="Arial" w:hAnsi="Arial" w:cs="FrankRuehl" w:hint="cs"/>
                <w:sz w:val="28"/>
                <w:szCs w:val="28"/>
                <w:rtl/>
              </w:rPr>
              <w:t>ה</w:t>
            </w:r>
            <w:r w:rsidRPr="008A5B10">
              <w:rPr>
                <w:rFonts w:hint="cs"/>
                <w:rtl/>
              </w:rPr>
              <w:t>מאשימה</w:t>
            </w:r>
          </w:p>
        </w:tc>
      </w:tr>
      <w:tr w:rsidR="00A0131F" w:rsidRPr="008A5B10" w14:paraId="030D6088" w14:textId="77777777">
        <w:trPr>
          <w:trHeight w:val="355"/>
          <w:jc w:val="center"/>
        </w:trPr>
        <w:tc>
          <w:tcPr>
            <w:tcW w:w="923" w:type="dxa"/>
            <w:tcBorders>
              <w:top w:val="nil"/>
              <w:left w:val="nil"/>
              <w:bottom w:val="nil"/>
              <w:right w:val="nil"/>
            </w:tcBorders>
          </w:tcPr>
          <w:p w14:paraId="2A1E62F2" w14:textId="77777777" w:rsidR="00A0131F" w:rsidRPr="008A5B10" w:rsidRDefault="00A0131F">
            <w:pPr>
              <w:jc w:val="both"/>
              <w:rPr>
                <w:rFonts w:ascii="Arial" w:hAnsi="Arial" w:cs="FrankRuehl"/>
                <w:sz w:val="28"/>
                <w:szCs w:val="28"/>
                <w:rtl/>
              </w:rPr>
            </w:pPr>
          </w:p>
        </w:tc>
        <w:tc>
          <w:tcPr>
            <w:tcW w:w="7897" w:type="dxa"/>
            <w:gridSpan w:val="2"/>
            <w:tcBorders>
              <w:top w:val="nil"/>
              <w:left w:val="nil"/>
              <w:bottom w:val="nil"/>
              <w:right w:val="nil"/>
            </w:tcBorders>
          </w:tcPr>
          <w:p w14:paraId="6AC6A279" w14:textId="77777777" w:rsidR="00A0131F" w:rsidRPr="008A5B10" w:rsidRDefault="00A0131F">
            <w:pPr>
              <w:jc w:val="center"/>
              <w:rPr>
                <w:rFonts w:ascii="Arial" w:hAnsi="Arial" w:cs="FrankRuehl"/>
                <w:b/>
                <w:bCs/>
                <w:sz w:val="28"/>
                <w:szCs w:val="28"/>
                <w:rtl/>
              </w:rPr>
            </w:pPr>
          </w:p>
          <w:p w14:paraId="6153DD83" w14:textId="77777777" w:rsidR="00A0131F" w:rsidRPr="008A5B10" w:rsidRDefault="008A5B10">
            <w:pPr>
              <w:jc w:val="center"/>
              <w:rPr>
                <w:rFonts w:ascii="Arial" w:hAnsi="Arial" w:cs="FrankRuehl"/>
                <w:b/>
                <w:bCs/>
                <w:sz w:val="28"/>
                <w:szCs w:val="28"/>
                <w:rtl/>
              </w:rPr>
            </w:pPr>
            <w:r w:rsidRPr="008A5B10">
              <w:rPr>
                <w:rFonts w:ascii="Arial" w:hAnsi="Arial" w:cs="FrankRuehl"/>
                <w:b/>
                <w:bCs/>
                <w:sz w:val="28"/>
                <w:szCs w:val="28"/>
                <w:rtl/>
              </w:rPr>
              <w:t>נגד</w:t>
            </w:r>
          </w:p>
          <w:p w14:paraId="6965D79C" w14:textId="77777777" w:rsidR="00A0131F" w:rsidRPr="008A5B10" w:rsidRDefault="00A0131F">
            <w:pPr>
              <w:jc w:val="both"/>
              <w:rPr>
                <w:rFonts w:ascii="Arial" w:hAnsi="Arial" w:cs="FrankRuehl"/>
                <w:sz w:val="28"/>
                <w:szCs w:val="28"/>
              </w:rPr>
            </w:pPr>
          </w:p>
        </w:tc>
      </w:tr>
      <w:tr w:rsidR="00A0131F" w:rsidRPr="008A5B10" w14:paraId="074CF731" w14:textId="77777777">
        <w:trPr>
          <w:trHeight w:val="355"/>
          <w:jc w:val="center"/>
        </w:trPr>
        <w:tc>
          <w:tcPr>
            <w:tcW w:w="923" w:type="dxa"/>
            <w:tcBorders>
              <w:top w:val="nil"/>
              <w:left w:val="nil"/>
              <w:bottom w:val="nil"/>
              <w:right w:val="nil"/>
            </w:tcBorders>
          </w:tcPr>
          <w:p w14:paraId="333CE140" w14:textId="77777777" w:rsidR="00A0131F" w:rsidRPr="008A5B10" w:rsidRDefault="00A0131F">
            <w:pPr>
              <w:jc w:val="both"/>
              <w:rPr>
                <w:rFonts w:ascii="Arial" w:hAnsi="Arial" w:cs="FrankRuehl"/>
                <w:sz w:val="28"/>
                <w:szCs w:val="28"/>
                <w:rtl/>
              </w:rPr>
            </w:pPr>
          </w:p>
        </w:tc>
        <w:tc>
          <w:tcPr>
            <w:tcW w:w="4126" w:type="dxa"/>
            <w:tcBorders>
              <w:top w:val="nil"/>
              <w:left w:val="nil"/>
              <w:bottom w:val="nil"/>
              <w:right w:val="nil"/>
            </w:tcBorders>
          </w:tcPr>
          <w:p w14:paraId="419A35A9" w14:textId="77777777" w:rsidR="00A0131F" w:rsidRPr="008A5B10" w:rsidRDefault="008A5B10">
            <w:pPr>
              <w:jc w:val="both"/>
              <w:rPr>
                <w:rtl/>
              </w:rPr>
            </w:pPr>
            <w:r w:rsidRPr="008A5B10">
              <w:rPr>
                <w:rFonts w:hint="cs"/>
                <w:rtl/>
              </w:rPr>
              <w:t>אליהו חי נח</w:t>
            </w:r>
          </w:p>
        </w:tc>
        <w:tc>
          <w:tcPr>
            <w:tcW w:w="3771" w:type="dxa"/>
            <w:tcBorders>
              <w:top w:val="nil"/>
              <w:left w:val="nil"/>
              <w:bottom w:val="nil"/>
              <w:right w:val="nil"/>
            </w:tcBorders>
          </w:tcPr>
          <w:p w14:paraId="540963F8" w14:textId="77777777" w:rsidR="00A0131F" w:rsidRPr="008A5B10" w:rsidRDefault="00A0131F">
            <w:pPr>
              <w:jc w:val="right"/>
              <w:rPr>
                <w:rFonts w:ascii="Arial" w:hAnsi="Arial" w:cs="FrankRuehl"/>
                <w:sz w:val="28"/>
                <w:szCs w:val="28"/>
              </w:rPr>
            </w:pPr>
          </w:p>
        </w:tc>
      </w:tr>
      <w:tr w:rsidR="00A0131F" w:rsidRPr="008A5B10" w14:paraId="01194460" w14:textId="77777777">
        <w:trPr>
          <w:trHeight w:val="355"/>
          <w:jc w:val="center"/>
        </w:trPr>
        <w:tc>
          <w:tcPr>
            <w:tcW w:w="923" w:type="dxa"/>
            <w:tcBorders>
              <w:top w:val="nil"/>
              <w:left w:val="nil"/>
              <w:bottom w:val="nil"/>
              <w:right w:val="nil"/>
            </w:tcBorders>
          </w:tcPr>
          <w:p w14:paraId="2EB3BAF7" w14:textId="77777777" w:rsidR="00A0131F" w:rsidRPr="008A5B10" w:rsidRDefault="00A0131F">
            <w:pPr>
              <w:jc w:val="both"/>
              <w:rPr>
                <w:rFonts w:ascii="Arial" w:hAnsi="Arial" w:cs="FrankRuehl"/>
                <w:sz w:val="28"/>
                <w:szCs w:val="28"/>
                <w:rtl/>
              </w:rPr>
            </w:pPr>
          </w:p>
        </w:tc>
        <w:tc>
          <w:tcPr>
            <w:tcW w:w="4126" w:type="dxa"/>
            <w:tcBorders>
              <w:top w:val="nil"/>
              <w:left w:val="nil"/>
              <w:bottom w:val="nil"/>
              <w:right w:val="nil"/>
            </w:tcBorders>
          </w:tcPr>
          <w:p w14:paraId="401856FE" w14:textId="77777777" w:rsidR="00A0131F" w:rsidRPr="008A5B10" w:rsidRDefault="00A0131F">
            <w:pPr>
              <w:jc w:val="both"/>
              <w:rPr>
                <w:rtl/>
              </w:rPr>
            </w:pPr>
          </w:p>
        </w:tc>
        <w:tc>
          <w:tcPr>
            <w:tcW w:w="3771" w:type="dxa"/>
            <w:tcBorders>
              <w:top w:val="nil"/>
              <w:left w:val="nil"/>
              <w:bottom w:val="nil"/>
              <w:right w:val="nil"/>
            </w:tcBorders>
          </w:tcPr>
          <w:p w14:paraId="00CE3022" w14:textId="77777777" w:rsidR="00A0131F" w:rsidRPr="008A5B10" w:rsidRDefault="008A5B10">
            <w:pPr>
              <w:jc w:val="right"/>
              <w:rPr>
                <w:rFonts w:ascii="Arial" w:hAnsi="Arial" w:cs="FrankRuehl"/>
                <w:sz w:val="28"/>
                <w:szCs w:val="28"/>
              </w:rPr>
            </w:pPr>
            <w:r w:rsidRPr="008A5B10">
              <w:rPr>
                <w:rFonts w:ascii="Arial" w:hAnsi="Arial" w:cs="FrankRuehl" w:hint="cs"/>
                <w:sz w:val="28"/>
                <w:szCs w:val="28"/>
                <w:rtl/>
              </w:rPr>
              <w:t>ה</w:t>
            </w:r>
            <w:r w:rsidRPr="008A5B10">
              <w:rPr>
                <w:rFonts w:hint="cs"/>
                <w:rtl/>
              </w:rPr>
              <w:t>נאשם</w:t>
            </w:r>
          </w:p>
        </w:tc>
      </w:tr>
      <w:tr w:rsidR="00A0131F" w14:paraId="4A4CF6CE" w14:textId="77777777">
        <w:trPr>
          <w:trHeight w:val="355"/>
          <w:jc w:val="center"/>
        </w:trPr>
        <w:tc>
          <w:tcPr>
            <w:tcW w:w="8820" w:type="dxa"/>
            <w:gridSpan w:val="3"/>
            <w:tcBorders>
              <w:top w:val="nil"/>
              <w:left w:val="nil"/>
              <w:bottom w:val="nil"/>
              <w:right w:val="nil"/>
            </w:tcBorders>
          </w:tcPr>
          <w:p w14:paraId="4160B6F2" w14:textId="77777777" w:rsidR="0000338C" w:rsidRDefault="0000338C" w:rsidP="008A5B10">
            <w:pPr>
              <w:jc w:val="center"/>
              <w:rPr>
                <w:rFonts w:ascii="Arial" w:hAnsi="Arial" w:cs="FrankRuehl"/>
                <w:sz w:val="34"/>
                <w:szCs w:val="34"/>
                <w:rtl/>
              </w:rPr>
            </w:pPr>
            <w:bookmarkStart w:id="2" w:name="PsakDin" w:colFirst="0" w:colLast="0"/>
            <w:bookmarkStart w:id="3" w:name="LawTable"/>
            <w:bookmarkEnd w:id="0"/>
            <w:bookmarkEnd w:id="3"/>
          </w:p>
          <w:p w14:paraId="36573D5D" w14:textId="77777777" w:rsidR="0000338C" w:rsidRPr="0000338C" w:rsidRDefault="0000338C" w:rsidP="0000338C">
            <w:pPr>
              <w:spacing w:after="120" w:line="240" w:lineRule="exact"/>
              <w:ind w:left="283" w:hanging="283"/>
              <w:jc w:val="both"/>
              <w:rPr>
                <w:rFonts w:ascii="FrankRuehl" w:hAnsi="FrankRuehl" w:cs="FrankRuehl"/>
                <w:rtl/>
              </w:rPr>
            </w:pPr>
          </w:p>
          <w:p w14:paraId="4BD9E30A" w14:textId="77777777" w:rsidR="0000338C" w:rsidRPr="0000338C" w:rsidRDefault="0000338C" w:rsidP="0000338C">
            <w:pPr>
              <w:spacing w:after="120" w:line="240" w:lineRule="exact"/>
              <w:ind w:left="283" w:hanging="283"/>
              <w:jc w:val="both"/>
              <w:rPr>
                <w:rFonts w:ascii="FrankRuehl" w:hAnsi="FrankRuehl" w:cs="FrankRuehl"/>
                <w:rtl/>
              </w:rPr>
            </w:pPr>
            <w:r w:rsidRPr="0000338C">
              <w:rPr>
                <w:rFonts w:ascii="FrankRuehl" w:hAnsi="FrankRuehl" w:cs="FrankRuehl"/>
                <w:rtl/>
              </w:rPr>
              <w:t xml:space="preserve">חקיקה שאוזכרה: </w:t>
            </w:r>
          </w:p>
          <w:p w14:paraId="00E7D0B3" w14:textId="77777777" w:rsidR="0000338C" w:rsidRPr="0000338C" w:rsidRDefault="0000338C" w:rsidP="0000338C">
            <w:pPr>
              <w:spacing w:after="120" w:line="240" w:lineRule="exact"/>
              <w:ind w:left="283" w:hanging="283"/>
              <w:jc w:val="both"/>
              <w:rPr>
                <w:rFonts w:ascii="FrankRuehl" w:hAnsi="FrankRuehl" w:cs="FrankRuehl"/>
                <w:rtl/>
              </w:rPr>
            </w:pPr>
            <w:hyperlink r:id="rId6" w:history="1">
              <w:r w:rsidRPr="0000338C">
                <w:rPr>
                  <w:rFonts w:ascii="FrankRuehl" w:hAnsi="FrankRuehl" w:cs="FrankRuehl"/>
                  <w:color w:val="0000FF"/>
                  <w:u w:val="single"/>
                  <w:rtl/>
                </w:rPr>
                <w:t>חוק העונשין, תשל"ז-1977</w:t>
              </w:r>
            </w:hyperlink>
            <w:r w:rsidRPr="0000338C">
              <w:rPr>
                <w:rFonts w:ascii="FrankRuehl" w:hAnsi="FrankRuehl" w:cs="FrankRuehl"/>
                <w:rtl/>
              </w:rPr>
              <w:t xml:space="preserve">: סע'  </w:t>
            </w:r>
            <w:hyperlink r:id="rId7" w:history="1">
              <w:r w:rsidRPr="0000338C">
                <w:rPr>
                  <w:rFonts w:ascii="FrankRuehl" w:hAnsi="FrankRuehl" w:cs="FrankRuehl"/>
                  <w:color w:val="0000FF"/>
                  <w:u w:val="single"/>
                  <w:rtl/>
                </w:rPr>
                <w:t>40ג(א)</w:t>
              </w:r>
            </w:hyperlink>
            <w:r w:rsidRPr="0000338C">
              <w:rPr>
                <w:rFonts w:ascii="FrankRuehl" w:hAnsi="FrankRuehl" w:cs="FrankRuehl"/>
                <w:rtl/>
              </w:rPr>
              <w:t xml:space="preserve">, </w:t>
            </w:r>
            <w:hyperlink r:id="rId8" w:history="1">
              <w:r w:rsidRPr="0000338C">
                <w:rPr>
                  <w:rFonts w:ascii="FrankRuehl" w:hAnsi="FrankRuehl" w:cs="FrankRuehl"/>
                  <w:color w:val="0000FF"/>
                  <w:u w:val="single"/>
                  <w:rtl/>
                </w:rPr>
                <w:t>40ד(א)</w:t>
              </w:r>
            </w:hyperlink>
            <w:r w:rsidRPr="0000338C">
              <w:rPr>
                <w:rFonts w:ascii="FrankRuehl" w:hAnsi="FrankRuehl" w:cs="FrankRuehl"/>
                <w:rtl/>
              </w:rPr>
              <w:t xml:space="preserve">, </w:t>
            </w:r>
            <w:hyperlink r:id="rId9" w:history="1">
              <w:r w:rsidRPr="0000338C">
                <w:rPr>
                  <w:rFonts w:ascii="FrankRuehl" w:hAnsi="FrankRuehl" w:cs="FrankRuehl"/>
                  <w:color w:val="0000FF"/>
                  <w:u w:val="single"/>
                  <w:rtl/>
                </w:rPr>
                <w:t>338(א)(3)</w:t>
              </w:r>
            </w:hyperlink>
            <w:r w:rsidRPr="0000338C">
              <w:rPr>
                <w:rFonts w:ascii="FrankRuehl" w:hAnsi="FrankRuehl" w:cs="FrankRuehl"/>
                <w:rtl/>
              </w:rPr>
              <w:t xml:space="preserve">, </w:t>
            </w:r>
            <w:hyperlink r:id="rId10" w:history="1">
              <w:r w:rsidRPr="0000338C">
                <w:rPr>
                  <w:rFonts w:ascii="FrankRuehl" w:hAnsi="FrankRuehl" w:cs="FrankRuehl"/>
                  <w:color w:val="0000FF"/>
                  <w:u w:val="single"/>
                  <w:rtl/>
                </w:rPr>
                <w:t>40יג(א)</w:t>
              </w:r>
            </w:hyperlink>
            <w:r w:rsidRPr="0000338C">
              <w:rPr>
                <w:rFonts w:ascii="FrankRuehl" w:hAnsi="FrankRuehl" w:cs="FrankRuehl"/>
                <w:rtl/>
              </w:rPr>
              <w:t xml:space="preserve">, </w:t>
            </w:r>
            <w:hyperlink r:id="rId11" w:history="1">
              <w:r w:rsidRPr="0000338C">
                <w:rPr>
                  <w:rFonts w:ascii="FrankRuehl" w:hAnsi="FrankRuehl" w:cs="FrankRuehl"/>
                  <w:color w:val="0000FF"/>
                  <w:u w:val="single"/>
                  <w:rtl/>
                </w:rPr>
                <w:t>40יג(ב)</w:t>
              </w:r>
            </w:hyperlink>
          </w:p>
          <w:p w14:paraId="583E233D" w14:textId="77777777" w:rsidR="0000338C" w:rsidRPr="0000338C" w:rsidRDefault="0000338C" w:rsidP="0000338C">
            <w:pPr>
              <w:spacing w:after="120" w:line="240" w:lineRule="exact"/>
              <w:ind w:left="283" w:hanging="283"/>
              <w:jc w:val="both"/>
              <w:rPr>
                <w:rFonts w:ascii="FrankRuehl" w:hAnsi="FrankRuehl" w:cs="FrankRuehl"/>
                <w:rtl/>
              </w:rPr>
            </w:pPr>
            <w:hyperlink r:id="rId12" w:history="1">
              <w:r w:rsidRPr="0000338C">
                <w:rPr>
                  <w:rFonts w:ascii="FrankRuehl" w:hAnsi="FrankRuehl" w:cs="FrankRuehl"/>
                  <w:color w:val="0000FF"/>
                  <w:u w:val="single"/>
                  <w:rtl/>
                </w:rPr>
                <w:t>פקודת הסמים המסוכנים [נוסח חדש], תשל"ג-1973</w:t>
              </w:r>
            </w:hyperlink>
            <w:r w:rsidRPr="0000338C">
              <w:rPr>
                <w:rFonts w:ascii="FrankRuehl" w:hAnsi="FrankRuehl" w:cs="FrankRuehl"/>
                <w:rtl/>
              </w:rPr>
              <w:t xml:space="preserve">: סע'  </w:t>
            </w:r>
            <w:hyperlink r:id="rId13" w:history="1">
              <w:r w:rsidRPr="0000338C">
                <w:rPr>
                  <w:rFonts w:ascii="FrankRuehl" w:hAnsi="FrankRuehl" w:cs="FrankRuehl"/>
                  <w:color w:val="0000FF"/>
                  <w:u w:val="single"/>
                  <w:rtl/>
                </w:rPr>
                <w:t>7(א)</w:t>
              </w:r>
            </w:hyperlink>
            <w:r w:rsidRPr="0000338C">
              <w:rPr>
                <w:rFonts w:ascii="FrankRuehl" w:hAnsi="FrankRuehl" w:cs="FrankRuehl"/>
                <w:rtl/>
              </w:rPr>
              <w:t xml:space="preserve">, </w:t>
            </w:r>
            <w:hyperlink r:id="rId14" w:history="1">
              <w:r w:rsidRPr="0000338C">
                <w:rPr>
                  <w:rFonts w:ascii="FrankRuehl" w:hAnsi="FrankRuehl" w:cs="FrankRuehl"/>
                  <w:color w:val="0000FF"/>
                  <w:u w:val="single"/>
                  <w:rtl/>
                </w:rPr>
                <w:t>7(ג)</w:t>
              </w:r>
            </w:hyperlink>
          </w:p>
          <w:p w14:paraId="62DACE8D" w14:textId="77777777" w:rsidR="0000338C" w:rsidRPr="0000338C" w:rsidRDefault="0000338C" w:rsidP="0000338C">
            <w:pPr>
              <w:spacing w:after="120" w:line="240" w:lineRule="exact"/>
              <w:ind w:left="283" w:hanging="283"/>
              <w:jc w:val="both"/>
              <w:rPr>
                <w:rFonts w:ascii="FrankRuehl" w:hAnsi="FrankRuehl" w:cs="FrankRuehl"/>
                <w:rtl/>
              </w:rPr>
            </w:pPr>
            <w:hyperlink r:id="rId15" w:history="1">
              <w:r w:rsidRPr="0000338C">
                <w:rPr>
                  <w:rFonts w:ascii="FrankRuehl" w:hAnsi="FrankRuehl" w:cs="FrankRuehl"/>
                  <w:color w:val="0000FF"/>
                  <w:u w:val="single"/>
                  <w:rtl/>
                </w:rPr>
                <w:t>פקודת התעבורה [נוסח חדש]</w:t>
              </w:r>
            </w:hyperlink>
            <w:r w:rsidRPr="0000338C">
              <w:rPr>
                <w:rFonts w:ascii="FrankRuehl" w:hAnsi="FrankRuehl" w:cs="FrankRuehl"/>
                <w:rtl/>
              </w:rPr>
              <w:t xml:space="preserve">: סע'  </w:t>
            </w:r>
            <w:hyperlink r:id="rId16" w:history="1">
              <w:r w:rsidRPr="0000338C">
                <w:rPr>
                  <w:rFonts w:ascii="FrankRuehl" w:hAnsi="FrankRuehl" w:cs="FrankRuehl"/>
                  <w:color w:val="0000FF"/>
                  <w:u w:val="single"/>
                  <w:rtl/>
                </w:rPr>
                <w:t>10</w:t>
              </w:r>
            </w:hyperlink>
            <w:r w:rsidRPr="0000338C">
              <w:rPr>
                <w:rFonts w:ascii="FrankRuehl" w:hAnsi="FrankRuehl" w:cs="FrankRuehl"/>
                <w:rtl/>
              </w:rPr>
              <w:t xml:space="preserve">, </w:t>
            </w:r>
            <w:hyperlink r:id="rId17" w:history="1">
              <w:r w:rsidRPr="0000338C">
                <w:rPr>
                  <w:rFonts w:ascii="FrankRuehl" w:hAnsi="FrankRuehl" w:cs="FrankRuehl"/>
                  <w:color w:val="0000FF"/>
                  <w:u w:val="single"/>
                  <w:rtl/>
                </w:rPr>
                <w:t>67</w:t>
              </w:r>
            </w:hyperlink>
          </w:p>
          <w:p w14:paraId="7F32D208" w14:textId="77777777" w:rsidR="0000338C" w:rsidRPr="0000338C" w:rsidRDefault="0000338C" w:rsidP="0000338C">
            <w:pPr>
              <w:spacing w:after="120" w:line="240" w:lineRule="exact"/>
              <w:ind w:left="283" w:hanging="283"/>
              <w:jc w:val="both"/>
              <w:rPr>
                <w:rFonts w:ascii="FrankRuehl" w:hAnsi="FrankRuehl" w:cs="FrankRuehl"/>
                <w:rtl/>
              </w:rPr>
            </w:pPr>
            <w:hyperlink r:id="rId18" w:history="1">
              <w:r w:rsidRPr="0000338C">
                <w:rPr>
                  <w:rFonts w:ascii="FrankRuehl" w:hAnsi="FrankRuehl" w:cs="FrankRuehl"/>
                  <w:color w:val="0000FF"/>
                  <w:u w:val="single"/>
                  <w:rtl/>
                </w:rPr>
                <w:t>פקודת ביטוח רכב מנועי [נוסח חדש], תש"ל-1970</w:t>
              </w:r>
            </w:hyperlink>
            <w:r w:rsidRPr="0000338C">
              <w:rPr>
                <w:rFonts w:ascii="FrankRuehl" w:hAnsi="FrankRuehl" w:cs="FrankRuehl"/>
                <w:rtl/>
              </w:rPr>
              <w:t xml:space="preserve">: סע'  </w:t>
            </w:r>
            <w:hyperlink r:id="rId19" w:history="1">
              <w:r w:rsidRPr="0000338C">
                <w:rPr>
                  <w:rFonts w:ascii="FrankRuehl" w:hAnsi="FrankRuehl" w:cs="FrankRuehl"/>
                  <w:color w:val="0000FF"/>
                  <w:u w:val="single"/>
                  <w:rtl/>
                </w:rPr>
                <w:t>2</w:t>
              </w:r>
            </w:hyperlink>
          </w:p>
          <w:p w14:paraId="5BB082CD" w14:textId="77777777" w:rsidR="0000338C" w:rsidRPr="0000338C" w:rsidRDefault="0000338C" w:rsidP="0000338C">
            <w:pPr>
              <w:spacing w:after="120" w:line="240" w:lineRule="exact"/>
              <w:ind w:left="283" w:hanging="283"/>
              <w:jc w:val="both"/>
              <w:rPr>
                <w:rFonts w:ascii="FrankRuehl" w:hAnsi="FrankRuehl" w:cs="FrankRuehl"/>
                <w:rtl/>
              </w:rPr>
            </w:pPr>
          </w:p>
          <w:p w14:paraId="1D96E318" w14:textId="77777777" w:rsidR="0000338C" w:rsidRPr="0000338C" w:rsidRDefault="0000338C" w:rsidP="008A5B10">
            <w:pPr>
              <w:jc w:val="center"/>
              <w:rPr>
                <w:rFonts w:ascii="Arial" w:hAnsi="Arial" w:cs="FrankRuehl"/>
                <w:sz w:val="34"/>
                <w:szCs w:val="34"/>
                <w:rtl/>
              </w:rPr>
            </w:pPr>
            <w:bookmarkStart w:id="4" w:name="LawTable_End"/>
            <w:bookmarkEnd w:id="4"/>
          </w:p>
          <w:p w14:paraId="4092C36B" w14:textId="77777777" w:rsidR="008A5B10" w:rsidRPr="008A5B10" w:rsidRDefault="008A5B10" w:rsidP="008A5B10">
            <w:pPr>
              <w:jc w:val="center"/>
              <w:rPr>
                <w:rFonts w:ascii="Arial" w:hAnsi="Arial" w:cs="FrankRuehl"/>
                <w:b/>
                <w:bCs/>
                <w:sz w:val="34"/>
                <w:szCs w:val="34"/>
                <w:u w:val="single"/>
                <w:rtl/>
              </w:rPr>
            </w:pPr>
            <w:r w:rsidRPr="008A5B10">
              <w:rPr>
                <w:rFonts w:ascii="Arial" w:hAnsi="Arial" w:cs="FrankRuehl"/>
                <w:b/>
                <w:bCs/>
                <w:sz w:val="34"/>
                <w:szCs w:val="34"/>
                <w:u w:val="single"/>
                <w:rtl/>
              </w:rPr>
              <w:t>גזר-דין</w:t>
            </w:r>
          </w:p>
          <w:p w14:paraId="595FC672" w14:textId="77777777" w:rsidR="00A0131F" w:rsidRPr="008A5B10" w:rsidRDefault="00A0131F" w:rsidP="008A5B10">
            <w:pPr>
              <w:jc w:val="center"/>
              <w:rPr>
                <w:rFonts w:ascii="Arial" w:hAnsi="Arial" w:cs="FrankRuehl"/>
                <w:bCs/>
                <w:sz w:val="34"/>
                <w:szCs w:val="34"/>
                <w:u w:val="single"/>
                <w:rtl/>
              </w:rPr>
            </w:pPr>
          </w:p>
        </w:tc>
      </w:tr>
      <w:bookmarkEnd w:id="2"/>
    </w:tbl>
    <w:p w14:paraId="05A50C30" w14:textId="77777777" w:rsidR="00A0131F" w:rsidRDefault="00A0131F">
      <w:pPr>
        <w:spacing w:after="200" w:line="360" w:lineRule="auto"/>
        <w:rPr>
          <w:rFonts w:ascii="Calibri" w:hAnsi="Calibri" w:cs="Arial"/>
          <w:sz w:val="22"/>
          <w:szCs w:val="22"/>
          <w:rtl/>
        </w:rPr>
      </w:pPr>
    </w:p>
    <w:p w14:paraId="27D14EA0" w14:textId="77777777" w:rsidR="00A0131F" w:rsidRDefault="008A5B10">
      <w:pPr>
        <w:spacing w:after="200" w:line="360" w:lineRule="auto"/>
        <w:jc w:val="both"/>
        <w:rPr>
          <w:rFonts w:ascii="Calibri" w:hAnsi="Calibri" w:cs="FrankRuehl"/>
          <w:sz w:val="28"/>
          <w:szCs w:val="28"/>
          <w:u w:val="single"/>
          <w:rtl/>
        </w:rPr>
      </w:pPr>
      <w:r>
        <w:rPr>
          <w:rFonts w:ascii="Calibri" w:hAnsi="Calibri" w:cs="FrankRuehl" w:hint="cs"/>
          <w:sz w:val="28"/>
          <w:szCs w:val="28"/>
          <w:u w:val="single"/>
          <w:rtl/>
        </w:rPr>
        <w:t>רקע והשתלשלות העניינים בהליך</w:t>
      </w:r>
    </w:p>
    <w:p w14:paraId="23C22B04"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1.</w:t>
      </w:r>
      <w:r>
        <w:rPr>
          <w:rFonts w:ascii="Calibri" w:hAnsi="Calibri" w:cs="FrankRuehl" w:hint="cs"/>
          <w:sz w:val="28"/>
          <w:szCs w:val="28"/>
          <w:rtl/>
        </w:rPr>
        <w:tab/>
      </w:r>
      <w:bookmarkStart w:id="5" w:name="ABSTRACT_START"/>
      <w:bookmarkEnd w:id="5"/>
      <w:r>
        <w:rPr>
          <w:rFonts w:ascii="Calibri" w:hAnsi="Calibri" w:cs="FrankRuehl" w:hint="cs"/>
          <w:sz w:val="28"/>
          <w:szCs w:val="28"/>
          <w:rtl/>
        </w:rPr>
        <w:t xml:space="preserve">ביום 11.9.2013 הורשע הנאשם בהתאם להודאתו, בעבירה של שימוש בלתי זהיר בחומר נפיץ לפי </w:t>
      </w:r>
      <w:hyperlink r:id="rId20" w:history="1">
        <w:r w:rsidR="00B6294A" w:rsidRPr="00B6294A">
          <w:rPr>
            <w:rFonts w:ascii="Calibri" w:hAnsi="Calibri" w:cs="FrankRuehl" w:hint="eastAsia"/>
            <w:color w:val="0000FF"/>
            <w:sz w:val="28"/>
            <w:szCs w:val="28"/>
            <w:u w:val="single"/>
            <w:rtl/>
          </w:rPr>
          <w:t>סעיף</w:t>
        </w:r>
        <w:r w:rsidR="00B6294A" w:rsidRPr="00B6294A">
          <w:rPr>
            <w:rFonts w:ascii="Calibri" w:hAnsi="Calibri" w:cs="FrankRuehl"/>
            <w:color w:val="0000FF"/>
            <w:sz w:val="28"/>
            <w:szCs w:val="28"/>
            <w:u w:val="single"/>
            <w:rtl/>
          </w:rPr>
          <w:t xml:space="preserve"> 338(</w:t>
        </w:r>
        <w:r w:rsidR="00B6294A" w:rsidRPr="00B6294A">
          <w:rPr>
            <w:rFonts w:ascii="Calibri" w:hAnsi="Calibri" w:cs="FrankRuehl" w:hint="eastAsia"/>
            <w:color w:val="0000FF"/>
            <w:sz w:val="28"/>
            <w:szCs w:val="28"/>
            <w:u w:val="single"/>
            <w:rtl/>
          </w:rPr>
          <w:t>א</w:t>
        </w:r>
        <w:r w:rsidR="00B6294A" w:rsidRPr="00B6294A">
          <w:rPr>
            <w:rFonts w:ascii="Calibri" w:hAnsi="Calibri" w:cs="FrankRuehl"/>
            <w:color w:val="0000FF"/>
            <w:sz w:val="28"/>
            <w:szCs w:val="28"/>
            <w:u w:val="single"/>
            <w:rtl/>
          </w:rPr>
          <w:t>)(3)</w:t>
        </w:r>
      </w:hyperlink>
      <w:r>
        <w:rPr>
          <w:rFonts w:ascii="Calibri" w:hAnsi="Calibri" w:cs="FrankRuehl" w:hint="cs"/>
          <w:sz w:val="28"/>
          <w:szCs w:val="28"/>
          <w:rtl/>
        </w:rPr>
        <w:t xml:space="preserve"> ל</w:t>
      </w:r>
      <w:hyperlink r:id="rId21" w:history="1">
        <w:r w:rsidRPr="008A5B10">
          <w:rPr>
            <w:rFonts w:ascii="Calibri" w:hAnsi="Calibri" w:cs="FrankRuehl" w:hint="eastAsia"/>
            <w:color w:val="0000FF"/>
            <w:sz w:val="28"/>
            <w:szCs w:val="28"/>
            <w:u w:val="single"/>
            <w:rtl/>
          </w:rPr>
          <w:t>חוק</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העונשין</w:t>
        </w:r>
      </w:hyperlink>
      <w:r>
        <w:rPr>
          <w:rFonts w:ascii="Calibri" w:hAnsi="Calibri" w:cs="FrankRuehl" w:hint="cs"/>
          <w:sz w:val="28"/>
          <w:szCs w:val="28"/>
          <w:rtl/>
        </w:rPr>
        <w:t xml:space="preserve">, התשל"ז-1977 (להלן: </w:t>
      </w:r>
      <w:r>
        <w:rPr>
          <w:rFonts w:ascii="Calibri" w:hAnsi="Calibri" w:cs="Miriam" w:hint="cs"/>
          <w:rtl/>
        </w:rPr>
        <w:t>חוק העונשין</w:t>
      </w:r>
      <w:r>
        <w:rPr>
          <w:rFonts w:ascii="Calibri" w:hAnsi="Calibri" w:cs="FrankRuehl" w:hint="cs"/>
          <w:sz w:val="28"/>
          <w:szCs w:val="28"/>
          <w:rtl/>
        </w:rPr>
        <w:t xml:space="preserve">), אשר יוחסה לו בכתב-האישום בהליך שבכותרת - </w:t>
      </w:r>
      <w:hyperlink r:id="rId22" w:history="1">
        <w:r w:rsidRPr="008A5B10">
          <w:rPr>
            <w:rFonts w:ascii="Calibri" w:hAnsi="Calibri" w:cs="FrankRuehl" w:hint="eastAsia"/>
            <w:color w:val="0000FF"/>
            <w:sz w:val="28"/>
            <w:szCs w:val="28"/>
            <w:u w:val="single"/>
            <w:rtl/>
          </w:rPr>
          <w:t>ת</w:t>
        </w:r>
        <w:r w:rsidRPr="008A5B10">
          <w:rPr>
            <w:rFonts w:ascii="Calibri" w:hAnsi="Calibri" w:cs="FrankRuehl"/>
            <w:color w:val="0000FF"/>
            <w:sz w:val="28"/>
            <w:szCs w:val="28"/>
            <w:u w:val="single"/>
            <w:rtl/>
          </w:rPr>
          <w:t>"</w:t>
        </w:r>
        <w:r w:rsidRPr="008A5B10">
          <w:rPr>
            <w:rFonts w:ascii="Calibri" w:hAnsi="Calibri" w:cs="FrankRuehl" w:hint="eastAsia"/>
            <w:color w:val="0000FF"/>
            <w:sz w:val="28"/>
            <w:szCs w:val="28"/>
            <w:u w:val="single"/>
            <w:rtl/>
          </w:rPr>
          <w:t>פ</w:t>
        </w:r>
        <w:r w:rsidRPr="008A5B10">
          <w:rPr>
            <w:rFonts w:ascii="Calibri" w:hAnsi="Calibri" w:cs="FrankRuehl"/>
            <w:color w:val="0000FF"/>
            <w:sz w:val="28"/>
            <w:szCs w:val="28"/>
            <w:u w:val="single"/>
            <w:rtl/>
          </w:rPr>
          <w:t xml:space="preserve"> 46354-02-13</w:t>
        </w:r>
      </w:hyperlink>
      <w:r>
        <w:rPr>
          <w:rFonts w:ascii="Calibri" w:hAnsi="Calibri" w:cs="FrankRuehl" w:hint="cs"/>
          <w:sz w:val="28"/>
          <w:szCs w:val="28"/>
          <w:rtl/>
        </w:rPr>
        <w:t xml:space="preserve"> (להלן: </w:t>
      </w:r>
      <w:r>
        <w:rPr>
          <w:rFonts w:ascii="Calibri" w:hAnsi="Calibri" w:cs="Miriam" w:hint="cs"/>
          <w:rtl/>
        </w:rPr>
        <w:t>התיק העיקרי</w:t>
      </w:r>
      <w:r>
        <w:rPr>
          <w:rFonts w:ascii="Calibri" w:hAnsi="Calibri" w:cs="FrankRuehl" w:hint="cs"/>
          <w:sz w:val="28"/>
          <w:szCs w:val="28"/>
          <w:rtl/>
        </w:rPr>
        <w:t xml:space="preserve">). בהתאם לעובדות כתב-האישום </w:t>
      </w:r>
      <w:r>
        <w:rPr>
          <w:rFonts w:ascii="Calibri" w:hAnsi="Calibri" w:cs="FrankRuehl" w:hint="cs"/>
          <w:b/>
          <w:bCs/>
          <w:sz w:val="28"/>
          <w:szCs w:val="28"/>
          <w:rtl/>
        </w:rPr>
        <w:t>בתיק העיקרי</w:t>
      </w:r>
      <w:r>
        <w:rPr>
          <w:rFonts w:ascii="Calibri" w:hAnsi="Calibri" w:cs="FrankRuehl" w:hint="cs"/>
          <w:sz w:val="28"/>
          <w:szCs w:val="28"/>
          <w:rtl/>
        </w:rPr>
        <w:t xml:space="preserve">, ביום 9.3.2011 ברחוב שאול המלך בירושלים, החזיק הנאשם במכוניתו כמות גדולה של נפצים בכוונה למכרם. במעשיו האמורים עשה הנאשם מעשה בחומר נפיץ ולא נקט באמצעי זהירות מפני סכנה מסתברת הכרוכה בחומר שבהחזקתו. </w:t>
      </w:r>
      <w:bookmarkStart w:id="6" w:name="ABSTRACT_END"/>
      <w:bookmarkEnd w:id="6"/>
    </w:p>
    <w:p w14:paraId="6AF8F897" w14:textId="77777777" w:rsidR="00A0131F" w:rsidRDefault="00A0131F">
      <w:pPr>
        <w:spacing w:after="120" w:line="360" w:lineRule="auto"/>
        <w:jc w:val="both"/>
        <w:rPr>
          <w:rFonts w:ascii="Calibri" w:hAnsi="Calibri" w:cs="FrankRuehl"/>
          <w:sz w:val="28"/>
          <w:szCs w:val="28"/>
          <w:rtl/>
        </w:rPr>
      </w:pPr>
    </w:p>
    <w:p w14:paraId="6C65A546"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2.</w:t>
      </w:r>
      <w:r>
        <w:rPr>
          <w:rFonts w:ascii="Calibri" w:hAnsi="Calibri" w:cs="FrankRuehl" w:hint="cs"/>
          <w:sz w:val="28"/>
          <w:szCs w:val="28"/>
          <w:rtl/>
        </w:rPr>
        <w:tab/>
        <w:t xml:space="preserve">במועד הדיון הנ"ל צירף הנאשם את </w:t>
      </w:r>
      <w:hyperlink r:id="rId23" w:history="1">
        <w:r w:rsidRPr="008A5B10">
          <w:rPr>
            <w:rFonts w:ascii="Calibri" w:hAnsi="Calibri" w:cs="FrankRuehl" w:hint="eastAsia"/>
            <w:color w:val="0000FF"/>
            <w:sz w:val="28"/>
            <w:szCs w:val="28"/>
            <w:u w:val="single"/>
            <w:rtl/>
          </w:rPr>
          <w:t>ת</w:t>
        </w:r>
        <w:r w:rsidRPr="008A5B10">
          <w:rPr>
            <w:rFonts w:ascii="Calibri" w:hAnsi="Calibri" w:cs="FrankRuehl"/>
            <w:color w:val="0000FF"/>
            <w:sz w:val="28"/>
            <w:szCs w:val="28"/>
            <w:u w:val="single"/>
            <w:rtl/>
          </w:rPr>
          <w:t>"</w:t>
        </w:r>
        <w:r w:rsidRPr="008A5B10">
          <w:rPr>
            <w:rFonts w:ascii="Calibri" w:hAnsi="Calibri" w:cs="FrankRuehl" w:hint="eastAsia"/>
            <w:color w:val="0000FF"/>
            <w:sz w:val="28"/>
            <w:szCs w:val="28"/>
            <w:u w:val="single"/>
            <w:rtl/>
          </w:rPr>
          <w:t>פ</w:t>
        </w:r>
        <w:r w:rsidRPr="008A5B10">
          <w:rPr>
            <w:rFonts w:ascii="Calibri" w:hAnsi="Calibri" w:cs="FrankRuehl"/>
            <w:color w:val="0000FF"/>
            <w:sz w:val="28"/>
            <w:szCs w:val="28"/>
            <w:u w:val="single"/>
            <w:rtl/>
          </w:rPr>
          <w:t xml:space="preserve"> 27513-07-13</w:t>
        </w:r>
      </w:hyperlink>
      <w:r>
        <w:rPr>
          <w:rFonts w:ascii="Calibri" w:hAnsi="Calibri" w:cs="FrankRuehl" w:hint="cs"/>
          <w:sz w:val="28"/>
          <w:szCs w:val="28"/>
          <w:rtl/>
        </w:rPr>
        <w:t xml:space="preserve"> (להלן: </w:t>
      </w:r>
      <w:r>
        <w:rPr>
          <w:rFonts w:ascii="Calibri" w:hAnsi="Calibri" w:cs="Miriam" w:hint="cs"/>
          <w:rtl/>
        </w:rPr>
        <w:t>התיק המצורף הראשון</w:t>
      </w:r>
      <w:r>
        <w:rPr>
          <w:rFonts w:ascii="Calibri" w:hAnsi="Calibri" w:cs="FrankRuehl" w:hint="cs"/>
          <w:sz w:val="28"/>
          <w:szCs w:val="28"/>
          <w:rtl/>
        </w:rPr>
        <w:t xml:space="preserve">). בהתאם לעובדות כתב-האישום המתוקן </w:t>
      </w:r>
      <w:r>
        <w:rPr>
          <w:rFonts w:ascii="Calibri" w:hAnsi="Calibri" w:cs="FrankRuehl" w:hint="cs"/>
          <w:b/>
          <w:bCs/>
          <w:sz w:val="28"/>
          <w:szCs w:val="28"/>
          <w:rtl/>
        </w:rPr>
        <w:t>בתיק המצורף הראשון</w:t>
      </w:r>
      <w:r>
        <w:rPr>
          <w:rFonts w:ascii="Calibri" w:hAnsi="Calibri" w:cs="FrankRuehl" w:hint="cs"/>
          <w:sz w:val="28"/>
          <w:szCs w:val="28"/>
          <w:rtl/>
        </w:rPr>
        <w:t xml:space="preserve">, ביום 21.3.2013, בסביבות השעה </w:t>
      </w:r>
      <w:r>
        <w:rPr>
          <w:rFonts w:ascii="Calibri" w:hAnsi="Calibri" w:cs="FrankRuehl" w:hint="cs"/>
          <w:sz w:val="28"/>
          <w:szCs w:val="28"/>
          <w:rtl/>
        </w:rPr>
        <w:lastRenderedPageBreak/>
        <w:t xml:space="preserve">00:20, בסמוך למחסום בשכונת גילה בירושלים, החזיק הנאשם ברכבו סם מסוג חשיש במשקל </w:t>
      </w:r>
      <w:smartTag w:uri="urn:schemas-microsoft-com:office:smarttags" w:element="metricconverter">
        <w:smartTagPr>
          <w:attr w:name="ProductID" w:val="0.1019 גרם"/>
        </w:smartTagPr>
        <w:r>
          <w:rPr>
            <w:rFonts w:ascii="Calibri" w:hAnsi="Calibri" w:cs="FrankRuehl" w:hint="cs"/>
            <w:sz w:val="28"/>
            <w:szCs w:val="28"/>
            <w:rtl/>
          </w:rPr>
          <w:t>0.1019 גרם</w:t>
        </w:r>
      </w:smartTag>
      <w:r>
        <w:rPr>
          <w:rFonts w:ascii="Calibri" w:hAnsi="Calibri" w:cs="FrankRuehl" w:hint="cs"/>
          <w:sz w:val="28"/>
          <w:szCs w:val="28"/>
          <w:rtl/>
        </w:rPr>
        <w:t xml:space="preserve"> נטו, וזאת בלא היתר או רישיון כדין. הנאשם הודה בעובדות האמורות במסגרת התיק המצורף הראשון, ובגין כך הורשע בעבירה של החזקת סמים לצריכה עצמית לפי </w:t>
      </w:r>
      <w:hyperlink r:id="rId24" w:history="1">
        <w:r w:rsidR="00B6294A" w:rsidRPr="00B6294A">
          <w:rPr>
            <w:rFonts w:ascii="Calibri" w:hAnsi="Calibri" w:cs="FrankRuehl" w:hint="eastAsia"/>
            <w:color w:val="0000FF"/>
            <w:sz w:val="28"/>
            <w:szCs w:val="28"/>
            <w:u w:val="single"/>
            <w:rtl/>
          </w:rPr>
          <w:t>סעיף</w:t>
        </w:r>
        <w:r w:rsidR="00B6294A" w:rsidRPr="00B6294A">
          <w:rPr>
            <w:rFonts w:ascii="Calibri" w:hAnsi="Calibri" w:cs="FrankRuehl"/>
            <w:color w:val="0000FF"/>
            <w:sz w:val="28"/>
            <w:szCs w:val="28"/>
            <w:u w:val="single"/>
            <w:rtl/>
          </w:rPr>
          <w:t xml:space="preserve"> 7(</w:t>
        </w:r>
        <w:r w:rsidR="00B6294A" w:rsidRPr="00B6294A">
          <w:rPr>
            <w:rFonts w:ascii="Calibri" w:hAnsi="Calibri" w:cs="FrankRuehl" w:hint="eastAsia"/>
            <w:color w:val="0000FF"/>
            <w:sz w:val="28"/>
            <w:szCs w:val="28"/>
            <w:u w:val="single"/>
            <w:rtl/>
          </w:rPr>
          <w:t>א</w:t>
        </w:r>
        <w:r w:rsidR="00B6294A" w:rsidRPr="00B6294A">
          <w:rPr>
            <w:rFonts w:ascii="Calibri" w:hAnsi="Calibri" w:cs="FrankRuehl"/>
            <w:color w:val="0000FF"/>
            <w:sz w:val="28"/>
            <w:szCs w:val="28"/>
            <w:u w:val="single"/>
            <w:rtl/>
          </w:rPr>
          <w:t>)</w:t>
        </w:r>
      </w:hyperlink>
      <w:r>
        <w:rPr>
          <w:rFonts w:ascii="Calibri" w:hAnsi="Calibri" w:cs="FrankRuehl" w:hint="cs"/>
          <w:sz w:val="28"/>
          <w:szCs w:val="28"/>
          <w:rtl/>
        </w:rPr>
        <w:t xml:space="preserve"> ו- </w:t>
      </w:r>
      <w:hyperlink r:id="rId25" w:history="1">
        <w:r w:rsidR="00B6294A" w:rsidRPr="00B6294A">
          <w:rPr>
            <w:rFonts w:ascii="Calibri" w:hAnsi="Calibri" w:cs="FrankRuehl"/>
            <w:color w:val="0000FF"/>
            <w:sz w:val="28"/>
            <w:szCs w:val="28"/>
            <w:u w:val="single"/>
            <w:rtl/>
          </w:rPr>
          <w:t>7(</w:t>
        </w:r>
        <w:r w:rsidR="00B6294A" w:rsidRPr="00B6294A">
          <w:rPr>
            <w:rFonts w:ascii="Calibri" w:hAnsi="Calibri" w:cs="FrankRuehl" w:hint="eastAsia"/>
            <w:color w:val="0000FF"/>
            <w:sz w:val="28"/>
            <w:szCs w:val="28"/>
            <w:u w:val="single"/>
            <w:rtl/>
          </w:rPr>
          <w:t>ג</w:t>
        </w:r>
        <w:r w:rsidR="00B6294A" w:rsidRPr="00B6294A">
          <w:rPr>
            <w:rFonts w:ascii="Calibri" w:hAnsi="Calibri" w:cs="FrankRuehl"/>
            <w:color w:val="0000FF"/>
            <w:sz w:val="28"/>
            <w:szCs w:val="28"/>
            <w:u w:val="single"/>
            <w:rtl/>
          </w:rPr>
          <w:t>)</w:t>
        </w:r>
      </w:hyperlink>
      <w:r>
        <w:rPr>
          <w:rFonts w:ascii="Calibri" w:hAnsi="Calibri" w:cs="FrankRuehl" w:hint="cs"/>
          <w:sz w:val="28"/>
          <w:szCs w:val="28"/>
          <w:rtl/>
        </w:rPr>
        <w:t xml:space="preserve"> סיפא ל</w:t>
      </w:r>
      <w:hyperlink r:id="rId26" w:history="1">
        <w:r w:rsidRPr="008A5B10">
          <w:rPr>
            <w:rFonts w:ascii="Calibri" w:hAnsi="Calibri" w:cs="FrankRuehl" w:hint="eastAsia"/>
            <w:color w:val="0000FF"/>
            <w:sz w:val="28"/>
            <w:szCs w:val="28"/>
            <w:u w:val="single"/>
            <w:rtl/>
          </w:rPr>
          <w:t>פקודת</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הסמים</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המסוכנים</w:t>
        </w:r>
      </w:hyperlink>
      <w:r>
        <w:rPr>
          <w:rFonts w:ascii="Calibri" w:hAnsi="Calibri" w:cs="FrankRuehl" w:hint="cs"/>
          <w:sz w:val="28"/>
          <w:szCs w:val="28"/>
          <w:rtl/>
        </w:rPr>
        <w:t xml:space="preserve"> [נוסח חדש], התשל"ג-1973 (להלן: </w:t>
      </w:r>
      <w:r>
        <w:rPr>
          <w:rFonts w:ascii="Calibri" w:hAnsi="Calibri" w:cs="Miriam" w:hint="cs"/>
          <w:rtl/>
        </w:rPr>
        <w:t>פקודת הסמים</w:t>
      </w:r>
      <w:r>
        <w:rPr>
          <w:rFonts w:ascii="Calibri" w:hAnsi="Calibri" w:cs="FrankRuehl" w:hint="cs"/>
          <w:sz w:val="28"/>
          <w:szCs w:val="28"/>
          <w:rtl/>
        </w:rPr>
        <w:t>).</w:t>
      </w:r>
    </w:p>
    <w:p w14:paraId="12826857" w14:textId="77777777" w:rsidR="00A0131F" w:rsidRDefault="00A0131F">
      <w:pPr>
        <w:spacing w:after="120" w:line="360" w:lineRule="auto"/>
        <w:jc w:val="both"/>
        <w:rPr>
          <w:rFonts w:ascii="Calibri" w:hAnsi="Calibri" w:cs="FrankRuehl"/>
          <w:sz w:val="28"/>
          <w:szCs w:val="28"/>
          <w:rtl/>
        </w:rPr>
      </w:pPr>
    </w:p>
    <w:p w14:paraId="2FE99977"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3.</w:t>
      </w:r>
      <w:r>
        <w:rPr>
          <w:rFonts w:ascii="Calibri" w:hAnsi="Calibri" w:cs="FrankRuehl" w:hint="cs"/>
          <w:sz w:val="28"/>
          <w:szCs w:val="28"/>
          <w:rtl/>
        </w:rPr>
        <w:tab/>
        <w:t xml:space="preserve">בדיון שהתקיים לפניי ביום 8.10.2013 צירף הנאשם שני תיקים נוספים – </w:t>
      </w:r>
      <w:hyperlink r:id="rId27" w:history="1">
        <w:r w:rsidRPr="008A5B10">
          <w:rPr>
            <w:rFonts w:ascii="Calibri" w:hAnsi="Calibri" w:cs="FrankRuehl" w:hint="eastAsia"/>
            <w:color w:val="0000FF"/>
            <w:sz w:val="28"/>
            <w:szCs w:val="28"/>
            <w:u w:val="single"/>
            <w:rtl/>
          </w:rPr>
          <w:t>ת</w:t>
        </w:r>
        <w:r w:rsidRPr="008A5B10">
          <w:rPr>
            <w:rFonts w:ascii="Calibri" w:hAnsi="Calibri" w:cs="FrankRuehl"/>
            <w:color w:val="0000FF"/>
            <w:sz w:val="28"/>
            <w:szCs w:val="28"/>
            <w:u w:val="single"/>
            <w:rtl/>
          </w:rPr>
          <w:t>"</w:t>
        </w:r>
        <w:r w:rsidRPr="008A5B10">
          <w:rPr>
            <w:rFonts w:ascii="Calibri" w:hAnsi="Calibri" w:cs="FrankRuehl" w:hint="eastAsia"/>
            <w:color w:val="0000FF"/>
            <w:sz w:val="28"/>
            <w:szCs w:val="28"/>
            <w:u w:val="single"/>
            <w:rtl/>
          </w:rPr>
          <w:t>פ</w:t>
        </w:r>
        <w:r w:rsidRPr="008A5B10">
          <w:rPr>
            <w:rFonts w:ascii="Calibri" w:hAnsi="Calibri" w:cs="FrankRuehl"/>
            <w:color w:val="0000FF"/>
            <w:sz w:val="28"/>
            <w:szCs w:val="28"/>
            <w:u w:val="single"/>
            <w:rtl/>
          </w:rPr>
          <w:t xml:space="preserve"> 44170-02-13</w:t>
        </w:r>
      </w:hyperlink>
      <w:r>
        <w:rPr>
          <w:rFonts w:ascii="Calibri" w:hAnsi="Calibri" w:cs="FrankRuehl" w:hint="cs"/>
          <w:sz w:val="28"/>
          <w:szCs w:val="28"/>
          <w:rtl/>
        </w:rPr>
        <w:t xml:space="preserve"> (להלן: </w:t>
      </w:r>
      <w:r>
        <w:rPr>
          <w:rFonts w:ascii="Calibri" w:hAnsi="Calibri" w:cs="Miriam" w:hint="cs"/>
          <w:rtl/>
        </w:rPr>
        <w:t>התיק המצורף השני</w:t>
      </w:r>
      <w:r>
        <w:rPr>
          <w:rFonts w:ascii="Calibri" w:hAnsi="Calibri" w:cs="FrankRuehl" w:hint="cs"/>
          <w:sz w:val="28"/>
          <w:szCs w:val="28"/>
          <w:rtl/>
        </w:rPr>
        <w:t xml:space="preserve">) וכן </w:t>
      </w:r>
      <w:hyperlink r:id="rId28" w:history="1">
        <w:r w:rsidRPr="008A5B10">
          <w:rPr>
            <w:rFonts w:ascii="Calibri" w:hAnsi="Calibri" w:cs="FrankRuehl" w:hint="eastAsia"/>
            <w:color w:val="0000FF"/>
            <w:sz w:val="28"/>
            <w:szCs w:val="28"/>
            <w:u w:val="single"/>
            <w:rtl/>
          </w:rPr>
          <w:t>פ</w:t>
        </w:r>
        <w:r w:rsidRPr="008A5B10">
          <w:rPr>
            <w:rFonts w:ascii="Calibri" w:hAnsi="Calibri" w:cs="FrankRuehl"/>
            <w:color w:val="0000FF"/>
            <w:sz w:val="28"/>
            <w:szCs w:val="28"/>
            <w:u w:val="single"/>
            <w:rtl/>
          </w:rPr>
          <w:t>"</w:t>
        </w:r>
        <w:r w:rsidRPr="008A5B10">
          <w:rPr>
            <w:rFonts w:ascii="Calibri" w:hAnsi="Calibri" w:cs="FrankRuehl" w:hint="eastAsia"/>
            <w:color w:val="0000FF"/>
            <w:sz w:val="28"/>
            <w:szCs w:val="28"/>
            <w:u w:val="single"/>
            <w:rtl/>
          </w:rPr>
          <w:t>ל</w:t>
        </w:r>
        <w:r w:rsidRPr="008A5B10">
          <w:rPr>
            <w:rFonts w:ascii="Calibri" w:hAnsi="Calibri" w:cs="FrankRuehl"/>
            <w:color w:val="0000FF"/>
            <w:sz w:val="28"/>
            <w:szCs w:val="28"/>
            <w:u w:val="single"/>
            <w:rtl/>
          </w:rPr>
          <w:t xml:space="preserve"> 6400-09-12</w:t>
        </w:r>
      </w:hyperlink>
      <w:r>
        <w:rPr>
          <w:rFonts w:ascii="Calibri" w:hAnsi="Calibri" w:cs="FrankRuehl" w:hint="cs"/>
          <w:sz w:val="28"/>
          <w:szCs w:val="28"/>
          <w:rtl/>
        </w:rPr>
        <w:t xml:space="preserve"> (להלן: </w:t>
      </w:r>
      <w:r>
        <w:rPr>
          <w:rFonts w:ascii="Calibri" w:hAnsi="Calibri" w:cs="Miriam" w:hint="cs"/>
          <w:rtl/>
        </w:rPr>
        <w:t>התיק המצורף השלישי</w:t>
      </w:r>
      <w:r>
        <w:rPr>
          <w:rFonts w:ascii="Calibri" w:hAnsi="Calibri" w:cs="FrankRuehl" w:hint="cs"/>
          <w:sz w:val="28"/>
          <w:szCs w:val="28"/>
          <w:rtl/>
        </w:rPr>
        <w:t>).</w:t>
      </w:r>
    </w:p>
    <w:p w14:paraId="2FB12520" w14:textId="77777777" w:rsidR="00A0131F" w:rsidRDefault="00A0131F">
      <w:pPr>
        <w:spacing w:after="120" w:line="360" w:lineRule="auto"/>
        <w:jc w:val="both"/>
        <w:rPr>
          <w:rFonts w:ascii="Calibri" w:hAnsi="Calibri" w:cs="FrankRuehl"/>
          <w:sz w:val="28"/>
          <w:szCs w:val="28"/>
          <w:rtl/>
        </w:rPr>
      </w:pPr>
    </w:p>
    <w:p w14:paraId="39EA0DA0"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ab/>
        <w:t xml:space="preserve">בהתאם לעובדות כתב-האישום </w:t>
      </w:r>
      <w:r>
        <w:rPr>
          <w:rFonts w:ascii="Calibri" w:hAnsi="Calibri" w:cs="FrankRuehl" w:hint="cs"/>
          <w:b/>
          <w:bCs/>
          <w:sz w:val="28"/>
          <w:szCs w:val="28"/>
          <w:rtl/>
        </w:rPr>
        <w:t>בתיק המצורף השני</w:t>
      </w:r>
      <w:r>
        <w:rPr>
          <w:rFonts w:ascii="Calibri" w:hAnsi="Calibri" w:cs="FrankRuehl" w:hint="cs"/>
          <w:sz w:val="28"/>
          <w:szCs w:val="28"/>
          <w:rtl/>
        </w:rPr>
        <w:t xml:space="preserve">, ביום 16.2.2012 בסמוך לשעה 20:40, ברחוב שלמה בן יוסף בירושלים, החזיק הנאשם ברכבו, בעת שהיה ביחד עם אחר, </w:t>
      </w:r>
      <w:smartTag w:uri="urn:schemas-microsoft-com:office:smarttags" w:element="metricconverter">
        <w:smartTagPr>
          <w:attr w:name="ProductID" w:val="3.06 גרם"/>
        </w:smartTagPr>
        <w:r>
          <w:rPr>
            <w:rFonts w:ascii="Calibri" w:hAnsi="Calibri" w:cs="FrankRuehl" w:hint="cs"/>
            <w:sz w:val="28"/>
            <w:szCs w:val="28"/>
            <w:rtl/>
          </w:rPr>
          <w:t>3.06 גרם</w:t>
        </w:r>
      </w:smartTag>
      <w:r>
        <w:rPr>
          <w:rFonts w:ascii="Calibri" w:hAnsi="Calibri" w:cs="FrankRuehl" w:hint="cs"/>
          <w:sz w:val="28"/>
          <w:szCs w:val="28"/>
          <w:rtl/>
        </w:rPr>
        <w:t xml:space="preserve"> נטו חשיש לצריכה עצמית, וזאת ללא היתר או רישיון כדין. הנאשם הודה בעובדות האמורות במסגרת התיק המצורף השני, ובגין כך הורשע בעבירה נוספת של החזקת סמים לצריכה עצמית לפי </w:t>
      </w:r>
      <w:hyperlink r:id="rId29" w:history="1">
        <w:r w:rsidR="00B6294A" w:rsidRPr="00B6294A">
          <w:rPr>
            <w:rFonts w:ascii="Calibri" w:hAnsi="Calibri" w:cs="FrankRuehl" w:hint="eastAsia"/>
            <w:color w:val="0000FF"/>
            <w:sz w:val="28"/>
            <w:szCs w:val="28"/>
            <w:u w:val="single"/>
            <w:rtl/>
          </w:rPr>
          <w:t>סעיף</w:t>
        </w:r>
        <w:r w:rsidR="00B6294A" w:rsidRPr="00B6294A">
          <w:rPr>
            <w:rFonts w:ascii="Calibri" w:hAnsi="Calibri" w:cs="FrankRuehl"/>
            <w:color w:val="0000FF"/>
            <w:sz w:val="28"/>
            <w:szCs w:val="28"/>
            <w:u w:val="single"/>
            <w:rtl/>
          </w:rPr>
          <w:t xml:space="preserve"> 7(</w:t>
        </w:r>
        <w:r w:rsidR="00B6294A" w:rsidRPr="00B6294A">
          <w:rPr>
            <w:rFonts w:ascii="Calibri" w:hAnsi="Calibri" w:cs="FrankRuehl" w:hint="eastAsia"/>
            <w:color w:val="0000FF"/>
            <w:sz w:val="28"/>
            <w:szCs w:val="28"/>
            <w:u w:val="single"/>
            <w:rtl/>
          </w:rPr>
          <w:t>א</w:t>
        </w:r>
        <w:r w:rsidR="00B6294A" w:rsidRPr="00B6294A">
          <w:rPr>
            <w:rFonts w:ascii="Calibri" w:hAnsi="Calibri" w:cs="FrankRuehl"/>
            <w:color w:val="0000FF"/>
            <w:sz w:val="28"/>
            <w:szCs w:val="28"/>
            <w:u w:val="single"/>
            <w:rtl/>
          </w:rPr>
          <w:t>)</w:t>
        </w:r>
      </w:hyperlink>
      <w:r>
        <w:rPr>
          <w:rFonts w:ascii="Calibri" w:hAnsi="Calibri" w:cs="FrankRuehl" w:hint="cs"/>
          <w:sz w:val="28"/>
          <w:szCs w:val="28"/>
          <w:rtl/>
        </w:rPr>
        <w:t xml:space="preserve"> ו- </w:t>
      </w:r>
      <w:hyperlink r:id="rId30" w:history="1">
        <w:r w:rsidR="00B6294A" w:rsidRPr="00B6294A">
          <w:rPr>
            <w:rFonts w:ascii="Calibri" w:hAnsi="Calibri" w:cs="FrankRuehl"/>
            <w:color w:val="0000FF"/>
            <w:sz w:val="28"/>
            <w:szCs w:val="28"/>
            <w:u w:val="single"/>
            <w:rtl/>
          </w:rPr>
          <w:t>7(</w:t>
        </w:r>
        <w:r w:rsidR="00B6294A" w:rsidRPr="00B6294A">
          <w:rPr>
            <w:rFonts w:ascii="Calibri" w:hAnsi="Calibri" w:cs="FrankRuehl" w:hint="eastAsia"/>
            <w:color w:val="0000FF"/>
            <w:sz w:val="28"/>
            <w:szCs w:val="28"/>
            <w:u w:val="single"/>
            <w:rtl/>
          </w:rPr>
          <w:t>ג</w:t>
        </w:r>
        <w:r w:rsidR="00B6294A" w:rsidRPr="00B6294A">
          <w:rPr>
            <w:rFonts w:ascii="Calibri" w:hAnsi="Calibri" w:cs="FrankRuehl"/>
            <w:color w:val="0000FF"/>
            <w:sz w:val="28"/>
            <w:szCs w:val="28"/>
            <w:u w:val="single"/>
            <w:rtl/>
          </w:rPr>
          <w:t>)</w:t>
        </w:r>
      </w:hyperlink>
      <w:r>
        <w:rPr>
          <w:rFonts w:ascii="Calibri" w:hAnsi="Calibri" w:cs="FrankRuehl" w:hint="cs"/>
          <w:sz w:val="28"/>
          <w:szCs w:val="28"/>
          <w:rtl/>
        </w:rPr>
        <w:t xml:space="preserve"> סיפא לפקודת הסמים.</w:t>
      </w:r>
    </w:p>
    <w:p w14:paraId="63197429" w14:textId="77777777" w:rsidR="00A0131F" w:rsidRDefault="00A0131F">
      <w:pPr>
        <w:spacing w:after="120" w:line="360" w:lineRule="auto"/>
        <w:jc w:val="both"/>
        <w:rPr>
          <w:rFonts w:ascii="Calibri" w:hAnsi="Calibri" w:cs="FrankRuehl"/>
          <w:sz w:val="28"/>
          <w:szCs w:val="28"/>
          <w:rtl/>
        </w:rPr>
      </w:pPr>
    </w:p>
    <w:p w14:paraId="628A3C35"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ab/>
        <w:t xml:space="preserve">בהתאם לעובדות כתב-האישום </w:t>
      </w:r>
      <w:r>
        <w:rPr>
          <w:rFonts w:ascii="Calibri" w:hAnsi="Calibri" w:cs="FrankRuehl" w:hint="cs"/>
          <w:b/>
          <w:bCs/>
          <w:sz w:val="28"/>
          <w:szCs w:val="28"/>
          <w:rtl/>
        </w:rPr>
        <w:t>בתיק המצורף השלישי</w:t>
      </w:r>
      <w:r>
        <w:rPr>
          <w:rFonts w:ascii="Calibri" w:hAnsi="Calibri" w:cs="FrankRuehl" w:hint="cs"/>
          <w:sz w:val="28"/>
          <w:szCs w:val="28"/>
          <w:rtl/>
        </w:rPr>
        <w:t xml:space="preserve">, ביום 31.5.2012 נפסל הנאשם מלנהוג לתקופה של 3 חודשים על-ידי משרד הרישוי בירושלים. באותו מועד, הפקיד הנאשם את רישיון הנהיגה שלו. ביום 16.7.2012, בסמוך לשעה 08:45, נהג הנאשם ברכב לכיוון הכניסה הדרומית ביישוב אפרת אשר בשטח שיפוט ירושלים, וזאת כאשר הפסילה בתוקף וביודעין. באותן נסיבות, נהג הנאשם ברכב בלא שהייתה על שימושו פוליסת ביטוח בת תוקף וללא רישיון נהיגה תקף (שכן תוקף רישיון הנהיגה של הנאשם פג בדצמבר 2010). הנאשם הודה בעובדות האמורות במסגרת התיק המצורף השלישי, ובגין כך הורשע בעבירות של נהיגה בזמן פסילה לפי </w:t>
      </w:r>
      <w:hyperlink r:id="rId31" w:history="1">
        <w:r w:rsidR="00B6294A" w:rsidRPr="00B6294A">
          <w:rPr>
            <w:rFonts w:ascii="Calibri" w:hAnsi="Calibri" w:cs="FrankRuehl" w:hint="eastAsia"/>
            <w:color w:val="0000FF"/>
            <w:sz w:val="28"/>
            <w:szCs w:val="28"/>
            <w:u w:val="single"/>
            <w:rtl/>
          </w:rPr>
          <w:t>סעיף</w:t>
        </w:r>
        <w:r w:rsidR="00B6294A" w:rsidRPr="00B6294A">
          <w:rPr>
            <w:rFonts w:ascii="Calibri" w:hAnsi="Calibri" w:cs="FrankRuehl"/>
            <w:color w:val="0000FF"/>
            <w:sz w:val="28"/>
            <w:szCs w:val="28"/>
            <w:u w:val="single"/>
            <w:rtl/>
          </w:rPr>
          <w:t xml:space="preserve"> 67</w:t>
        </w:r>
      </w:hyperlink>
      <w:r>
        <w:rPr>
          <w:rFonts w:ascii="Calibri" w:hAnsi="Calibri" w:cs="FrankRuehl" w:hint="cs"/>
          <w:sz w:val="28"/>
          <w:szCs w:val="28"/>
          <w:rtl/>
        </w:rPr>
        <w:t xml:space="preserve"> ל</w:t>
      </w:r>
      <w:hyperlink r:id="rId32" w:history="1">
        <w:r w:rsidRPr="008A5B10">
          <w:rPr>
            <w:rFonts w:ascii="Calibri" w:hAnsi="Calibri" w:cs="FrankRuehl" w:hint="eastAsia"/>
            <w:color w:val="0000FF"/>
            <w:sz w:val="28"/>
            <w:szCs w:val="28"/>
            <w:u w:val="single"/>
            <w:rtl/>
          </w:rPr>
          <w:t>פקודת</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התעבורה</w:t>
        </w:r>
      </w:hyperlink>
      <w:r>
        <w:rPr>
          <w:rFonts w:ascii="Calibri" w:hAnsi="Calibri" w:cs="FrankRuehl" w:hint="cs"/>
          <w:sz w:val="28"/>
          <w:szCs w:val="28"/>
          <w:rtl/>
        </w:rPr>
        <w:t xml:space="preserve"> [נוסח חדש], התשכ"א-1961 (להלן: </w:t>
      </w:r>
      <w:r>
        <w:rPr>
          <w:rFonts w:ascii="Calibri" w:hAnsi="Calibri" w:cs="Miriam" w:hint="cs"/>
          <w:rtl/>
        </w:rPr>
        <w:t>פקודת התעבורה</w:t>
      </w:r>
      <w:r>
        <w:rPr>
          <w:rFonts w:ascii="Calibri" w:hAnsi="Calibri" w:cs="FrankRuehl" w:hint="cs"/>
          <w:sz w:val="28"/>
          <w:szCs w:val="28"/>
          <w:rtl/>
        </w:rPr>
        <w:t xml:space="preserve">); נהיגה ללא רישיון נהיגה תקף לפי </w:t>
      </w:r>
      <w:hyperlink r:id="rId33" w:history="1">
        <w:r w:rsidR="00B6294A" w:rsidRPr="00B6294A">
          <w:rPr>
            <w:rFonts w:ascii="Calibri" w:hAnsi="Calibri" w:cs="FrankRuehl" w:hint="eastAsia"/>
            <w:color w:val="0000FF"/>
            <w:sz w:val="28"/>
            <w:szCs w:val="28"/>
            <w:u w:val="single"/>
            <w:rtl/>
          </w:rPr>
          <w:t>סעיף</w:t>
        </w:r>
        <w:r w:rsidR="00B6294A" w:rsidRPr="00B6294A">
          <w:rPr>
            <w:rFonts w:ascii="Calibri" w:hAnsi="Calibri" w:cs="FrankRuehl"/>
            <w:color w:val="0000FF"/>
            <w:sz w:val="28"/>
            <w:szCs w:val="28"/>
            <w:u w:val="single"/>
            <w:rtl/>
          </w:rPr>
          <w:t xml:space="preserve"> 10</w:t>
        </w:r>
      </w:hyperlink>
      <w:r>
        <w:rPr>
          <w:rFonts w:ascii="Calibri" w:hAnsi="Calibri" w:cs="FrankRuehl" w:hint="cs"/>
          <w:sz w:val="28"/>
          <w:szCs w:val="28"/>
          <w:rtl/>
        </w:rPr>
        <w:t xml:space="preserve"> לפקודת התעבורה; וכן שימוש ברכב ללא פוליסת ביטוח בת תוקף לפי </w:t>
      </w:r>
      <w:hyperlink r:id="rId34" w:history="1">
        <w:r w:rsidR="00B6294A" w:rsidRPr="00B6294A">
          <w:rPr>
            <w:rFonts w:ascii="Calibri" w:hAnsi="Calibri" w:cs="FrankRuehl" w:hint="eastAsia"/>
            <w:color w:val="0000FF"/>
            <w:sz w:val="28"/>
            <w:szCs w:val="28"/>
            <w:u w:val="single"/>
            <w:rtl/>
          </w:rPr>
          <w:t>סעיף</w:t>
        </w:r>
        <w:r w:rsidR="00B6294A" w:rsidRPr="00B6294A">
          <w:rPr>
            <w:rFonts w:ascii="Calibri" w:hAnsi="Calibri" w:cs="FrankRuehl"/>
            <w:color w:val="0000FF"/>
            <w:sz w:val="28"/>
            <w:szCs w:val="28"/>
            <w:u w:val="single"/>
            <w:rtl/>
          </w:rPr>
          <w:t xml:space="preserve"> 2</w:t>
        </w:r>
      </w:hyperlink>
      <w:r>
        <w:rPr>
          <w:rFonts w:ascii="Calibri" w:hAnsi="Calibri" w:cs="FrankRuehl" w:hint="cs"/>
          <w:sz w:val="28"/>
          <w:szCs w:val="28"/>
          <w:rtl/>
        </w:rPr>
        <w:t xml:space="preserve"> ל</w:t>
      </w:r>
      <w:hyperlink r:id="rId35" w:history="1">
        <w:r w:rsidRPr="008A5B10">
          <w:rPr>
            <w:rFonts w:ascii="Calibri" w:hAnsi="Calibri" w:cs="FrankRuehl" w:hint="eastAsia"/>
            <w:color w:val="0000FF"/>
            <w:sz w:val="28"/>
            <w:szCs w:val="28"/>
            <w:u w:val="single"/>
            <w:rtl/>
          </w:rPr>
          <w:t>פקודת</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ביטוח</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רכב</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מנועי</w:t>
        </w:r>
      </w:hyperlink>
      <w:r>
        <w:rPr>
          <w:rFonts w:ascii="Calibri" w:hAnsi="Calibri" w:cs="FrankRuehl" w:hint="cs"/>
          <w:sz w:val="28"/>
          <w:szCs w:val="28"/>
          <w:rtl/>
        </w:rPr>
        <w:t xml:space="preserve"> [נוסח חדש], התש"ל-1970. </w:t>
      </w:r>
    </w:p>
    <w:p w14:paraId="6C34ABFF" w14:textId="77777777" w:rsidR="00A0131F" w:rsidRDefault="00A0131F">
      <w:pPr>
        <w:spacing w:after="120" w:line="360" w:lineRule="auto"/>
        <w:ind w:firstLine="720"/>
        <w:jc w:val="both"/>
        <w:rPr>
          <w:rFonts w:ascii="Calibri" w:hAnsi="Calibri" w:cs="FrankRuehl"/>
          <w:sz w:val="28"/>
          <w:szCs w:val="28"/>
          <w:rtl/>
        </w:rPr>
      </w:pPr>
    </w:p>
    <w:p w14:paraId="3BB7414F"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4.</w:t>
      </w:r>
      <w:r>
        <w:rPr>
          <w:rFonts w:ascii="Calibri" w:hAnsi="Calibri" w:cs="FrankRuehl" w:hint="cs"/>
          <w:sz w:val="28"/>
          <w:szCs w:val="28"/>
          <w:rtl/>
        </w:rPr>
        <w:tab/>
        <w:t xml:space="preserve">לבקשת הסנגור, הוריתי על הפניית הנאשם לשירות המבחן לצורך עריכת תסקיר בעניינו. שירות המבחן התבקש להתייחס בתסקירו הן לתיק העיקרי והן לשלושת התיקים המצורפים כמפורט לעיל. </w:t>
      </w:r>
    </w:p>
    <w:p w14:paraId="00514E4B" w14:textId="77777777" w:rsidR="00A0131F" w:rsidRDefault="00A0131F">
      <w:pPr>
        <w:spacing w:after="120" w:line="360" w:lineRule="auto"/>
        <w:jc w:val="both"/>
        <w:rPr>
          <w:rFonts w:ascii="Calibri" w:hAnsi="Calibri" w:cs="FrankRuehl"/>
          <w:sz w:val="28"/>
          <w:szCs w:val="28"/>
          <w:rtl/>
        </w:rPr>
      </w:pPr>
    </w:p>
    <w:p w14:paraId="4A353783" w14:textId="77777777" w:rsidR="00A0131F" w:rsidRDefault="008A5B10">
      <w:pPr>
        <w:spacing w:after="120" w:line="360" w:lineRule="auto"/>
        <w:jc w:val="both"/>
        <w:rPr>
          <w:rFonts w:ascii="Calibri" w:hAnsi="Calibri" w:cs="FrankRuehl"/>
          <w:sz w:val="28"/>
          <w:szCs w:val="28"/>
          <w:u w:val="single"/>
          <w:rtl/>
        </w:rPr>
      </w:pPr>
      <w:r>
        <w:rPr>
          <w:rFonts w:ascii="Calibri" w:hAnsi="Calibri" w:cs="FrankRuehl" w:hint="cs"/>
          <w:sz w:val="28"/>
          <w:szCs w:val="28"/>
          <w:u w:val="single"/>
          <w:rtl/>
        </w:rPr>
        <w:t xml:space="preserve">תסקירי שירות המבחן </w:t>
      </w:r>
    </w:p>
    <w:p w14:paraId="769F7321"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lastRenderedPageBreak/>
        <w:t>5.</w:t>
      </w:r>
      <w:r>
        <w:rPr>
          <w:rFonts w:ascii="Calibri" w:hAnsi="Calibri" w:cs="FrankRuehl" w:hint="cs"/>
          <w:sz w:val="28"/>
          <w:szCs w:val="28"/>
          <w:rtl/>
        </w:rPr>
        <w:tab/>
        <w:t>מונחים לפניי שלושה תסקירים שהוגשו לעיוני בעניינו של הנאשם:</w:t>
      </w:r>
    </w:p>
    <w:p w14:paraId="5E10BFB5" w14:textId="77777777" w:rsidR="00A0131F" w:rsidRDefault="00A0131F">
      <w:pPr>
        <w:spacing w:after="120" w:line="360" w:lineRule="auto"/>
        <w:jc w:val="both"/>
        <w:rPr>
          <w:rFonts w:ascii="Calibri" w:hAnsi="Calibri" w:cs="FrankRuehl"/>
          <w:sz w:val="28"/>
          <w:szCs w:val="28"/>
          <w:rtl/>
        </w:rPr>
      </w:pPr>
    </w:p>
    <w:p w14:paraId="4397735F" w14:textId="77777777" w:rsidR="00A0131F" w:rsidRDefault="008A5B10">
      <w:pPr>
        <w:spacing w:after="120" w:line="360" w:lineRule="auto"/>
        <w:ind w:firstLine="720"/>
        <w:jc w:val="both"/>
        <w:rPr>
          <w:rFonts w:ascii="Calibri" w:hAnsi="Calibri" w:cs="FrankRuehl"/>
          <w:sz w:val="28"/>
          <w:szCs w:val="28"/>
          <w:rtl/>
        </w:rPr>
      </w:pPr>
      <w:r>
        <w:rPr>
          <w:rFonts w:ascii="Calibri" w:hAnsi="Calibri" w:cs="FrankRuehl" w:hint="cs"/>
          <w:b/>
          <w:bCs/>
          <w:sz w:val="28"/>
          <w:szCs w:val="28"/>
          <w:rtl/>
        </w:rPr>
        <w:t xml:space="preserve">התסקיר הראשון </w:t>
      </w:r>
      <w:r>
        <w:rPr>
          <w:rFonts w:ascii="Calibri" w:hAnsi="Calibri" w:cs="FrankRuehl" w:hint="cs"/>
          <w:sz w:val="28"/>
          <w:szCs w:val="28"/>
          <w:rtl/>
        </w:rPr>
        <w:t xml:space="preserve">הינו מיום 18.5.2014. מהתסקיר עולה כי הנאשם כבן 30, נשוי ואב לשלושה ילדים בגילאים 2-6, מתגורר עם משפחתו בשכונת מגורים ארעית המסופחת ליישוב אפרת. נסיבות חייו של הנאשם אינן פשוטות והן מפורטות בהרחבה בתסקיר שירות המבחן. אמנע מלפרט את הדברים כאן מחמת צנעת הפרט. בקצרה ייאמר כי הנאשם חווה קשיים וטראומות במסגרת משפחת מוצאו בה שני ההורים היו מכורים לסמים, האב נהג באלימות קשה כלפי בני-ביתו ואף ביצע מספר ניסיונות אובדניים לעיני ילדיו. ילדותו של הנאשם בתנאי דחק ועזובה הותירה בו משקעים נפשיים ורגשיים, והשפיעה על התפתחותו והתנהלותו התקינה. עקב הקשיים האמורים, הנאשם שולב במסגרות חוץ-ביתיות מגיל צעיר. בהיותו כבן 16, על רקע קשיים לימודיים והתנהגותיים, עזב את לימודיו, עבר להתגורר בבית סבתו בירושלים ועבד לפרנסתו בבית-דפוס מקומי. בגיל 18 גויס הנאשם לצה"ל. לאחר שלא אושרה בקשתו להכיר בו כחייל בודד, ערק מן השירות הצבאי ועבד לפרנסתו. בהמשך, נדון הנאשם למאסר בכלא צבאי ולאחר מכן שוחרר מהצבא על רקע אי התאמה. לאחר שחרורו של הנאשם מצה"ל עבד באופן קבוע במכולת מקומית, ובהמשך עבד כטבח במשך 6 שנים באותה מסעדה. במהלך עבודתו הכיר את אשתו והשניים נישאו. בשנתיים האחרונות עובד הנאשם כעצמאי בתחום הבנייה והשיפוצים. </w:t>
      </w:r>
    </w:p>
    <w:p w14:paraId="2431DD94" w14:textId="77777777" w:rsidR="00A0131F" w:rsidRDefault="00A0131F">
      <w:pPr>
        <w:spacing w:after="120" w:line="360" w:lineRule="auto"/>
        <w:jc w:val="both"/>
        <w:rPr>
          <w:rFonts w:ascii="Calibri" w:hAnsi="Calibri" w:cs="FrankRuehl"/>
          <w:sz w:val="28"/>
          <w:szCs w:val="28"/>
          <w:rtl/>
        </w:rPr>
      </w:pPr>
    </w:p>
    <w:p w14:paraId="280E36FB"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ab/>
        <w:t xml:space="preserve">מהתסקיר עולה כי לחובת הנאשם רישום קודם של אי-הרשעה בגין עבירת מרמה בגינה נדון לשל"צ. בנוסף, לחובת הנאשם הרשעה קודמת בעבירות של איומים, היזק לרכוש ושימוש בסמים, בגינן נדון למאסר על-תנאי ושל"צ. </w:t>
      </w:r>
    </w:p>
    <w:p w14:paraId="44600836" w14:textId="77777777" w:rsidR="00A0131F" w:rsidRDefault="00A0131F">
      <w:pPr>
        <w:spacing w:after="120" w:line="360" w:lineRule="auto"/>
        <w:jc w:val="both"/>
        <w:rPr>
          <w:rFonts w:ascii="Calibri" w:hAnsi="Calibri" w:cs="FrankRuehl"/>
          <w:sz w:val="28"/>
          <w:szCs w:val="28"/>
          <w:rtl/>
        </w:rPr>
      </w:pPr>
    </w:p>
    <w:p w14:paraId="3327CEF8"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ab/>
        <w:t xml:space="preserve">אשר לעבירות נשוא התיק העיקרי והתיקים המצורפים – הנאשם נטל אחריות לביצוע העבירה נשוא התיק העיקרי, שעניינה שימוש בלתי זהיר בחומר נפיץ, ואף הביע חרטה על ביצועה. לצד זאת, הנאשם טען כי לא היה בכוונתו למכור את הנפצים, אלא הוא קנה אותם לקראת חג הפורים. אשר לעבירות נשוא התיקים המצורפים הראשון והשני - הנאשם נטל אחריות מלאה על שתי העבירות של החזקת סמים לצריכה עצמית. מדבריו עלה כי הוא מודע לבעיית השימוש בסמים ומעוניין לטפל בה. לאחרונה, אף החל תהליך של טיפול שיקומי במסגרת "המכון הירושלמי לטיפול בהתמכרויות ובתחלואה כפולה" (להלן: </w:t>
      </w:r>
      <w:r>
        <w:rPr>
          <w:rFonts w:ascii="Calibri" w:hAnsi="Calibri" w:cs="Miriam" w:hint="cs"/>
          <w:rtl/>
        </w:rPr>
        <w:t>המכון הירושלמי לטיפול בהתמכרויות</w:t>
      </w:r>
      <w:r>
        <w:rPr>
          <w:rFonts w:ascii="Calibri" w:hAnsi="Calibri" w:cs="FrankRuehl" w:hint="cs"/>
          <w:sz w:val="28"/>
          <w:szCs w:val="28"/>
          <w:rtl/>
        </w:rPr>
        <w:t xml:space="preserve">). בנוסף, הנאשם נטל אחריות מלאה לביצוע עבירות התעבורה נשוא התיק המצורף השלישי. לדבריו, פעל מתוך לחץ וחוסר אונים כאשר היה עליו לארגן אירוע אזכרה לאביו. הנאשם הביע חרטה על מעשיו וכן רצון לנהל אורח חיים תקין ויציב. </w:t>
      </w:r>
    </w:p>
    <w:p w14:paraId="193BC149" w14:textId="77777777" w:rsidR="00A0131F" w:rsidRDefault="00A0131F">
      <w:pPr>
        <w:spacing w:after="120" w:line="360" w:lineRule="auto"/>
        <w:jc w:val="both"/>
        <w:rPr>
          <w:rFonts w:ascii="Calibri" w:hAnsi="Calibri" w:cs="FrankRuehl"/>
          <w:sz w:val="28"/>
          <w:szCs w:val="28"/>
          <w:rtl/>
        </w:rPr>
      </w:pPr>
    </w:p>
    <w:p w14:paraId="2472C20C"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ab/>
        <w:t xml:space="preserve">שירות המבחן התרשם כי הנאשם גדל במציאות חיים מורכבת, תוך פגיעות וחסכים פיזיים ונפשיים, ואלה הותירו בו משקעים אותם הוא נושא עד היום. על רקע זה, התרשם שירות המבחן כי במצבים בהם הנאשם חש לחץ, פגיעה, תסכול וחוסר אונים, הוא עלול לפעול באופן פזיז ואימפולסיבי, כפי שאירע בעת ביצוע העבירות הנדונות. בנוסף, התרשם שירות המבחן מקיומה של חשיפה לדפוסי התנהגות שיש בהם אלימות ועבריינות, תוך שימוש לרעה בחומרים ממכרים (צוין כי בדיקה שמסר הנאשם בשירות המבחן נמצאה עם שרידי סם מסוג חשיש). כל אלה מהווים להערכת שירות המבחן גורמי </w:t>
      </w:r>
      <w:r>
        <w:rPr>
          <w:rFonts w:ascii="Calibri" w:hAnsi="Calibri" w:cs="FrankRuehl" w:hint="cs"/>
          <w:sz w:val="28"/>
          <w:szCs w:val="28"/>
          <w:u w:val="single"/>
          <w:rtl/>
        </w:rPr>
        <w:t>סיכון</w:t>
      </w:r>
      <w:r>
        <w:rPr>
          <w:rFonts w:ascii="Calibri" w:hAnsi="Calibri" w:cs="FrankRuehl" w:hint="cs"/>
          <w:sz w:val="28"/>
          <w:szCs w:val="28"/>
          <w:rtl/>
        </w:rPr>
        <w:t xml:space="preserve"> להישנות עבירות בעתיד. לצד האמור, שירות המבחן התרשם כי לאורך השנים הנאשם מגלה כוחות ונחישות להתמודדות, חרף המשברים והקשיים אליהם נחשף מגיל צעיר. כך, בין היתר, הנאשם הקים משפחה, וההתרשמות היא כי הוא פועל מתוך אחריות ומחויבות למשפחתו. הנאשם הביע מוטיבציה לניהול אורח חיים יציב, תוך נכונות לטיפול ולשיקום. במשך השנים הנאשם עומד בקשר עם עובדת סוציאלית מטעם המחלקה לשירותים חברתיים באפרת, ואף החל בטיפול במכון הירושלמי לטיפול בהתמכרויות כאמור לעיל. נראה כי על-אף המשקעים אותם נושא הנאשם, הוא מצליח ליצור קשר חיובי עם גורמי הטיפול ומגלה נכונות ומחויבות לתהליך טיפולי מעמיק. בנוסף, כאמור, הנאשם נטל אחריות למעשיו והביע חרטה. כל אלה מהווים להערכת שירות המבחן גורמי </w:t>
      </w:r>
      <w:r>
        <w:rPr>
          <w:rFonts w:ascii="Calibri" w:hAnsi="Calibri" w:cs="FrankRuehl" w:hint="cs"/>
          <w:sz w:val="28"/>
          <w:szCs w:val="28"/>
          <w:u w:val="single"/>
          <w:rtl/>
        </w:rPr>
        <w:t>סיכוי</w:t>
      </w:r>
      <w:r>
        <w:rPr>
          <w:rFonts w:ascii="Calibri" w:hAnsi="Calibri" w:cs="FrankRuehl" w:hint="cs"/>
          <w:sz w:val="28"/>
          <w:szCs w:val="28"/>
          <w:rtl/>
        </w:rPr>
        <w:t xml:space="preserve"> למניעת הישנות עבריינות בעתיד. </w:t>
      </w:r>
    </w:p>
    <w:p w14:paraId="618B067F" w14:textId="77777777" w:rsidR="00A0131F" w:rsidRDefault="00A0131F">
      <w:pPr>
        <w:spacing w:after="120" w:line="360" w:lineRule="auto"/>
        <w:jc w:val="both"/>
        <w:rPr>
          <w:rFonts w:ascii="Calibri" w:hAnsi="Calibri" w:cs="FrankRuehl"/>
          <w:sz w:val="28"/>
          <w:szCs w:val="28"/>
          <w:rtl/>
        </w:rPr>
      </w:pPr>
    </w:p>
    <w:p w14:paraId="2D85228F"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ab/>
        <w:t xml:space="preserve">במישור ההמלצה – שירות המבחן התרשם כי לצד רצונו של הנאשם לנהל אורח חיים תקין וחיובי, הוא מתקשה להתמודד עם הקשיים והמשברים בחייו ולנהל אורח חיים שומר חוק ללא שימוש בסמים. בהתחשב בכך שהנאשם החל בהליך טיפולי; בשים לב למוטיבציה שמגלה הנאשם לשינוי אורחות חייו; וכן נוכח העובדה כי הינו אב ומפרנס במשפחתו – המליץ שירות המבחן לדחות את הדיון בעניינו בארבעה חודשים במהלכם ימשיך הנאשם בקשר הטיפולי במכון הירושלמי לטיפול בהתמכרויות, ימסור בדיקות לאיתור שרידי סם, וכן תיבחן התקדמותו ואפשרות שילובו במסגרות טיפול נוספות. </w:t>
      </w:r>
    </w:p>
    <w:p w14:paraId="678B9B6B" w14:textId="77777777" w:rsidR="00A0131F" w:rsidRDefault="00A0131F">
      <w:pPr>
        <w:spacing w:after="120" w:line="360" w:lineRule="auto"/>
        <w:jc w:val="both"/>
        <w:rPr>
          <w:rFonts w:ascii="Calibri" w:hAnsi="Calibri" w:cs="FrankRuehl"/>
          <w:sz w:val="28"/>
          <w:szCs w:val="28"/>
          <w:rtl/>
        </w:rPr>
      </w:pPr>
    </w:p>
    <w:p w14:paraId="71D63F0B"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6.</w:t>
      </w:r>
      <w:r>
        <w:rPr>
          <w:rFonts w:ascii="Calibri" w:hAnsi="Calibri" w:cs="FrankRuehl" w:hint="cs"/>
          <w:sz w:val="28"/>
          <w:szCs w:val="28"/>
          <w:rtl/>
        </w:rPr>
        <w:tab/>
        <w:t xml:space="preserve">נוכח האמור בתסקיר, ולבקשת הסנגור, הוריתי על דחיית הדיון בעניינו של הנאשם. שירות המבחן התבקש להגיש תסקיר משלים. יצוין כי המאשימה לא התנגדה לדחיית הדיון, אולם ציינה כי עמדתה העונשית בתיק זה הינה למאסר בפועל. </w:t>
      </w:r>
    </w:p>
    <w:p w14:paraId="433D8DC5" w14:textId="77777777" w:rsidR="00A0131F" w:rsidRDefault="00A0131F">
      <w:pPr>
        <w:spacing w:after="120" w:line="360" w:lineRule="auto"/>
        <w:jc w:val="both"/>
        <w:rPr>
          <w:rFonts w:ascii="Calibri" w:hAnsi="Calibri" w:cs="FrankRuehl"/>
          <w:sz w:val="28"/>
          <w:szCs w:val="28"/>
          <w:rtl/>
        </w:rPr>
      </w:pPr>
    </w:p>
    <w:p w14:paraId="2B749350"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7.</w:t>
      </w:r>
      <w:r>
        <w:rPr>
          <w:rFonts w:ascii="Calibri" w:hAnsi="Calibri" w:cs="FrankRuehl" w:hint="cs"/>
          <w:sz w:val="28"/>
          <w:szCs w:val="28"/>
          <w:rtl/>
        </w:rPr>
        <w:tab/>
      </w:r>
      <w:r>
        <w:rPr>
          <w:rFonts w:ascii="Calibri" w:hAnsi="Calibri" w:cs="FrankRuehl" w:hint="cs"/>
          <w:b/>
          <w:bCs/>
          <w:sz w:val="28"/>
          <w:szCs w:val="28"/>
          <w:rtl/>
        </w:rPr>
        <w:t xml:space="preserve">התסקיר המשלים </w:t>
      </w:r>
      <w:r>
        <w:rPr>
          <w:rFonts w:ascii="Calibri" w:hAnsi="Calibri" w:cs="FrankRuehl" w:hint="cs"/>
          <w:sz w:val="28"/>
          <w:szCs w:val="28"/>
          <w:rtl/>
        </w:rPr>
        <w:t xml:space="preserve">הוגש לעיוני ביום 29.10.2014. מהתסקיר המשלים עולה כי במהלך תקופת הדחייה, הנאשם המשיך להגיע באופן יציב לפגישות הטיפוליות השבועיות במסגרת המכון הירושלמי להתמכרויות. המטפל של הנאשם התרשם ממגמה חיובית של שיתוף פעולה ומסירת בדיקות קבועות לאיתור שרידי סם, אשר נמצאו נקיות. עוד נמסר כי הנאשם מועמד להשתלב בקבוצה טיפולית-ייעודית במסגרת שירות המבחן העתידה להיפתח בקרוב. בנוסף, צוין כי אשתו של הנאשם אינה עובדת כיום וכי הנאשם משמש מפרנס יחיד במשפחתו. שירות המבחן התרשם כי הנאשם מגייס כוחות לשינוי ולשיקום אורחות חייו, תוך הבעת אחריות למשפחתו ולפרנסתה. הנאשם אף הביע רצון להשתלב בתכנית לשיקום וסיוע בתחום התעסוקתי-כלכלי המתקיימת בשירות המבחן. על רקע כל אלה, המליץ שירות המבחן על ענישה אשר תיקח בחשבון את ההליך השיקומי בו החל הנאשם. בהתאם לכך, המליץ שירות המבחן על הטלת צו מבחן למשך שנה, במהלכו ימשיך הנאשם בקשר הטיפולי במסגרת המכון הירושלמי לטיפול בהתמכרויות וכן ישולב בתכנית ייעודית לסיוע ולשיקום כלכלי ותעסוקתי במסגרת שירות המבחן. כמו-כן, המליץ שירות המבחן להטיל על הנאשם מאסר מותנה וכן צו של"צ בהיקף מורחב בן 300 שעות. זאת, בשים לב לכך שהנאשם הינו מפרנס יחיד במשפחתו. </w:t>
      </w:r>
    </w:p>
    <w:p w14:paraId="32442840" w14:textId="77777777" w:rsidR="00A0131F" w:rsidRDefault="00A0131F">
      <w:pPr>
        <w:spacing w:after="120" w:line="360" w:lineRule="auto"/>
        <w:jc w:val="both"/>
        <w:rPr>
          <w:rFonts w:ascii="Calibri" w:hAnsi="Calibri" w:cs="FrankRuehl"/>
          <w:sz w:val="28"/>
          <w:szCs w:val="28"/>
          <w:u w:val="single"/>
          <w:rtl/>
        </w:rPr>
      </w:pPr>
    </w:p>
    <w:p w14:paraId="7BC8DDF6"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8.</w:t>
      </w:r>
      <w:r>
        <w:rPr>
          <w:rFonts w:ascii="Calibri" w:hAnsi="Calibri" w:cs="FrankRuehl" w:hint="cs"/>
          <w:sz w:val="28"/>
          <w:szCs w:val="28"/>
          <w:rtl/>
        </w:rPr>
        <w:tab/>
        <w:t>על-מנת להוסיף ולבחון את התקדמות הנאשם בתהליך הטיפולי בו החל, התבקש שירות המבחן להגיש תסקיר משלים נוסף.</w:t>
      </w:r>
      <w:r>
        <w:rPr>
          <w:rFonts w:ascii="Calibri" w:hAnsi="Calibri" w:cs="FrankRuehl" w:hint="cs"/>
          <w:sz w:val="28"/>
          <w:szCs w:val="28"/>
          <w:rtl/>
        </w:rPr>
        <w:tab/>
      </w:r>
    </w:p>
    <w:p w14:paraId="63F827D7" w14:textId="77777777" w:rsidR="00A0131F" w:rsidRDefault="00A0131F">
      <w:pPr>
        <w:spacing w:after="120" w:line="360" w:lineRule="auto"/>
        <w:jc w:val="both"/>
        <w:rPr>
          <w:rFonts w:ascii="Calibri" w:hAnsi="Calibri" w:cs="FrankRuehl"/>
          <w:sz w:val="28"/>
          <w:szCs w:val="28"/>
          <w:rtl/>
        </w:rPr>
      </w:pPr>
    </w:p>
    <w:p w14:paraId="421D5E83"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ab/>
      </w:r>
      <w:r>
        <w:rPr>
          <w:rFonts w:ascii="Calibri" w:hAnsi="Calibri" w:cs="FrankRuehl" w:hint="cs"/>
          <w:b/>
          <w:bCs/>
          <w:sz w:val="28"/>
          <w:szCs w:val="28"/>
          <w:rtl/>
        </w:rPr>
        <w:t>התסקיר המשלים הנוסף</w:t>
      </w:r>
      <w:r>
        <w:rPr>
          <w:rFonts w:ascii="Calibri" w:hAnsi="Calibri" w:cs="FrankRuehl" w:hint="cs"/>
          <w:sz w:val="28"/>
          <w:szCs w:val="28"/>
          <w:rtl/>
        </w:rPr>
        <w:t xml:space="preserve"> הוגש לעיוני ביום 2.3.2015. מהתסקיר עולה כי הנאשם המשיך בשיתוף פעולה עם שירות המבחן ועם המכון הירושלמי לטיפול בהתמכרויות ובתחלואה כפולה. הדבר בא לידי ביטוי, בין היתר, בהגעה סדירה לפגישות הטיפוליות, במסירת בדיקות באופן קבוע לאיתור שרידי סם אשר נמצאו נקיות, ובהבעת מחויבות לתהליך השיקומי-טיפולי. מדיווח שהתקבל מהעובד-הסוציאלי המטפל בנאשם עלה כי הנאשם מגיע אליו מדי שבוע ועושה עבודה אישית משמעותית. לאחרונה, החל הנאשם לעבוד כטבח ברשת מזון מקומית מדי יום, בשעות הערב והלילה המאוחרות והוא נזקק לרישיון נהיגה כחלק מעבודתו ולצורך התניידות למקום העבודה שכן מדובר בשעות ללא תחבורה ציבורית. </w:t>
      </w:r>
    </w:p>
    <w:p w14:paraId="7BBFA7A5" w14:textId="77777777" w:rsidR="00A0131F" w:rsidRDefault="00A0131F">
      <w:pPr>
        <w:spacing w:after="120" w:line="360" w:lineRule="auto"/>
        <w:jc w:val="both"/>
        <w:rPr>
          <w:rFonts w:ascii="Calibri" w:hAnsi="Calibri" w:cs="FrankRuehl"/>
          <w:sz w:val="28"/>
          <w:szCs w:val="28"/>
          <w:rtl/>
        </w:rPr>
      </w:pPr>
    </w:p>
    <w:p w14:paraId="028F5FE7" w14:textId="77777777" w:rsidR="00A0131F" w:rsidRDefault="008A5B10">
      <w:pPr>
        <w:spacing w:after="120" w:line="360" w:lineRule="auto"/>
        <w:ind w:firstLine="720"/>
        <w:jc w:val="both"/>
        <w:rPr>
          <w:rFonts w:ascii="Calibri" w:hAnsi="Calibri" w:cs="FrankRuehl"/>
          <w:sz w:val="28"/>
          <w:szCs w:val="28"/>
          <w:rtl/>
        </w:rPr>
      </w:pPr>
      <w:r>
        <w:rPr>
          <w:rFonts w:ascii="Calibri" w:hAnsi="Calibri" w:cs="FrankRuehl" w:hint="cs"/>
          <w:sz w:val="28"/>
          <w:szCs w:val="28"/>
          <w:rtl/>
        </w:rPr>
        <w:t>בהתחשב בהשקעה ובמחויבות שמביע הנאשם לתהליך הטיפולי, בהתחשב בהיותן של הבדיקות נקיות מסמים, נוכח השתלבותו של הנאשם לאחרונה בתחום התעסוקתי, נוכח קבלת האחריות למעשים, נוכח העובדה שלא נפתחו תיקים נוספים בעניינו של הנאשם, ובהתחשב בהתרשמות כי הנאשם פועל באחריות למשפחתו ולפרנסתה – חזר שירות המבחן על המלצתו לענישה תומכת שיקום כמפורט בתסקיר הקודם (צו מבחן לשנה, וכן צו של"צ בהיקף של 300 שעות). בנוסף, המליץ שירות המבחן על מאסר על-תנאי ועל פסילה על-תנאי כענישה הרתעתית-מניעתית.</w:t>
      </w:r>
    </w:p>
    <w:p w14:paraId="515ED73E" w14:textId="77777777" w:rsidR="00A0131F" w:rsidRDefault="00A0131F">
      <w:pPr>
        <w:spacing w:after="120" w:line="360" w:lineRule="auto"/>
        <w:jc w:val="both"/>
        <w:rPr>
          <w:rFonts w:ascii="Calibri" w:hAnsi="Calibri" w:cs="FrankRuehl"/>
          <w:sz w:val="28"/>
          <w:szCs w:val="28"/>
          <w:u w:val="single"/>
          <w:rtl/>
        </w:rPr>
      </w:pPr>
    </w:p>
    <w:p w14:paraId="3E743374" w14:textId="77777777" w:rsidR="00A0131F" w:rsidRDefault="008A5B10">
      <w:pPr>
        <w:spacing w:after="120" w:line="360" w:lineRule="auto"/>
        <w:jc w:val="both"/>
        <w:rPr>
          <w:rFonts w:ascii="Calibri" w:hAnsi="Calibri" w:cs="FrankRuehl"/>
          <w:sz w:val="28"/>
          <w:szCs w:val="28"/>
          <w:u w:val="single"/>
          <w:rtl/>
        </w:rPr>
      </w:pPr>
      <w:r>
        <w:rPr>
          <w:rFonts w:ascii="Calibri" w:hAnsi="Calibri" w:cs="FrankRuehl" w:hint="cs"/>
          <w:sz w:val="28"/>
          <w:szCs w:val="28"/>
          <w:u w:val="single"/>
          <w:rtl/>
        </w:rPr>
        <w:t xml:space="preserve">טיעוני הצדדים לעונש </w:t>
      </w:r>
    </w:p>
    <w:p w14:paraId="0AE6B007"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9.</w:t>
      </w:r>
      <w:r>
        <w:rPr>
          <w:rFonts w:ascii="Calibri" w:hAnsi="Calibri" w:cs="FrankRuehl" w:hint="cs"/>
          <w:sz w:val="28"/>
          <w:szCs w:val="28"/>
          <w:rtl/>
        </w:rPr>
        <w:tab/>
        <w:t xml:space="preserve">המאשימה עמדה בטיעוניה על הערכים שנפגעו בגין מכלול העבירות אשר בביצוען הורשע הנאשם. אשר למתחמי הענישה ההולמת - נטען כי מתחם העונש ההולם בגין העבירה של שימוש בלתי זהיר בחומר נפיץ, נע ממאסר מותנה ועד מאסר קצר בפועל, בתוספת קנס ששיעורו נע מ- 1,000 ₪ ועד 4,000 ₪. לעניין העבירה של החזקת סם לצריכה עצמית, נטען כי מתחם העונש ההולם נע משל"צ ועד עבודות שירות. בכל הנוגע לעבירות התעבורה, נטען כי מתחם הענישה ההולמת נע מעבודות שירות ועד מאסר קצר בפועל. אשר לגזירת העונש המתאים - המאשימה עמדה על מכלול הנסיבות לקולא ולחומרה בעניינו של הנאשם, ועתרה להטיל על הנאשם 6 חודשי מאסר בפועל ממש, מאסר על-תנאי בגין כל עבירה בה הורשע וכן קנס בסך אלפי ש"ח. </w:t>
      </w:r>
    </w:p>
    <w:p w14:paraId="4EFBA993" w14:textId="77777777" w:rsidR="00A0131F" w:rsidRDefault="00A0131F">
      <w:pPr>
        <w:spacing w:after="120" w:line="360" w:lineRule="auto"/>
        <w:jc w:val="both"/>
        <w:rPr>
          <w:rFonts w:ascii="Calibri" w:hAnsi="Calibri" w:cs="FrankRuehl"/>
          <w:sz w:val="28"/>
          <w:szCs w:val="28"/>
          <w:u w:val="single"/>
          <w:rtl/>
        </w:rPr>
      </w:pPr>
    </w:p>
    <w:p w14:paraId="27A54C9D"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10.</w:t>
      </w:r>
      <w:r>
        <w:rPr>
          <w:rFonts w:ascii="Calibri" w:hAnsi="Calibri" w:cs="FrankRuehl" w:hint="cs"/>
          <w:sz w:val="28"/>
          <w:szCs w:val="28"/>
          <w:rtl/>
        </w:rPr>
        <w:tab/>
        <w:t xml:space="preserve">מנגד, בא-כוח הנאשם טען כי מתחמי הענישה ההולמת אשר הוצגו על-ידי המאשימה אינם תואמים לרמת הענישה הנוהגת בעבירות הנדונות. הסנגור עמד על מכלול הנסיבות לקולא, ועתר לאמץ את ההמלצה העונשית של שירות המבחן. יצוין כי הסנגור אף הביע הסכמה להטלת עונש של פסילת רישיון הנהיגה של מרשו (עם זאת, הסכמה זו ניתנה </w:t>
      </w:r>
      <w:r>
        <w:rPr>
          <w:rFonts w:ascii="Calibri" w:hAnsi="Calibri" w:cs="FrankRuehl" w:hint="cs"/>
          <w:sz w:val="28"/>
          <w:szCs w:val="28"/>
          <w:u w:val="single"/>
          <w:rtl/>
        </w:rPr>
        <w:t>טרם</w:t>
      </w:r>
      <w:r>
        <w:rPr>
          <w:rFonts w:ascii="Calibri" w:hAnsi="Calibri" w:cs="FrankRuehl" w:hint="cs"/>
          <w:sz w:val="28"/>
          <w:szCs w:val="28"/>
          <w:rtl/>
        </w:rPr>
        <w:t xml:space="preserve"> הגשת התסקיר האחרון שדיווח על כך שהנאשם מצא עבודה בשעות הלילה ואינו יכול להסתייע בתחבורה ציבורית). </w:t>
      </w:r>
    </w:p>
    <w:p w14:paraId="0B78DF35" w14:textId="77777777" w:rsidR="00A0131F" w:rsidRDefault="00A0131F">
      <w:pPr>
        <w:spacing w:after="120" w:line="360" w:lineRule="auto"/>
        <w:jc w:val="both"/>
        <w:rPr>
          <w:rFonts w:ascii="Calibri" w:hAnsi="Calibri" w:cs="FrankRuehl"/>
          <w:sz w:val="28"/>
          <w:szCs w:val="28"/>
          <w:rtl/>
        </w:rPr>
      </w:pPr>
    </w:p>
    <w:p w14:paraId="3717A243"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ab/>
        <w:t xml:space="preserve">יוער, כי באי-כוח שני הצדדים תמכו טענותיהם באסמכתאות מן הפסיקה. </w:t>
      </w:r>
    </w:p>
    <w:p w14:paraId="20B8AC0C" w14:textId="77777777" w:rsidR="00A0131F" w:rsidRDefault="00A0131F">
      <w:pPr>
        <w:spacing w:after="120" w:line="360" w:lineRule="auto"/>
        <w:jc w:val="both"/>
        <w:rPr>
          <w:rFonts w:ascii="Calibri" w:hAnsi="Calibri" w:cs="FrankRuehl"/>
          <w:sz w:val="28"/>
          <w:szCs w:val="28"/>
          <w:rtl/>
        </w:rPr>
      </w:pPr>
    </w:p>
    <w:p w14:paraId="67AD1BAD"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11.</w:t>
      </w:r>
      <w:r>
        <w:rPr>
          <w:rFonts w:ascii="Calibri" w:hAnsi="Calibri" w:cs="FrankRuehl" w:hint="cs"/>
          <w:sz w:val="28"/>
          <w:szCs w:val="28"/>
          <w:rtl/>
        </w:rPr>
        <w:tab/>
        <w:t>הנאשם בדבריו לפניי פירט את נסיבות חייו המורכבות, אשר הובילו לאורח חיים התמכרותי ולביצוע העבירות הנדונות. הנאשם ציין כי לראשונה בחייו פנה מיוזמתו להליך טיפולי והוא משקיע בו את מאמציו. ובלשונו של הנאשם: "אני מרגיש שזה קשה, זה מציף לי דברים ואני בכל זאת ממשיך עם זה...ברור שאני מבין שזה מזיק הסמים, ואני אבא לילדים ולכן מיוזמתי פניתי לטיפול ואני עושה כל מאמץ שם". הנאשם ביקש לסייע לו להמשיך ולצעוד בדרך השיקום, ועתר להימנע מהטלת עונש מאסר בפועל, לרבות בדרך של עבודות שירות, שכן הדבר יקשה עליו לפרנס את אשתו וילדיו.</w:t>
      </w:r>
    </w:p>
    <w:p w14:paraId="770BBB73" w14:textId="77777777" w:rsidR="00A0131F" w:rsidRDefault="00A0131F">
      <w:pPr>
        <w:spacing w:after="120" w:line="360" w:lineRule="auto"/>
        <w:jc w:val="both"/>
        <w:rPr>
          <w:rFonts w:ascii="Calibri" w:hAnsi="Calibri" w:cs="FrankRuehl"/>
          <w:sz w:val="28"/>
          <w:szCs w:val="28"/>
          <w:u w:val="single"/>
          <w:rtl/>
        </w:rPr>
      </w:pPr>
    </w:p>
    <w:p w14:paraId="1823116F" w14:textId="77777777" w:rsidR="00A0131F" w:rsidRDefault="00A0131F">
      <w:pPr>
        <w:spacing w:after="120" w:line="360" w:lineRule="auto"/>
        <w:jc w:val="both"/>
        <w:rPr>
          <w:rFonts w:ascii="Calibri" w:hAnsi="Calibri" w:cs="FrankRuehl"/>
          <w:sz w:val="28"/>
          <w:szCs w:val="28"/>
          <w:u w:val="single"/>
          <w:rtl/>
        </w:rPr>
      </w:pPr>
    </w:p>
    <w:p w14:paraId="14607D1C" w14:textId="77777777" w:rsidR="00A0131F" w:rsidRDefault="00A0131F">
      <w:pPr>
        <w:spacing w:after="120" w:line="360" w:lineRule="auto"/>
        <w:jc w:val="both"/>
        <w:rPr>
          <w:rFonts w:ascii="Calibri" w:hAnsi="Calibri" w:cs="FrankRuehl"/>
          <w:sz w:val="28"/>
          <w:szCs w:val="28"/>
          <w:u w:val="single"/>
          <w:rtl/>
        </w:rPr>
      </w:pPr>
    </w:p>
    <w:p w14:paraId="54AC4DF9" w14:textId="77777777" w:rsidR="00A0131F" w:rsidRDefault="008A5B10">
      <w:pPr>
        <w:spacing w:after="120" w:line="360" w:lineRule="auto"/>
        <w:jc w:val="both"/>
        <w:rPr>
          <w:rFonts w:ascii="Calibri" w:hAnsi="Calibri" w:cs="FrankRuehl"/>
          <w:sz w:val="28"/>
          <w:szCs w:val="28"/>
          <w:u w:val="single"/>
          <w:rtl/>
        </w:rPr>
      </w:pPr>
      <w:r>
        <w:rPr>
          <w:rFonts w:ascii="Calibri" w:hAnsi="Calibri" w:cs="FrankRuehl" w:hint="cs"/>
          <w:sz w:val="28"/>
          <w:szCs w:val="28"/>
          <w:u w:val="single"/>
          <w:rtl/>
        </w:rPr>
        <w:t>ריבוי עבירות</w:t>
      </w:r>
    </w:p>
    <w:p w14:paraId="71382923"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12.</w:t>
      </w:r>
      <w:r>
        <w:rPr>
          <w:rFonts w:ascii="Calibri" w:hAnsi="Calibri" w:cs="FrankRuehl" w:hint="cs"/>
          <w:sz w:val="28"/>
          <w:szCs w:val="28"/>
          <w:rtl/>
        </w:rPr>
        <w:tab/>
        <w:t xml:space="preserve">הנאשם שלפניי צירף לתיק העיקרי שלושה תיקים נוספים. בנסיבות העניין, אני סבורה כי כל תיק מהווה אירוע נפרד בגינו יש לקבוע מתחם ענישה הולמת נפרד, כאמור </w:t>
      </w:r>
      <w:hyperlink r:id="rId36" w:history="1">
        <w:r w:rsidR="00B6294A" w:rsidRPr="00B6294A">
          <w:rPr>
            <w:rFonts w:ascii="Calibri" w:hAnsi="Calibri" w:cs="FrankRuehl" w:hint="eastAsia"/>
            <w:color w:val="0000FF"/>
            <w:sz w:val="28"/>
            <w:szCs w:val="28"/>
            <w:u w:val="single"/>
            <w:rtl/>
          </w:rPr>
          <w:t>בסעיף</w:t>
        </w:r>
        <w:r w:rsidR="00B6294A" w:rsidRPr="00B6294A">
          <w:rPr>
            <w:rFonts w:ascii="Calibri" w:hAnsi="Calibri" w:cs="FrankRuehl"/>
            <w:color w:val="0000FF"/>
            <w:sz w:val="28"/>
            <w:szCs w:val="28"/>
            <w:u w:val="single"/>
            <w:rtl/>
          </w:rPr>
          <w:t xml:space="preserve"> 40</w:t>
        </w:r>
        <w:r w:rsidR="00B6294A" w:rsidRPr="00B6294A">
          <w:rPr>
            <w:rFonts w:ascii="Calibri" w:hAnsi="Calibri" w:cs="FrankRuehl" w:hint="eastAsia"/>
            <w:color w:val="0000FF"/>
            <w:sz w:val="28"/>
            <w:szCs w:val="28"/>
            <w:u w:val="single"/>
            <w:rtl/>
          </w:rPr>
          <w:t>יג</w:t>
        </w:r>
        <w:r w:rsidR="00B6294A" w:rsidRPr="00B6294A">
          <w:rPr>
            <w:rFonts w:ascii="Calibri" w:hAnsi="Calibri" w:cs="FrankRuehl"/>
            <w:color w:val="0000FF"/>
            <w:sz w:val="28"/>
            <w:szCs w:val="28"/>
            <w:u w:val="single"/>
            <w:rtl/>
          </w:rPr>
          <w:t>(</w:t>
        </w:r>
        <w:r w:rsidR="00B6294A" w:rsidRPr="00B6294A">
          <w:rPr>
            <w:rFonts w:ascii="Calibri" w:hAnsi="Calibri" w:cs="FrankRuehl" w:hint="eastAsia"/>
            <w:color w:val="0000FF"/>
            <w:sz w:val="28"/>
            <w:szCs w:val="28"/>
            <w:u w:val="single"/>
            <w:rtl/>
          </w:rPr>
          <w:t>א</w:t>
        </w:r>
        <w:r w:rsidR="00B6294A" w:rsidRPr="00B6294A">
          <w:rPr>
            <w:rFonts w:ascii="Calibri" w:hAnsi="Calibri" w:cs="FrankRuehl"/>
            <w:color w:val="0000FF"/>
            <w:sz w:val="28"/>
            <w:szCs w:val="28"/>
            <w:u w:val="single"/>
            <w:rtl/>
          </w:rPr>
          <w:t>)</w:t>
        </w:r>
      </w:hyperlink>
      <w:r>
        <w:rPr>
          <w:rFonts w:ascii="Calibri" w:hAnsi="Calibri" w:cs="FrankRuehl" w:hint="cs"/>
          <w:sz w:val="28"/>
          <w:szCs w:val="28"/>
          <w:rtl/>
        </w:rPr>
        <w:t xml:space="preserve"> ל</w:t>
      </w:r>
      <w:hyperlink r:id="rId37" w:history="1">
        <w:r w:rsidRPr="008A5B10">
          <w:rPr>
            <w:rFonts w:ascii="Calibri" w:hAnsi="Calibri" w:cs="FrankRuehl" w:hint="eastAsia"/>
            <w:color w:val="0000FF"/>
            <w:sz w:val="28"/>
            <w:szCs w:val="28"/>
            <w:u w:val="single"/>
            <w:rtl/>
          </w:rPr>
          <w:t>חוק</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העונשין</w:t>
        </w:r>
      </w:hyperlink>
      <w:r>
        <w:rPr>
          <w:rFonts w:ascii="Calibri" w:hAnsi="Calibri" w:cs="FrankRuehl" w:hint="cs"/>
          <w:sz w:val="28"/>
          <w:szCs w:val="28"/>
          <w:rtl/>
        </w:rPr>
        <w:t xml:space="preserve">. </w:t>
      </w:r>
    </w:p>
    <w:p w14:paraId="128F2232" w14:textId="77777777" w:rsidR="00A0131F" w:rsidRDefault="00A0131F">
      <w:pPr>
        <w:spacing w:after="120" w:line="360" w:lineRule="auto"/>
        <w:jc w:val="both"/>
        <w:rPr>
          <w:rFonts w:ascii="Calibri" w:hAnsi="Calibri" w:cs="FrankRuehl"/>
          <w:sz w:val="28"/>
          <w:szCs w:val="28"/>
          <w:rtl/>
        </w:rPr>
      </w:pPr>
    </w:p>
    <w:p w14:paraId="181FA305" w14:textId="77777777" w:rsidR="00A0131F" w:rsidRDefault="008A5B10">
      <w:pPr>
        <w:spacing w:after="120" w:line="360" w:lineRule="auto"/>
        <w:ind w:firstLine="720"/>
        <w:jc w:val="both"/>
        <w:rPr>
          <w:rFonts w:ascii="Calibri" w:hAnsi="Calibri" w:cs="FrankRuehl"/>
          <w:sz w:val="28"/>
          <w:szCs w:val="28"/>
          <w:rtl/>
        </w:rPr>
      </w:pPr>
      <w:r>
        <w:rPr>
          <w:rFonts w:ascii="Calibri" w:hAnsi="Calibri" w:cs="FrankRuehl" w:hint="cs"/>
          <w:sz w:val="28"/>
          <w:szCs w:val="28"/>
          <w:rtl/>
        </w:rPr>
        <w:t>ודוק, במסגרת התיק המצורף השלישי, הורשע הנאשם בשלוש עבירות תעבורה שונות. נוכח טיבן של שלוש עבירות התעבורה והקשר ההדוק ביניהן מבחינה כרונולוגית ומבחינה מהותית, אני סבורה כי יש להשקיף עליהן כאירוע אחד, ולקבוע מתחם עונש הולם אחד בעניינן. מסקנה זו מתבקשת הן לפי "המבחן הצורני-עובדתי" והן לפי "מבחן הקשר ההדוק" כפי שפורטו ב</w:t>
      </w:r>
      <w:hyperlink r:id="rId38" w:history="1">
        <w:r w:rsidRPr="008A5B10">
          <w:rPr>
            <w:rFonts w:cs="FrankRuehl"/>
            <w:color w:val="0000FF"/>
            <w:sz w:val="28"/>
            <w:szCs w:val="28"/>
            <w:u w:val="single"/>
            <w:rtl/>
          </w:rPr>
          <w:t>ע"פ 4910/13</w:t>
        </w:r>
      </w:hyperlink>
      <w:r>
        <w:rPr>
          <w:rFonts w:cs="FrankRuehl" w:hint="cs"/>
          <w:sz w:val="28"/>
          <w:szCs w:val="28"/>
          <w:rtl/>
        </w:rPr>
        <w:t xml:space="preserve"> </w:t>
      </w:r>
      <w:r>
        <w:rPr>
          <w:rFonts w:cs="Miriam" w:hint="cs"/>
          <w:rtl/>
        </w:rPr>
        <w:t>ג'אבר נ' מדינת ישראל</w:t>
      </w:r>
      <w:r>
        <w:rPr>
          <w:rFonts w:cs="FrankRuehl" w:hint="cs"/>
          <w:sz w:val="28"/>
          <w:szCs w:val="28"/>
          <w:rtl/>
        </w:rPr>
        <w:t xml:space="preserve"> (29.10.2014)</w:t>
      </w:r>
      <w:r>
        <w:rPr>
          <w:rFonts w:ascii="Calibri" w:hAnsi="Calibri" w:cs="FrankRuehl" w:hint="cs"/>
          <w:sz w:val="28"/>
          <w:szCs w:val="28"/>
          <w:rtl/>
        </w:rPr>
        <w:t xml:space="preserve">. </w:t>
      </w:r>
    </w:p>
    <w:p w14:paraId="10BDBBE7" w14:textId="77777777" w:rsidR="00A0131F" w:rsidRDefault="00A0131F">
      <w:pPr>
        <w:spacing w:after="120" w:line="360" w:lineRule="auto"/>
        <w:ind w:firstLine="720"/>
        <w:jc w:val="both"/>
        <w:rPr>
          <w:rFonts w:ascii="Calibri" w:hAnsi="Calibri" w:cs="FrankRuehl"/>
          <w:sz w:val="28"/>
          <w:szCs w:val="28"/>
          <w:rtl/>
        </w:rPr>
      </w:pPr>
    </w:p>
    <w:p w14:paraId="59DE5286" w14:textId="77777777" w:rsidR="00A0131F" w:rsidRDefault="008A5B10">
      <w:pPr>
        <w:spacing w:after="120" w:line="360" w:lineRule="auto"/>
        <w:ind w:firstLine="720"/>
        <w:jc w:val="both"/>
        <w:rPr>
          <w:rFonts w:ascii="Calibri" w:hAnsi="Calibri" w:cs="FrankRuehl"/>
          <w:sz w:val="28"/>
          <w:szCs w:val="28"/>
          <w:rtl/>
        </w:rPr>
      </w:pPr>
      <w:r>
        <w:rPr>
          <w:rFonts w:ascii="Calibri" w:hAnsi="Calibri" w:cs="FrankRuehl" w:hint="cs"/>
          <w:sz w:val="28"/>
          <w:szCs w:val="28"/>
          <w:rtl/>
        </w:rPr>
        <w:t xml:space="preserve">אציין כבר כעת כי נוכח שיקולי שיקומו של הנאשם כפי שיובהרו להלן, אראה לגזור על הנאשם עונש כולל בגין כל האירועים כאמור </w:t>
      </w:r>
      <w:hyperlink r:id="rId39" w:history="1">
        <w:r w:rsidR="00B6294A" w:rsidRPr="00B6294A">
          <w:rPr>
            <w:rFonts w:ascii="Calibri" w:hAnsi="Calibri" w:cs="FrankRuehl" w:hint="eastAsia"/>
            <w:color w:val="0000FF"/>
            <w:sz w:val="28"/>
            <w:szCs w:val="28"/>
            <w:u w:val="single"/>
            <w:rtl/>
          </w:rPr>
          <w:t>בסעיף</w:t>
        </w:r>
        <w:r w:rsidR="00B6294A" w:rsidRPr="00B6294A">
          <w:rPr>
            <w:rFonts w:ascii="Calibri" w:hAnsi="Calibri" w:cs="FrankRuehl"/>
            <w:color w:val="0000FF"/>
            <w:sz w:val="28"/>
            <w:szCs w:val="28"/>
            <w:u w:val="single"/>
            <w:rtl/>
          </w:rPr>
          <w:t xml:space="preserve"> 40</w:t>
        </w:r>
        <w:r w:rsidR="00B6294A" w:rsidRPr="00B6294A">
          <w:rPr>
            <w:rFonts w:ascii="Calibri" w:hAnsi="Calibri" w:cs="FrankRuehl" w:hint="eastAsia"/>
            <w:color w:val="0000FF"/>
            <w:sz w:val="28"/>
            <w:szCs w:val="28"/>
            <w:u w:val="single"/>
            <w:rtl/>
          </w:rPr>
          <w:t>יג</w:t>
        </w:r>
        <w:r w:rsidR="00B6294A" w:rsidRPr="00B6294A">
          <w:rPr>
            <w:rFonts w:ascii="Calibri" w:hAnsi="Calibri" w:cs="FrankRuehl"/>
            <w:color w:val="0000FF"/>
            <w:sz w:val="28"/>
            <w:szCs w:val="28"/>
            <w:u w:val="single"/>
            <w:rtl/>
          </w:rPr>
          <w:t>(</w:t>
        </w:r>
        <w:r w:rsidR="00B6294A" w:rsidRPr="00B6294A">
          <w:rPr>
            <w:rFonts w:ascii="Calibri" w:hAnsi="Calibri" w:cs="FrankRuehl" w:hint="eastAsia"/>
            <w:color w:val="0000FF"/>
            <w:sz w:val="28"/>
            <w:szCs w:val="28"/>
            <w:u w:val="single"/>
            <w:rtl/>
          </w:rPr>
          <w:t>ב</w:t>
        </w:r>
        <w:r w:rsidR="00B6294A" w:rsidRPr="00B6294A">
          <w:rPr>
            <w:rFonts w:ascii="Calibri" w:hAnsi="Calibri" w:cs="FrankRuehl"/>
            <w:color w:val="0000FF"/>
            <w:sz w:val="28"/>
            <w:szCs w:val="28"/>
            <w:u w:val="single"/>
            <w:rtl/>
          </w:rPr>
          <w:t>)</w:t>
        </w:r>
      </w:hyperlink>
      <w:r>
        <w:rPr>
          <w:rFonts w:ascii="Calibri" w:hAnsi="Calibri" w:cs="FrankRuehl" w:hint="cs"/>
          <w:sz w:val="28"/>
          <w:szCs w:val="28"/>
          <w:rtl/>
        </w:rPr>
        <w:t xml:space="preserve"> ל</w:t>
      </w:r>
      <w:hyperlink r:id="rId40" w:history="1">
        <w:r w:rsidRPr="008A5B10">
          <w:rPr>
            <w:rFonts w:ascii="Calibri" w:hAnsi="Calibri" w:cs="FrankRuehl" w:hint="eastAsia"/>
            <w:color w:val="0000FF"/>
            <w:sz w:val="28"/>
            <w:szCs w:val="28"/>
            <w:u w:val="single"/>
            <w:rtl/>
          </w:rPr>
          <w:t>חוק</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העונשין</w:t>
        </w:r>
      </w:hyperlink>
      <w:r>
        <w:rPr>
          <w:rFonts w:ascii="Calibri" w:hAnsi="Calibri" w:cs="FrankRuehl" w:hint="cs"/>
          <w:sz w:val="28"/>
          <w:szCs w:val="28"/>
          <w:rtl/>
        </w:rPr>
        <w:t>.</w:t>
      </w:r>
    </w:p>
    <w:p w14:paraId="4110D511" w14:textId="77777777" w:rsidR="00A0131F" w:rsidRDefault="00A0131F">
      <w:pPr>
        <w:spacing w:after="120" w:line="360" w:lineRule="auto"/>
        <w:jc w:val="both"/>
        <w:rPr>
          <w:rFonts w:ascii="Calibri" w:hAnsi="Calibri" w:cs="FrankRuehl"/>
          <w:sz w:val="28"/>
          <w:szCs w:val="28"/>
          <w:rtl/>
        </w:rPr>
      </w:pPr>
    </w:p>
    <w:p w14:paraId="3DCAC6B7" w14:textId="77777777" w:rsidR="00A0131F" w:rsidRDefault="008A5B10">
      <w:pPr>
        <w:spacing w:after="120" w:line="360" w:lineRule="auto"/>
        <w:jc w:val="both"/>
        <w:rPr>
          <w:rFonts w:ascii="Calibri" w:hAnsi="Calibri" w:cs="FrankRuehl"/>
          <w:sz w:val="28"/>
          <w:szCs w:val="28"/>
          <w:u w:val="single"/>
          <w:rtl/>
        </w:rPr>
      </w:pPr>
      <w:r>
        <w:rPr>
          <w:rFonts w:ascii="Calibri" w:hAnsi="Calibri" w:cs="FrankRuehl" w:hint="cs"/>
          <w:sz w:val="28"/>
          <w:szCs w:val="28"/>
          <w:u w:val="single"/>
          <w:rtl/>
        </w:rPr>
        <w:t>מתחמי העונש ההולם</w:t>
      </w:r>
    </w:p>
    <w:p w14:paraId="273636A5"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13.</w:t>
      </w:r>
      <w:r>
        <w:rPr>
          <w:rFonts w:ascii="Calibri" w:hAnsi="Calibri" w:cs="FrankRuehl" w:hint="cs"/>
          <w:sz w:val="28"/>
          <w:szCs w:val="28"/>
          <w:rtl/>
        </w:rPr>
        <w:tab/>
        <w:t xml:space="preserve">על-פי </w:t>
      </w:r>
      <w:hyperlink r:id="rId41" w:history="1">
        <w:r w:rsidR="00B6294A" w:rsidRPr="00B6294A">
          <w:rPr>
            <w:rFonts w:ascii="Calibri" w:hAnsi="Calibri" w:cs="FrankRuehl" w:hint="eastAsia"/>
            <w:color w:val="0000FF"/>
            <w:sz w:val="28"/>
            <w:szCs w:val="28"/>
            <w:u w:val="single"/>
            <w:rtl/>
          </w:rPr>
          <w:t>סעיף</w:t>
        </w:r>
        <w:r w:rsidR="00B6294A" w:rsidRPr="00B6294A">
          <w:rPr>
            <w:rFonts w:ascii="Calibri" w:hAnsi="Calibri" w:cs="FrankRuehl"/>
            <w:color w:val="0000FF"/>
            <w:sz w:val="28"/>
            <w:szCs w:val="28"/>
            <w:u w:val="single"/>
            <w:rtl/>
          </w:rPr>
          <w:t xml:space="preserve"> 40</w:t>
        </w:r>
        <w:r w:rsidR="00B6294A" w:rsidRPr="00B6294A">
          <w:rPr>
            <w:rFonts w:ascii="Calibri" w:hAnsi="Calibri" w:cs="FrankRuehl" w:hint="eastAsia"/>
            <w:color w:val="0000FF"/>
            <w:sz w:val="28"/>
            <w:szCs w:val="28"/>
            <w:u w:val="single"/>
            <w:rtl/>
          </w:rPr>
          <w:t>ג</w:t>
        </w:r>
        <w:r w:rsidR="00B6294A" w:rsidRPr="00B6294A">
          <w:rPr>
            <w:rFonts w:ascii="Calibri" w:hAnsi="Calibri" w:cs="FrankRuehl"/>
            <w:color w:val="0000FF"/>
            <w:sz w:val="28"/>
            <w:szCs w:val="28"/>
            <w:u w:val="single"/>
            <w:rtl/>
          </w:rPr>
          <w:t>(</w:t>
        </w:r>
        <w:r w:rsidR="00B6294A" w:rsidRPr="00B6294A">
          <w:rPr>
            <w:rFonts w:ascii="Calibri" w:hAnsi="Calibri" w:cs="FrankRuehl" w:hint="eastAsia"/>
            <w:color w:val="0000FF"/>
            <w:sz w:val="28"/>
            <w:szCs w:val="28"/>
            <w:u w:val="single"/>
            <w:rtl/>
          </w:rPr>
          <w:t>א</w:t>
        </w:r>
        <w:r w:rsidR="00B6294A" w:rsidRPr="00B6294A">
          <w:rPr>
            <w:rFonts w:ascii="Calibri" w:hAnsi="Calibri" w:cs="FrankRuehl"/>
            <w:color w:val="0000FF"/>
            <w:sz w:val="28"/>
            <w:szCs w:val="28"/>
            <w:u w:val="single"/>
            <w:rtl/>
          </w:rPr>
          <w:t>)</w:t>
        </w:r>
      </w:hyperlink>
      <w:r>
        <w:rPr>
          <w:rFonts w:ascii="Calibri" w:hAnsi="Calibri" w:cs="FrankRuehl" w:hint="cs"/>
          <w:sz w:val="28"/>
          <w:szCs w:val="28"/>
          <w:rtl/>
        </w:rPr>
        <w:t xml:space="preserve"> ל</w:t>
      </w:r>
      <w:hyperlink r:id="rId42" w:history="1">
        <w:r w:rsidRPr="008A5B10">
          <w:rPr>
            <w:rFonts w:ascii="Calibri" w:hAnsi="Calibri" w:cs="FrankRuehl" w:hint="eastAsia"/>
            <w:color w:val="0000FF"/>
            <w:sz w:val="28"/>
            <w:szCs w:val="28"/>
            <w:u w:val="single"/>
            <w:rtl/>
          </w:rPr>
          <w:t>חוק</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העונשין</w:t>
        </w:r>
      </w:hyperlink>
      <w:r>
        <w:rPr>
          <w:rFonts w:ascii="Calibri" w:hAnsi="Calibri" w:cs="FrankRuehl" w:hint="cs"/>
          <w:sz w:val="28"/>
          <w:szCs w:val="28"/>
          <w:rtl/>
        </w:rPr>
        <w:t>, יש לקבוע את מתחמי הענישה ההולמת בהתאם לעקרון ההלימה, תוך התחשבות בערך החברתי שנפגע, במידת הפגיעה בו, בנסיבות הקשורות בביצוע העבירות ובמדיניות הענישה הנהוגה.</w:t>
      </w:r>
    </w:p>
    <w:p w14:paraId="65DB1B73" w14:textId="77777777" w:rsidR="00A0131F" w:rsidRDefault="00A0131F">
      <w:pPr>
        <w:spacing w:after="120" w:line="360" w:lineRule="auto"/>
        <w:jc w:val="both"/>
        <w:rPr>
          <w:rFonts w:cs="FrankRuehl"/>
          <w:sz w:val="26"/>
          <w:szCs w:val="26"/>
          <w:rtl/>
        </w:rPr>
      </w:pPr>
    </w:p>
    <w:p w14:paraId="21B8FDDF" w14:textId="77777777" w:rsidR="00A0131F" w:rsidRDefault="008A5B10">
      <w:pPr>
        <w:spacing w:after="120" w:line="360" w:lineRule="auto"/>
        <w:jc w:val="both"/>
        <w:rPr>
          <w:rFonts w:ascii="Calibri" w:hAnsi="Calibri" w:cs="Arial"/>
          <w:sz w:val="28"/>
          <w:szCs w:val="28"/>
          <w:rtl/>
        </w:rPr>
      </w:pPr>
      <w:r>
        <w:rPr>
          <w:rFonts w:ascii="Calibri" w:hAnsi="Calibri" w:cs="FrankRuehl" w:hint="cs"/>
          <w:sz w:val="28"/>
          <w:szCs w:val="28"/>
          <w:rtl/>
        </w:rPr>
        <w:t>14.</w:t>
      </w:r>
      <w:r>
        <w:rPr>
          <w:rFonts w:ascii="Calibri" w:hAnsi="Calibri" w:cs="Miriam" w:hint="cs"/>
          <w:sz w:val="22"/>
          <w:szCs w:val="22"/>
          <w:rtl/>
        </w:rPr>
        <w:tab/>
      </w:r>
      <w:r>
        <w:rPr>
          <w:rFonts w:ascii="Calibri" w:hAnsi="Calibri" w:cs="Miriam" w:hint="cs"/>
          <w:u w:val="single"/>
          <w:rtl/>
        </w:rPr>
        <w:t>בכל הנוגע לתיק העיקרי</w:t>
      </w:r>
      <w:r>
        <w:rPr>
          <w:rFonts w:ascii="Calibri" w:hAnsi="Calibri" w:cs="Miriam" w:hint="cs"/>
          <w:sz w:val="22"/>
          <w:szCs w:val="22"/>
          <w:rtl/>
        </w:rPr>
        <w:t xml:space="preserve"> – </w:t>
      </w:r>
      <w:r>
        <w:rPr>
          <w:rFonts w:ascii="Calibri" w:hAnsi="Calibri" w:cs="FrankRuehl" w:hint="cs"/>
          <w:sz w:val="28"/>
          <w:szCs w:val="28"/>
          <w:rtl/>
        </w:rPr>
        <w:t>במסגרת תיק זה הורשע הנאשם בעבירה של</w:t>
      </w:r>
      <w:r>
        <w:rPr>
          <w:rFonts w:ascii="Calibri" w:hAnsi="Calibri" w:cs="Miriam" w:hint="cs"/>
          <w:sz w:val="22"/>
          <w:szCs w:val="22"/>
          <w:rtl/>
        </w:rPr>
        <w:t xml:space="preserve"> </w:t>
      </w:r>
      <w:r>
        <w:rPr>
          <w:rFonts w:ascii="Calibri" w:hAnsi="Calibri" w:cs="FrankRuehl" w:hint="cs"/>
          <w:sz w:val="28"/>
          <w:szCs w:val="28"/>
          <w:rtl/>
        </w:rPr>
        <w:t xml:space="preserve">שימוש בלתי זהיר בחומר נפיץ לפי </w:t>
      </w:r>
      <w:hyperlink r:id="rId43" w:history="1">
        <w:r w:rsidR="00B6294A" w:rsidRPr="00B6294A">
          <w:rPr>
            <w:rFonts w:ascii="Calibri" w:hAnsi="Calibri" w:cs="FrankRuehl" w:hint="eastAsia"/>
            <w:color w:val="0000FF"/>
            <w:sz w:val="28"/>
            <w:szCs w:val="28"/>
            <w:u w:val="single"/>
            <w:rtl/>
          </w:rPr>
          <w:t>סעיף</w:t>
        </w:r>
        <w:r w:rsidR="00B6294A" w:rsidRPr="00B6294A">
          <w:rPr>
            <w:rFonts w:ascii="Calibri" w:hAnsi="Calibri" w:cs="FrankRuehl"/>
            <w:color w:val="0000FF"/>
            <w:sz w:val="28"/>
            <w:szCs w:val="28"/>
            <w:u w:val="single"/>
            <w:rtl/>
          </w:rPr>
          <w:t xml:space="preserve"> 338(</w:t>
        </w:r>
        <w:r w:rsidR="00B6294A" w:rsidRPr="00B6294A">
          <w:rPr>
            <w:rFonts w:ascii="Calibri" w:hAnsi="Calibri" w:cs="FrankRuehl" w:hint="eastAsia"/>
            <w:color w:val="0000FF"/>
            <w:sz w:val="28"/>
            <w:szCs w:val="28"/>
            <w:u w:val="single"/>
            <w:rtl/>
          </w:rPr>
          <w:t>א</w:t>
        </w:r>
        <w:r w:rsidR="00B6294A" w:rsidRPr="00B6294A">
          <w:rPr>
            <w:rFonts w:ascii="Calibri" w:hAnsi="Calibri" w:cs="FrankRuehl"/>
            <w:color w:val="0000FF"/>
            <w:sz w:val="28"/>
            <w:szCs w:val="28"/>
            <w:u w:val="single"/>
            <w:rtl/>
          </w:rPr>
          <w:t>)(3)</w:t>
        </w:r>
      </w:hyperlink>
      <w:r>
        <w:rPr>
          <w:rFonts w:ascii="Calibri" w:hAnsi="Calibri" w:cs="FrankRuehl" w:hint="cs"/>
          <w:sz w:val="28"/>
          <w:szCs w:val="28"/>
          <w:rtl/>
        </w:rPr>
        <w:t xml:space="preserve"> ל</w:t>
      </w:r>
      <w:hyperlink r:id="rId44" w:history="1">
        <w:r w:rsidRPr="008A5B10">
          <w:rPr>
            <w:rFonts w:ascii="Calibri" w:hAnsi="Calibri" w:cs="FrankRuehl" w:hint="eastAsia"/>
            <w:color w:val="0000FF"/>
            <w:sz w:val="28"/>
            <w:szCs w:val="28"/>
            <w:u w:val="single"/>
            <w:rtl/>
          </w:rPr>
          <w:t>חוק</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העונשין</w:t>
        </w:r>
      </w:hyperlink>
      <w:r>
        <w:rPr>
          <w:rFonts w:ascii="Calibri" w:hAnsi="Calibri" w:cs="FrankRuehl" w:hint="cs"/>
          <w:sz w:val="28"/>
          <w:szCs w:val="28"/>
          <w:rtl/>
        </w:rPr>
        <w:t>.</w:t>
      </w:r>
      <w:r>
        <w:rPr>
          <w:rFonts w:ascii="Calibri" w:hAnsi="Calibri" w:cs="Miriam" w:hint="cs"/>
          <w:sz w:val="22"/>
          <w:szCs w:val="22"/>
          <w:rtl/>
        </w:rPr>
        <w:t xml:space="preserve"> </w:t>
      </w:r>
      <w:r>
        <w:rPr>
          <w:rFonts w:ascii="Calibri" w:hAnsi="Calibri" w:cs="FrankRuehl" w:hint="cs"/>
          <w:b/>
          <w:bCs/>
          <w:sz w:val="28"/>
          <w:szCs w:val="28"/>
          <w:rtl/>
        </w:rPr>
        <w:t>הערכים החברתיים המוגנים</w:t>
      </w:r>
      <w:r>
        <w:rPr>
          <w:rFonts w:ascii="Calibri" w:hAnsi="Calibri" w:cs="FrankRuehl" w:hint="cs"/>
          <w:sz w:val="28"/>
          <w:szCs w:val="28"/>
          <w:rtl/>
        </w:rPr>
        <w:t xml:space="preserve"> המונחים בבסיס העבירה האמורה עניינם בהגנה על הציבור מפני נזקי גוף ורכוש שעלולים להיגרם עקב שימוש בלתי זהיר באש או בחומר נפיץ. בחינת </w:t>
      </w:r>
      <w:r>
        <w:rPr>
          <w:rFonts w:ascii="Calibri" w:hAnsi="Calibri" w:cs="FrankRuehl" w:hint="cs"/>
          <w:b/>
          <w:bCs/>
          <w:sz w:val="28"/>
          <w:szCs w:val="28"/>
          <w:rtl/>
        </w:rPr>
        <w:t>נסיבות ביצוע העבירה</w:t>
      </w:r>
      <w:r>
        <w:rPr>
          <w:rFonts w:ascii="Calibri" w:hAnsi="Calibri" w:cs="FrankRuehl" w:hint="cs"/>
          <w:sz w:val="28"/>
          <w:szCs w:val="28"/>
          <w:rtl/>
        </w:rPr>
        <w:t xml:space="preserve"> מלמדת כי הנאשם החזיק ברכבו כמות גדולה של נפצים בכוונה למכרם. ברי כי אילו הנפצים היו מגיעים לידיים לא אחראיות, עלול היה הדבר להקים סיכון לשלום הציבור וביטחונו. למרבה המזל, הסיכון האמור לא התממש במקרה דנן. </w:t>
      </w:r>
      <w:r>
        <w:rPr>
          <w:rFonts w:ascii="Calibri" w:hAnsi="Calibri" w:cs="FrankRuehl" w:hint="cs"/>
          <w:b/>
          <w:bCs/>
          <w:sz w:val="28"/>
          <w:szCs w:val="28"/>
          <w:rtl/>
        </w:rPr>
        <w:t>בחינת הענישה הנוהגת</w:t>
      </w:r>
      <w:r>
        <w:rPr>
          <w:rFonts w:ascii="Calibri" w:hAnsi="Calibri" w:cs="FrankRuehl" w:hint="cs"/>
          <w:sz w:val="28"/>
          <w:szCs w:val="28"/>
          <w:rtl/>
        </w:rPr>
        <w:t xml:space="preserve"> מעלה כי בתי-המשפט נוהגים להטיל בגין העבירה הנדונה עונשים הנעים מצו מבחן ו/או של"צ ועד עונשי מאסר בפועל לריצוי בדרך של עבודות שירות – הכל בשים לב לנסיבות המעשה ולנסיבותיו של העושה (ראו והשוו: </w:t>
      </w:r>
      <w:hyperlink r:id="rId45" w:history="1">
        <w:r w:rsidRPr="008A5B10">
          <w:rPr>
            <w:rFonts w:ascii="Calibri" w:hAnsi="Calibri" w:cs="FrankRuehl" w:hint="eastAsia"/>
            <w:color w:val="0000FF"/>
            <w:sz w:val="28"/>
            <w:szCs w:val="28"/>
            <w:u w:val="single"/>
            <w:rtl/>
          </w:rPr>
          <w:t>ת</w:t>
        </w:r>
        <w:r w:rsidRPr="008A5B10">
          <w:rPr>
            <w:rFonts w:ascii="Calibri" w:hAnsi="Calibri" w:cs="FrankRuehl"/>
            <w:color w:val="0000FF"/>
            <w:sz w:val="28"/>
            <w:szCs w:val="28"/>
            <w:u w:val="single"/>
            <w:rtl/>
          </w:rPr>
          <w:t>"</w:t>
        </w:r>
        <w:r w:rsidRPr="008A5B10">
          <w:rPr>
            <w:rFonts w:ascii="Calibri" w:hAnsi="Calibri" w:cs="FrankRuehl" w:hint="eastAsia"/>
            <w:color w:val="0000FF"/>
            <w:sz w:val="28"/>
            <w:szCs w:val="28"/>
            <w:u w:val="single"/>
            <w:rtl/>
          </w:rPr>
          <w:t>פ</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מחוזי</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י</w:t>
        </w:r>
        <w:r w:rsidRPr="008A5B10">
          <w:rPr>
            <w:rFonts w:ascii="Calibri" w:hAnsi="Calibri" w:cs="FrankRuehl"/>
            <w:color w:val="0000FF"/>
            <w:sz w:val="28"/>
            <w:szCs w:val="28"/>
            <w:u w:val="single"/>
            <w:rtl/>
          </w:rPr>
          <w:t>-</w:t>
        </w:r>
        <w:r w:rsidRPr="008A5B10">
          <w:rPr>
            <w:rFonts w:ascii="Calibri" w:hAnsi="Calibri" w:cs="FrankRuehl" w:hint="eastAsia"/>
            <w:color w:val="0000FF"/>
            <w:sz w:val="28"/>
            <w:szCs w:val="28"/>
            <w:u w:val="single"/>
            <w:rtl/>
          </w:rPr>
          <w:t>ם</w:t>
        </w:r>
        <w:r w:rsidRPr="008A5B10">
          <w:rPr>
            <w:rFonts w:ascii="Calibri" w:hAnsi="Calibri" w:cs="FrankRuehl"/>
            <w:color w:val="0000FF"/>
            <w:sz w:val="28"/>
            <w:szCs w:val="28"/>
            <w:u w:val="single"/>
            <w:rtl/>
          </w:rPr>
          <w:t>) 53784-12-13</w:t>
        </w:r>
      </w:hyperlink>
      <w:r>
        <w:rPr>
          <w:rFonts w:ascii="Calibri" w:hAnsi="Calibri" w:cs="FrankRuehl" w:hint="cs"/>
          <w:sz w:val="28"/>
          <w:szCs w:val="28"/>
          <w:rtl/>
        </w:rPr>
        <w:t xml:space="preserve"> </w:t>
      </w:r>
      <w:r>
        <w:rPr>
          <w:rFonts w:ascii="Calibri" w:hAnsi="Calibri" w:cs="Miriam" w:hint="cs"/>
          <w:rtl/>
        </w:rPr>
        <w:t>מדינת ישראל נ' סוויסה</w:t>
      </w:r>
      <w:r>
        <w:rPr>
          <w:rFonts w:ascii="Calibri" w:hAnsi="Calibri" w:cs="FrankRuehl" w:hint="cs"/>
          <w:sz w:val="28"/>
          <w:szCs w:val="28"/>
          <w:rtl/>
        </w:rPr>
        <w:t xml:space="preserve"> (23.9.2014); </w:t>
      </w:r>
      <w:hyperlink r:id="rId46" w:history="1">
        <w:r w:rsidRPr="008A5B10">
          <w:rPr>
            <w:rFonts w:ascii="Calibri" w:hAnsi="Calibri" w:cs="FrankRuehl" w:hint="eastAsia"/>
            <w:color w:val="0000FF"/>
            <w:sz w:val="28"/>
            <w:szCs w:val="28"/>
            <w:u w:val="single"/>
            <w:rtl/>
          </w:rPr>
          <w:t>ת</w:t>
        </w:r>
        <w:r w:rsidRPr="008A5B10">
          <w:rPr>
            <w:rFonts w:ascii="Calibri" w:hAnsi="Calibri" w:cs="FrankRuehl"/>
            <w:color w:val="0000FF"/>
            <w:sz w:val="28"/>
            <w:szCs w:val="28"/>
            <w:u w:val="single"/>
            <w:rtl/>
          </w:rPr>
          <w:t>"</w:t>
        </w:r>
        <w:r w:rsidRPr="008A5B10">
          <w:rPr>
            <w:rFonts w:ascii="Calibri" w:hAnsi="Calibri" w:cs="FrankRuehl" w:hint="eastAsia"/>
            <w:color w:val="0000FF"/>
            <w:sz w:val="28"/>
            <w:szCs w:val="28"/>
            <w:u w:val="single"/>
            <w:rtl/>
          </w:rPr>
          <w:t>פ</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מחוזי</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ת</w:t>
        </w:r>
        <w:r w:rsidRPr="008A5B10">
          <w:rPr>
            <w:rFonts w:ascii="Calibri" w:hAnsi="Calibri" w:cs="FrankRuehl"/>
            <w:color w:val="0000FF"/>
            <w:sz w:val="28"/>
            <w:szCs w:val="28"/>
            <w:u w:val="single"/>
            <w:rtl/>
          </w:rPr>
          <w:t>"</w:t>
        </w:r>
        <w:r w:rsidRPr="008A5B10">
          <w:rPr>
            <w:rFonts w:ascii="Calibri" w:hAnsi="Calibri" w:cs="FrankRuehl" w:hint="eastAsia"/>
            <w:color w:val="0000FF"/>
            <w:sz w:val="28"/>
            <w:szCs w:val="28"/>
            <w:u w:val="single"/>
            <w:rtl/>
          </w:rPr>
          <w:t>א</w:t>
        </w:r>
        <w:r w:rsidRPr="008A5B10">
          <w:rPr>
            <w:rFonts w:ascii="Calibri" w:hAnsi="Calibri" w:cs="FrankRuehl"/>
            <w:color w:val="0000FF"/>
            <w:sz w:val="28"/>
            <w:szCs w:val="28"/>
            <w:u w:val="single"/>
            <w:rtl/>
          </w:rPr>
          <w:t>) 5686-02-11</w:t>
        </w:r>
      </w:hyperlink>
      <w:r>
        <w:rPr>
          <w:rFonts w:ascii="Calibri" w:hAnsi="Calibri" w:cs="FrankRuehl" w:hint="cs"/>
          <w:sz w:val="28"/>
          <w:szCs w:val="28"/>
          <w:rtl/>
        </w:rPr>
        <w:t xml:space="preserve"> </w:t>
      </w:r>
      <w:r>
        <w:rPr>
          <w:rFonts w:ascii="Calibri" w:hAnsi="Calibri" w:cs="Miriam" w:hint="cs"/>
          <w:rtl/>
        </w:rPr>
        <w:t>מדינת ישראל נ' פנחס</w:t>
      </w:r>
      <w:r>
        <w:rPr>
          <w:rFonts w:ascii="Calibri" w:hAnsi="Calibri" w:cs="FrankRuehl" w:hint="cs"/>
          <w:sz w:val="28"/>
          <w:szCs w:val="28"/>
          <w:rtl/>
        </w:rPr>
        <w:t xml:space="preserve"> (25.1.2012); </w:t>
      </w:r>
      <w:hyperlink r:id="rId47" w:history="1">
        <w:r w:rsidRPr="008A5B10">
          <w:rPr>
            <w:rFonts w:ascii="Calibri" w:hAnsi="Calibri" w:cs="FrankRuehl" w:hint="eastAsia"/>
            <w:color w:val="0000FF"/>
            <w:sz w:val="28"/>
            <w:szCs w:val="28"/>
            <w:u w:val="single"/>
            <w:rtl/>
          </w:rPr>
          <w:t>ת</w:t>
        </w:r>
        <w:r w:rsidRPr="008A5B10">
          <w:rPr>
            <w:rFonts w:ascii="Calibri" w:hAnsi="Calibri" w:cs="FrankRuehl"/>
            <w:color w:val="0000FF"/>
            <w:sz w:val="28"/>
            <w:szCs w:val="28"/>
            <w:u w:val="single"/>
            <w:rtl/>
          </w:rPr>
          <w:t>"</w:t>
        </w:r>
        <w:r w:rsidRPr="008A5B10">
          <w:rPr>
            <w:rFonts w:ascii="Calibri" w:hAnsi="Calibri" w:cs="FrankRuehl" w:hint="eastAsia"/>
            <w:color w:val="0000FF"/>
            <w:sz w:val="28"/>
            <w:szCs w:val="28"/>
            <w:u w:val="single"/>
            <w:rtl/>
          </w:rPr>
          <w:t>פ</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שלום</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פ</w:t>
        </w:r>
        <w:r w:rsidRPr="008A5B10">
          <w:rPr>
            <w:rFonts w:ascii="Calibri" w:hAnsi="Calibri" w:cs="FrankRuehl"/>
            <w:color w:val="0000FF"/>
            <w:sz w:val="28"/>
            <w:szCs w:val="28"/>
            <w:u w:val="single"/>
            <w:rtl/>
          </w:rPr>
          <w:t>"</w:t>
        </w:r>
        <w:r w:rsidRPr="008A5B10">
          <w:rPr>
            <w:rFonts w:ascii="Calibri" w:hAnsi="Calibri" w:cs="FrankRuehl" w:hint="eastAsia"/>
            <w:color w:val="0000FF"/>
            <w:sz w:val="28"/>
            <w:szCs w:val="28"/>
            <w:u w:val="single"/>
            <w:rtl/>
          </w:rPr>
          <w:t>ת</w:t>
        </w:r>
        <w:r w:rsidRPr="008A5B10">
          <w:rPr>
            <w:rFonts w:ascii="Calibri" w:hAnsi="Calibri" w:cs="FrankRuehl"/>
            <w:color w:val="0000FF"/>
            <w:sz w:val="28"/>
            <w:szCs w:val="28"/>
            <w:u w:val="single"/>
            <w:rtl/>
          </w:rPr>
          <w:t>) 6253-07-09</w:t>
        </w:r>
      </w:hyperlink>
      <w:r>
        <w:rPr>
          <w:rFonts w:ascii="Calibri" w:hAnsi="Calibri" w:cs="FrankRuehl" w:hint="cs"/>
          <w:sz w:val="28"/>
          <w:szCs w:val="28"/>
          <w:rtl/>
        </w:rPr>
        <w:t xml:space="preserve"> </w:t>
      </w:r>
      <w:r>
        <w:rPr>
          <w:rFonts w:ascii="Calibri" w:hAnsi="Calibri" w:cs="Miriam" w:hint="cs"/>
          <w:rtl/>
        </w:rPr>
        <w:t xml:space="preserve">מדינת ישראל נ' קלבנסקי </w:t>
      </w:r>
      <w:r>
        <w:rPr>
          <w:rFonts w:ascii="Calibri" w:hAnsi="Calibri" w:cs="FrankRuehl" w:hint="cs"/>
          <w:sz w:val="28"/>
          <w:szCs w:val="28"/>
          <w:rtl/>
        </w:rPr>
        <w:t xml:space="preserve">(9.3.2010); </w:t>
      </w:r>
      <w:hyperlink r:id="rId48" w:history="1">
        <w:r w:rsidR="0000338C" w:rsidRPr="0000338C">
          <w:rPr>
            <w:rFonts w:ascii="Calibri" w:hAnsi="Calibri" w:cs="FrankRuehl"/>
            <w:color w:val="0000FF"/>
            <w:sz w:val="28"/>
            <w:szCs w:val="28"/>
            <w:u w:val="single"/>
            <w:rtl/>
          </w:rPr>
          <w:t xml:space="preserve">ת"פ (שלום פ"ת) 3387-08 </w:t>
        </w:r>
      </w:hyperlink>
      <w:r>
        <w:rPr>
          <w:rFonts w:ascii="Calibri" w:hAnsi="Calibri" w:cs="FrankRuehl" w:hint="cs"/>
          <w:sz w:val="28"/>
          <w:szCs w:val="28"/>
          <w:rtl/>
        </w:rPr>
        <w:t xml:space="preserve"> </w:t>
      </w:r>
      <w:r>
        <w:rPr>
          <w:rFonts w:ascii="Calibri" w:hAnsi="Calibri" w:cs="Miriam" w:hint="cs"/>
          <w:rtl/>
        </w:rPr>
        <w:t>מדינת ישראל נ' רחמילוב</w:t>
      </w:r>
      <w:r>
        <w:rPr>
          <w:rFonts w:ascii="Calibri" w:hAnsi="Calibri" w:cs="FrankRuehl" w:hint="cs"/>
          <w:sz w:val="28"/>
          <w:szCs w:val="28"/>
          <w:rtl/>
        </w:rPr>
        <w:t xml:space="preserve"> (22.6.2010)). בהתחשב בעקרון המנחה של ההלימה; בשים לב לפגיעה בערכים המוגנים; בהתחשב בנסיבות ביצוע העבירה במקרה דנן; ובהתחשב במדיניות הענישה הנוהגת; אני סבורה כי </w:t>
      </w:r>
      <w:r>
        <w:rPr>
          <w:rFonts w:ascii="Calibri" w:hAnsi="Calibri" w:cs="FrankRuehl" w:hint="cs"/>
          <w:b/>
          <w:bCs/>
          <w:sz w:val="28"/>
          <w:szCs w:val="28"/>
          <w:rtl/>
        </w:rPr>
        <w:t>מתחם העונש ההולם לעבירה של</w:t>
      </w:r>
      <w:r>
        <w:rPr>
          <w:rFonts w:ascii="Calibri" w:hAnsi="Calibri" w:cs="Miriam" w:hint="cs"/>
          <w:b/>
          <w:bCs/>
          <w:sz w:val="22"/>
          <w:szCs w:val="22"/>
          <w:rtl/>
        </w:rPr>
        <w:t xml:space="preserve"> </w:t>
      </w:r>
      <w:r>
        <w:rPr>
          <w:rFonts w:ascii="Calibri" w:hAnsi="Calibri" w:cs="FrankRuehl" w:hint="cs"/>
          <w:b/>
          <w:bCs/>
          <w:sz w:val="28"/>
          <w:szCs w:val="28"/>
          <w:rtl/>
        </w:rPr>
        <w:t>שימוש בלתי זהיר בחומר נפיץ נשוא התיק העיקרי</w:t>
      </w:r>
      <w:r>
        <w:rPr>
          <w:rFonts w:ascii="Calibri" w:hAnsi="Calibri" w:cs="FrankRuehl" w:hint="cs"/>
          <w:sz w:val="28"/>
          <w:szCs w:val="28"/>
          <w:rtl/>
        </w:rPr>
        <w:t xml:space="preserve"> נע מענישה מוחשית משמעותית (אשר עשויה, בין היתר, לכלול רכיב של קנס כספי) ועד מספר בודד של חודשי מאסר בפועל. </w:t>
      </w:r>
    </w:p>
    <w:p w14:paraId="50F0077D" w14:textId="77777777" w:rsidR="00A0131F" w:rsidRDefault="00A0131F">
      <w:pPr>
        <w:spacing w:after="120" w:line="360" w:lineRule="auto"/>
        <w:jc w:val="both"/>
        <w:rPr>
          <w:rFonts w:ascii="Calibri" w:hAnsi="Calibri" w:cs="FrankRuehl"/>
          <w:sz w:val="28"/>
          <w:szCs w:val="28"/>
          <w:rtl/>
        </w:rPr>
      </w:pPr>
    </w:p>
    <w:p w14:paraId="235C1816"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15.</w:t>
      </w:r>
      <w:r>
        <w:rPr>
          <w:rFonts w:ascii="Calibri" w:hAnsi="Calibri" w:cs="FrankRuehl" w:hint="cs"/>
          <w:sz w:val="28"/>
          <w:szCs w:val="28"/>
          <w:rtl/>
        </w:rPr>
        <w:tab/>
      </w:r>
      <w:r>
        <w:rPr>
          <w:rFonts w:ascii="Calibri" w:hAnsi="Calibri" w:cs="Miriam" w:hint="cs"/>
          <w:u w:val="single"/>
          <w:rtl/>
        </w:rPr>
        <w:t>בכל הנוגע לתיקים המצורפים הראשון והשני</w:t>
      </w:r>
      <w:r>
        <w:rPr>
          <w:rFonts w:ascii="Calibri" w:hAnsi="Calibri" w:cs="FrankRuehl" w:hint="cs"/>
          <w:sz w:val="28"/>
          <w:szCs w:val="28"/>
          <w:rtl/>
        </w:rPr>
        <w:t xml:space="preserve"> – בשני התיקים האמורים הורשע הנאשם בעבירה של החזקת סמים לצריכה עצמית. </w:t>
      </w:r>
      <w:r>
        <w:rPr>
          <w:rFonts w:ascii="Calibri" w:hAnsi="Calibri" w:cs="FrankRuehl" w:hint="cs"/>
          <w:b/>
          <w:bCs/>
          <w:sz w:val="28"/>
          <w:szCs w:val="28"/>
          <w:rtl/>
        </w:rPr>
        <w:t>הערכים החברתיים</w:t>
      </w:r>
      <w:r>
        <w:rPr>
          <w:rFonts w:ascii="Calibri" w:hAnsi="Calibri" w:cs="FrankRuehl" w:hint="cs"/>
          <w:sz w:val="28"/>
          <w:szCs w:val="28"/>
          <w:rtl/>
        </w:rPr>
        <w:t xml:space="preserve"> </w:t>
      </w:r>
      <w:r>
        <w:rPr>
          <w:rFonts w:ascii="Calibri" w:hAnsi="Calibri" w:cs="FrankRuehl" w:hint="cs"/>
          <w:b/>
          <w:bCs/>
          <w:sz w:val="28"/>
          <w:szCs w:val="28"/>
          <w:rtl/>
        </w:rPr>
        <w:t xml:space="preserve">המוגנים </w:t>
      </w:r>
      <w:r>
        <w:rPr>
          <w:rFonts w:ascii="Calibri" w:hAnsi="Calibri" w:cs="FrankRuehl" w:hint="cs"/>
          <w:sz w:val="28"/>
          <w:szCs w:val="28"/>
          <w:rtl/>
        </w:rPr>
        <w:t xml:space="preserve">המונחים בבסיס עבירה זו, תכליתם להגן על הפרט ועל הציבור מפני הפגיעה המתלווה לשימוש בסמים מסוכנים. בחינת </w:t>
      </w:r>
      <w:r>
        <w:rPr>
          <w:rFonts w:ascii="Calibri" w:hAnsi="Calibri" w:cs="FrankRuehl" w:hint="cs"/>
          <w:b/>
          <w:bCs/>
          <w:sz w:val="28"/>
          <w:szCs w:val="28"/>
          <w:rtl/>
        </w:rPr>
        <w:t>נסיבות ביצוע העבירות</w:t>
      </w:r>
      <w:r>
        <w:rPr>
          <w:rFonts w:ascii="Calibri" w:hAnsi="Calibri" w:cs="FrankRuehl" w:hint="cs"/>
          <w:sz w:val="28"/>
          <w:szCs w:val="28"/>
          <w:rtl/>
        </w:rPr>
        <w:t xml:space="preserve"> מלמדת כי בשתי הזדמנויות שונות, החזיק הנאשם ברכב סם מסוג חשיש לצריכתו העצמית, במשקל של </w:t>
      </w:r>
      <w:smartTag w:uri="urn:schemas-microsoft-com:office:smarttags" w:element="metricconverter">
        <w:smartTagPr>
          <w:attr w:name="ProductID" w:val="0.1019 גרם"/>
        </w:smartTagPr>
        <w:r>
          <w:rPr>
            <w:rFonts w:ascii="Calibri" w:hAnsi="Calibri" w:cs="FrankRuehl" w:hint="cs"/>
            <w:sz w:val="28"/>
            <w:szCs w:val="28"/>
            <w:rtl/>
          </w:rPr>
          <w:t>0.1019 גרם</w:t>
        </w:r>
      </w:smartTag>
      <w:r>
        <w:rPr>
          <w:rFonts w:ascii="Calibri" w:hAnsi="Calibri" w:cs="FrankRuehl" w:hint="cs"/>
          <w:sz w:val="28"/>
          <w:szCs w:val="28"/>
          <w:rtl/>
        </w:rPr>
        <w:t xml:space="preserve"> נטו בתיק המצורף הראשון, ובמשקל של </w:t>
      </w:r>
      <w:smartTag w:uri="urn:schemas-microsoft-com:office:smarttags" w:element="metricconverter">
        <w:smartTagPr>
          <w:attr w:name="ProductID" w:val="3.06 גרם"/>
        </w:smartTagPr>
        <w:r>
          <w:rPr>
            <w:rFonts w:ascii="Calibri" w:hAnsi="Calibri" w:cs="FrankRuehl" w:hint="cs"/>
            <w:sz w:val="28"/>
            <w:szCs w:val="28"/>
            <w:rtl/>
          </w:rPr>
          <w:t>3.06 גרם</w:t>
        </w:r>
      </w:smartTag>
      <w:r>
        <w:rPr>
          <w:rFonts w:ascii="Calibri" w:hAnsi="Calibri" w:cs="FrankRuehl" w:hint="cs"/>
          <w:sz w:val="28"/>
          <w:szCs w:val="28"/>
          <w:rtl/>
        </w:rPr>
        <w:t xml:space="preserve"> נטו בתיק המצורף השני. מדובר בסוג סם הנחשב מן הסמים ה"קלים", ואף כמות הסם אינה גדולה. יחד עם זאת, כבר נפסק כי סם זה הינו מזיק וכי יש לאכוף את האיסור שקבע המחוקק על החזקתו ועל השימוש בו ללא היתר או רישיון כדין. בחינת </w:t>
      </w:r>
      <w:r>
        <w:rPr>
          <w:rFonts w:ascii="Calibri" w:hAnsi="Calibri" w:cs="FrankRuehl" w:hint="cs"/>
          <w:b/>
          <w:bCs/>
          <w:sz w:val="28"/>
          <w:szCs w:val="28"/>
          <w:rtl/>
        </w:rPr>
        <w:t>הענישה הנוהגת</w:t>
      </w:r>
      <w:r>
        <w:rPr>
          <w:rFonts w:ascii="Calibri" w:hAnsi="Calibri" w:cs="FrankRuehl" w:hint="cs"/>
          <w:sz w:val="28"/>
          <w:szCs w:val="28"/>
          <w:rtl/>
        </w:rPr>
        <w:t xml:space="preserve"> מעלה כי בגין העבירה האמורה נוהגים בתי-המשפט להטיל עונשים הנעים מצו מבחן או מאסר מותנה ועד מאסר בפועל למשך מספר בודד של חודשים (ראו למשל: </w:t>
      </w:r>
      <w:hyperlink r:id="rId49" w:history="1">
        <w:r w:rsidRPr="008A5B10">
          <w:rPr>
            <w:rFonts w:cs="FrankRuehl"/>
            <w:color w:val="0000FF"/>
            <w:sz w:val="28"/>
            <w:szCs w:val="28"/>
            <w:u w:val="single"/>
            <w:rtl/>
          </w:rPr>
          <w:t>רע"פ 6138/09</w:t>
        </w:r>
      </w:hyperlink>
      <w:r>
        <w:rPr>
          <w:rFonts w:ascii="Calibri" w:hAnsi="Calibri" w:cs="FrankRuehl" w:hint="cs"/>
          <w:sz w:val="28"/>
          <w:szCs w:val="28"/>
          <w:rtl/>
        </w:rPr>
        <w:t xml:space="preserve"> </w:t>
      </w:r>
      <w:r>
        <w:rPr>
          <w:rFonts w:ascii="Calibri" w:hAnsi="Calibri" w:cs="Miriam" w:hint="cs"/>
          <w:rtl/>
        </w:rPr>
        <w:t>פרדזב נ' מדינת ישראל</w:t>
      </w:r>
      <w:r>
        <w:rPr>
          <w:rFonts w:ascii="Calibri" w:hAnsi="Calibri" w:cs="FrankRuehl" w:hint="cs"/>
          <w:sz w:val="28"/>
          <w:szCs w:val="28"/>
          <w:rtl/>
        </w:rPr>
        <w:t xml:space="preserve"> (2.8.2009); </w:t>
      </w:r>
      <w:hyperlink r:id="rId50" w:history="1">
        <w:r w:rsidRPr="008A5B10">
          <w:rPr>
            <w:rFonts w:ascii="Calibri" w:hAnsi="Calibri" w:cs="FrankRuehl" w:hint="eastAsia"/>
            <w:color w:val="0000FF"/>
            <w:sz w:val="28"/>
            <w:szCs w:val="28"/>
            <w:u w:val="single"/>
            <w:rtl/>
          </w:rPr>
          <w:t>ת</w:t>
        </w:r>
        <w:r w:rsidRPr="008A5B10">
          <w:rPr>
            <w:rFonts w:ascii="Calibri" w:hAnsi="Calibri" w:cs="FrankRuehl"/>
            <w:color w:val="0000FF"/>
            <w:sz w:val="28"/>
            <w:szCs w:val="28"/>
            <w:u w:val="single"/>
            <w:rtl/>
          </w:rPr>
          <w:t>"</w:t>
        </w:r>
        <w:r w:rsidRPr="008A5B10">
          <w:rPr>
            <w:rFonts w:ascii="Calibri" w:hAnsi="Calibri" w:cs="FrankRuehl" w:hint="eastAsia"/>
            <w:color w:val="0000FF"/>
            <w:sz w:val="28"/>
            <w:szCs w:val="28"/>
            <w:u w:val="single"/>
            <w:rtl/>
          </w:rPr>
          <w:t>פ</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שלום</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ת</w:t>
        </w:r>
        <w:r w:rsidRPr="008A5B10">
          <w:rPr>
            <w:rFonts w:ascii="Calibri" w:hAnsi="Calibri" w:cs="FrankRuehl"/>
            <w:color w:val="0000FF"/>
            <w:sz w:val="28"/>
            <w:szCs w:val="28"/>
            <w:u w:val="single"/>
            <w:rtl/>
          </w:rPr>
          <w:t>"</w:t>
        </w:r>
        <w:r w:rsidRPr="008A5B10">
          <w:rPr>
            <w:rFonts w:ascii="Calibri" w:hAnsi="Calibri" w:cs="FrankRuehl" w:hint="eastAsia"/>
            <w:color w:val="0000FF"/>
            <w:sz w:val="28"/>
            <w:szCs w:val="28"/>
            <w:u w:val="single"/>
            <w:rtl/>
          </w:rPr>
          <w:t>א</w:t>
        </w:r>
        <w:r w:rsidRPr="008A5B10">
          <w:rPr>
            <w:rFonts w:ascii="Calibri" w:hAnsi="Calibri" w:cs="FrankRuehl"/>
            <w:color w:val="0000FF"/>
            <w:sz w:val="28"/>
            <w:szCs w:val="28"/>
            <w:u w:val="single"/>
            <w:rtl/>
          </w:rPr>
          <w:t>) 27905-11-13</w:t>
        </w:r>
      </w:hyperlink>
      <w:r>
        <w:rPr>
          <w:rFonts w:ascii="Calibri" w:hAnsi="Calibri" w:cs="FrankRuehl" w:hint="cs"/>
          <w:sz w:val="28"/>
          <w:szCs w:val="28"/>
          <w:rtl/>
        </w:rPr>
        <w:t xml:space="preserve"> </w:t>
      </w:r>
      <w:r>
        <w:rPr>
          <w:rFonts w:ascii="Calibri" w:hAnsi="Calibri" w:cs="Miriam" w:hint="cs"/>
          <w:rtl/>
        </w:rPr>
        <w:t>מדינת ישראל נ' ראובני</w:t>
      </w:r>
      <w:r>
        <w:rPr>
          <w:rFonts w:ascii="Calibri" w:hAnsi="Calibri" w:cs="FrankRuehl" w:hint="cs"/>
          <w:sz w:val="28"/>
          <w:szCs w:val="28"/>
          <w:rtl/>
        </w:rPr>
        <w:t xml:space="preserve"> (17.11.2014); </w:t>
      </w:r>
      <w:hyperlink r:id="rId51" w:history="1">
        <w:r w:rsidRPr="008A5B10">
          <w:rPr>
            <w:rFonts w:ascii="Calibri" w:hAnsi="Calibri" w:cs="FrankRuehl" w:hint="eastAsia"/>
            <w:color w:val="0000FF"/>
            <w:sz w:val="28"/>
            <w:szCs w:val="28"/>
            <w:u w:val="single"/>
            <w:rtl/>
          </w:rPr>
          <w:t>ת</w:t>
        </w:r>
        <w:r w:rsidRPr="008A5B10">
          <w:rPr>
            <w:rFonts w:ascii="Calibri" w:hAnsi="Calibri" w:cs="FrankRuehl"/>
            <w:color w:val="0000FF"/>
            <w:sz w:val="28"/>
            <w:szCs w:val="28"/>
            <w:u w:val="single"/>
            <w:rtl/>
          </w:rPr>
          <w:t>"</w:t>
        </w:r>
        <w:r w:rsidRPr="008A5B10">
          <w:rPr>
            <w:rFonts w:ascii="Calibri" w:hAnsi="Calibri" w:cs="FrankRuehl" w:hint="eastAsia"/>
            <w:color w:val="0000FF"/>
            <w:sz w:val="28"/>
            <w:szCs w:val="28"/>
            <w:u w:val="single"/>
            <w:rtl/>
          </w:rPr>
          <w:t>פ</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שלום</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רמלה</w:t>
        </w:r>
        <w:r w:rsidRPr="008A5B10">
          <w:rPr>
            <w:rFonts w:ascii="Calibri" w:hAnsi="Calibri" w:cs="FrankRuehl"/>
            <w:color w:val="0000FF"/>
            <w:sz w:val="28"/>
            <w:szCs w:val="28"/>
            <w:u w:val="single"/>
            <w:rtl/>
          </w:rPr>
          <w:t>) 26626-10-12</w:t>
        </w:r>
      </w:hyperlink>
      <w:r>
        <w:rPr>
          <w:rFonts w:ascii="Calibri" w:hAnsi="Calibri" w:cs="FrankRuehl" w:hint="cs"/>
          <w:sz w:val="28"/>
          <w:szCs w:val="28"/>
          <w:rtl/>
        </w:rPr>
        <w:t xml:space="preserve"> </w:t>
      </w:r>
      <w:r>
        <w:rPr>
          <w:rFonts w:ascii="Calibri" w:hAnsi="Calibri" w:cs="Miriam" w:hint="cs"/>
          <w:rtl/>
        </w:rPr>
        <w:t>מדינת ישראל נ' חגאג</w:t>
      </w:r>
      <w:r>
        <w:rPr>
          <w:rFonts w:ascii="Calibri" w:hAnsi="Calibri" w:cs="FrankRuehl" w:hint="cs"/>
          <w:sz w:val="28"/>
          <w:szCs w:val="28"/>
          <w:rtl/>
        </w:rPr>
        <w:t xml:space="preserve"> (7.10.2014); </w:t>
      </w:r>
      <w:hyperlink r:id="rId52" w:history="1">
        <w:r w:rsidRPr="008A5B10">
          <w:rPr>
            <w:rFonts w:cs="FrankRuehl"/>
            <w:color w:val="0000FF"/>
            <w:sz w:val="28"/>
            <w:szCs w:val="28"/>
            <w:u w:val="single"/>
            <w:rtl/>
          </w:rPr>
          <w:t>ת"פ (שלום עכו) 4864-05-11</w:t>
        </w:r>
      </w:hyperlink>
      <w:r>
        <w:rPr>
          <w:rFonts w:ascii="Calibri" w:hAnsi="Calibri" w:cs="FrankRuehl" w:hint="cs"/>
          <w:sz w:val="28"/>
          <w:szCs w:val="28"/>
          <w:rtl/>
        </w:rPr>
        <w:t xml:space="preserve"> </w:t>
      </w:r>
      <w:r>
        <w:rPr>
          <w:rFonts w:ascii="Calibri" w:hAnsi="Calibri" w:cs="Miriam" w:hint="cs"/>
          <w:rtl/>
        </w:rPr>
        <w:t>מדינת ישראל נ' גבריס</w:t>
      </w:r>
      <w:r>
        <w:rPr>
          <w:rFonts w:ascii="Calibri" w:hAnsi="Calibri" w:cs="FrankRuehl" w:hint="cs"/>
          <w:sz w:val="28"/>
          <w:szCs w:val="28"/>
          <w:rtl/>
        </w:rPr>
        <w:t xml:space="preserve"> (18.1.2012); </w:t>
      </w:r>
      <w:hyperlink r:id="rId53" w:history="1">
        <w:r w:rsidRPr="008A5B10">
          <w:rPr>
            <w:rFonts w:cs="FrankRuehl"/>
            <w:color w:val="0000FF"/>
            <w:sz w:val="28"/>
            <w:szCs w:val="28"/>
            <w:u w:val="single"/>
            <w:rtl/>
          </w:rPr>
          <w:t>ת"פ (שלום עכו) 53325-11-10</w:t>
        </w:r>
      </w:hyperlink>
      <w:r>
        <w:rPr>
          <w:rFonts w:ascii="Calibri" w:hAnsi="Calibri" w:cs="FrankRuehl" w:hint="cs"/>
          <w:sz w:val="28"/>
          <w:szCs w:val="28"/>
          <w:rtl/>
        </w:rPr>
        <w:t xml:space="preserve"> </w:t>
      </w:r>
      <w:r>
        <w:rPr>
          <w:rFonts w:ascii="Calibri" w:hAnsi="Calibri" w:cs="Miriam" w:hint="cs"/>
          <w:rtl/>
        </w:rPr>
        <w:t>מדינת ישראל נ' יאסין</w:t>
      </w:r>
      <w:r>
        <w:rPr>
          <w:rFonts w:ascii="Calibri" w:hAnsi="Calibri" w:cs="FrankRuehl" w:hint="cs"/>
          <w:sz w:val="28"/>
          <w:szCs w:val="28"/>
          <w:rtl/>
        </w:rPr>
        <w:t xml:space="preserve"> (6.12.2011)). בהתחשב בעקרון המנחה של ההלימה; בשים לב לפגיעה בערכים המוגנים; בהתחשב בנסיבות ביצוע כל אחת מן העבירות במקרה דנן; ובהתחשב במדיניות הענישה הנוהגת; אני סבורה כי </w:t>
      </w:r>
      <w:r>
        <w:rPr>
          <w:rFonts w:ascii="Calibri" w:hAnsi="Calibri" w:cs="FrankRuehl" w:hint="cs"/>
          <w:b/>
          <w:bCs/>
          <w:sz w:val="28"/>
          <w:szCs w:val="28"/>
          <w:rtl/>
        </w:rPr>
        <w:t xml:space="preserve">מתחם העונש ההולם </w:t>
      </w:r>
      <w:r>
        <w:rPr>
          <w:rFonts w:ascii="Calibri" w:hAnsi="Calibri" w:cs="FrankRuehl" w:hint="cs"/>
          <w:b/>
          <w:bCs/>
          <w:sz w:val="28"/>
          <w:szCs w:val="28"/>
          <w:u w:val="single"/>
          <w:rtl/>
        </w:rPr>
        <w:t>לכל אחת</w:t>
      </w:r>
      <w:r>
        <w:rPr>
          <w:rFonts w:ascii="Calibri" w:hAnsi="Calibri" w:cs="FrankRuehl" w:hint="cs"/>
          <w:b/>
          <w:bCs/>
          <w:sz w:val="28"/>
          <w:szCs w:val="28"/>
          <w:rtl/>
        </w:rPr>
        <w:t xml:space="preserve"> מהעבירות</w:t>
      </w:r>
      <w:r>
        <w:rPr>
          <w:rFonts w:ascii="Calibri" w:hAnsi="Calibri" w:cs="FrankRuehl" w:hint="cs"/>
          <w:sz w:val="28"/>
          <w:szCs w:val="28"/>
          <w:rtl/>
        </w:rPr>
        <w:t xml:space="preserve"> </w:t>
      </w:r>
      <w:r>
        <w:rPr>
          <w:rFonts w:ascii="Calibri" w:hAnsi="Calibri" w:cs="FrankRuehl" w:hint="cs"/>
          <w:b/>
          <w:bCs/>
          <w:sz w:val="28"/>
          <w:szCs w:val="28"/>
          <w:rtl/>
        </w:rPr>
        <w:t xml:space="preserve">של החזקת סם מסוג חשיש לצריכה עצמית (נשוא התיקים המצורפים הראשון והשני) </w:t>
      </w:r>
      <w:r>
        <w:rPr>
          <w:rFonts w:ascii="Calibri" w:hAnsi="Calibri" w:cs="FrankRuehl" w:hint="cs"/>
          <w:sz w:val="28"/>
          <w:szCs w:val="28"/>
          <w:rtl/>
        </w:rPr>
        <w:t xml:space="preserve">נע מהטלת ענישה שצופה פני-עתיד ועד מאסר קצר בפועל. </w:t>
      </w:r>
    </w:p>
    <w:p w14:paraId="1F14B705" w14:textId="77777777" w:rsidR="00A0131F" w:rsidRDefault="00A0131F">
      <w:pPr>
        <w:spacing w:after="120" w:line="360" w:lineRule="auto"/>
        <w:jc w:val="both"/>
        <w:rPr>
          <w:rFonts w:ascii="Calibri" w:hAnsi="Calibri" w:cs="FrankRuehl"/>
          <w:sz w:val="28"/>
          <w:szCs w:val="28"/>
          <w:rtl/>
        </w:rPr>
      </w:pPr>
    </w:p>
    <w:p w14:paraId="78BE090A"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16.</w:t>
      </w:r>
      <w:r>
        <w:rPr>
          <w:rFonts w:ascii="Calibri" w:hAnsi="Calibri" w:cs="FrankRuehl" w:hint="cs"/>
          <w:sz w:val="28"/>
          <w:szCs w:val="28"/>
          <w:rtl/>
        </w:rPr>
        <w:tab/>
      </w:r>
      <w:r>
        <w:rPr>
          <w:rFonts w:ascii="Calibri" w:hAnsi="Calibri" w:cs="Miriam" w:hint="cs"/>
          <w:u w:val="single"/>
          <w:rtl/>
        </w:rPr>
        <w:t>בכל הנוגע לתיק המצורף השלישי</w:t>
      </w:r>
      <w:r>
        <w:rPr>
          <w:rFonts w:ascii="Calibri" w:hAnsi="Calibri" w:cs="FrankRuehl" w:hint="cs"/>
          <w:sz w:val="28"/>
          <w:szCs w:val="28"/>
          <w:rtl/>
        </w:rPr>
        <w:t xml:space="preserve"> – במסגרת תיק זה הורשע הנאשם בעבירות של נהיגה בזמן פסילה, נהיגה ללא רישיון נהיגה תקף, וכן שימוש ברכב ללא פוליסת ביטוח בת תוקף. </w:t>
      </w:r>
      <w:r>
        <w:rPr>
          <w:rFonts w:ascii="Calibri" w:hAnsi="Calibri" w:cs="FrankRuehl" w:hint="cs"/>
          <w:b/>
          <w:bCs/>
          <w:sz w:val="28"/>
          <w:szCs w:val="28"/>
          <w:rtl/>
        </w:rPr>
        <w:t>הערכים החברתיים המוגנים</w:t>
      </w:r>
      <w:r>
        <w:rPr>
          <w:rFonts w:ascii="Calibri" w:hAnsi="Calibri" w:cs="FrankRuehl" w:hint="cs"/>
          <w:sz w:val="28"/>
          <w:szCs w:val="28"/>
          <w:rtl/>
        </w:rPr>
        <w:t xml:space="preserve"> שנפגעו בגין העבירות האמורות, עניינם בהגנה על שלטון החוק ועל ביטחונם ושלמות גופם של המשתמשים בדרך. </w:t>
      </w:r>
      <w:r>
        <w:rPr>
          <w:rFonts w:ascii="Calibri" w:hAnsi="Calibri" w:cs="FrankRuehl" w:hint="cs"/>
          <w:b/>
          <w:bCs/>
          <w:sz w:val="28"/>
          <w:szCs w:val="28"/>
          <w:rtl/>
        </w:rPr>
        <w:t>מנסיבות ביצוע העבירות</w:t>
      </w:r>
      <w:r>
        <w:rPr>
          <w:rFonts w:ascii="Calibri" w:hAnsi="Calibri" w:cs="FrankRuehl" w:hint="cs"/>
          <w:sz w:val="28"/>
          <w:szCs w:val="28"/>
          <w:rtl/>
        </w:rPr>
        <w:t xml:space="preserve"> במקרה דנן עולה כי הנאשם נהג ברכב בעת שתוקף רישיון הנהיגה שלו פג ובעת שהוא פסול מלנהוג, כחודש וחצי בלבד לאחר שהפקיד את רישיון הנהיגה שלו במשרד הרישוי. בנוסף, לרכב לא הייתה פוליסת ביטוח בתוקף. התנהלות זו של הנאשם מלמדת על זלזול בחוק, תוך סיכון פוטנציאלי של המשתמשים בדרך. בחינת </w:t>
      </w:r>
      <w:r>
        <w:rPr>
          <w:rFonts w:ascii="Calibri" w:hAnsi="Calibri" w:cs="FrankRuehl" w:hint="cs"/>
          <w:b/>
          <w:bCs/>
          <w:sz w:val="28"/>
          <w:szCs w:val="28"/>
          <w:rtl/>
        </w:rPr>
        <w:t>מדיניות הענישה הנוהגת</w:t>
      </w:r>
      <w:r>
        <w:rPr>
          <w:rFonts w:ascii="Calibri" w:hAnsi="Calibri" w:cs="FrankRuehl" w:hint="cs"/>
          <w:sz w:val="28"/>
          <w:szCs w:val="28"/>
          <w:rtl/>
        </w:rPr>
        <w:t xml:space="preserve"> מלמדת כי בתי-המשפט נוהגים להטיל על מי שהורשע בעבירות תעבורה מן הסוג בו עסקינן, עונשים הנעים מעונש שאינו כולל רכיב של מאסר בפועל; דרך עונש מאסר בפועל לריצוי בדרך של עבודות שירות; וכלה בעונשי מאסר בפועל לריצוי מאחורי סורג ובריח. זאת, לצד ענישה נלווית הכוללת גם פסילה בפועל ו/או על-תנאי של רישיון הנהיגה (ראו והשוו: </w:t>
      </w:r>
      <w:hyperlink r:id="rId54" w:history="1">
        <w:r w:rsidRPr="008A5B10">
          <w:rPr>
            <w:rFonts w:ascii="Calibri" w:hAnsi="Calibri" w:cs="FrankRuehl" w:hint="eastAsia"/>
            <w:color w:val="0000FF"/>
            <w:sz w:val="28"/>
            <w:szCs w:val="28"/>
            <w:u w:val="single"/>
            <w:rtl/>
          </w:rPr>
          <w:t>רע</w:t>
        </w:r>
        <w:r w:rsidRPr="008A5B10">
          <w:rPr>
            <w:rFonts w:ascii="Calibri" w:hAnsi="Calibri" w:cs="FrankRuehl"/>
            <w:color w:val="0000FF"/>
            <w:sz w:val="28"/>
            <w:szCs w:val="28"/>
            <w:u w:val="single"/>
            <w:rtl/>
          </w:rPr>
          <w:t>"</w:t>
        </w:r>
        <w:r w:rsidRPr="008A5B10">
          <w:rPr>
            <w:rFonts w:ascii="Calibri" w:hAnsi="Calibri" w:cs="FrankRuehl" w:hint="eastAsia"/>
            <w:color w:val="0000FF"/>
            <w:sz w:val="28"/>
            <w:szCs w:val="28"/>
            <w:u w:val="single"/>
            <w:rtl/>
          </w:rPr>
          <w:t>פ</w:t>
        </w:r>
        <w:r w:rsidRPr="008A5B10">
          <w:rPr>
            <w:rFonts w:ascii="Calibri" w:hAnsi="Calibri" w:cs="FrankRuehl"/>
            <w:color w:val="0000FF"/>
            <w:sz w:val="28"/>
            <w:szCs w:val="28"/>
            <w:u w:val="single"/>
            <w:rtl/>
          </w:rPr>
          <w:t xml:space="preserve"> 7982/13</w:t>
        </w:r>
      </w:hyperlink>
      <w:r>
        <w:rPr>
          <w:rFonts w:ascii="Calibri" w:hAnsi="Calibri" w:cs="FrankRuehl" w:hint="cs"/>
          <w:sz w:val="28"/>
          <w:szCs w:val="28"/>
          <w:rtl/>
        </w:rPr>
        <w:t xml:space="preserve"> </w:t>
      </w:r>
      <w:r>
        <w:rPr>
          <w:rFonts w:ascii="Calibri" w:hAnsi="Calibri" w:cs="Miriam" w:hint="cs"/>
          <w:rtl/>
        </w:rPr>
        <w:t>שגן נ' מדינת ישראל</w:t>
      </w:r>
      <w:r>
        <w:rPr>
          <w:rFonts w:ascii="Calibri" w:hAnsi="Calibri" w:cs="FrankRuehl" w:hint="cs"/>
          <w:sz w:val="28"/>
          <w:szCs w:val="28"/>
          <w:rtl/>
        </w:rPr>
        <w:t xml:space="preserve">, פיסקה 5 (6.1.2014); </w:t>
      </w:r>
      <w:hyperlink r:id="rId55" w:history="1">
        <w:r w:rsidRPr="008A5B10">
          <w:rPr>
            <w:rFonts w:ascii="Calibri" w:hAnsi="Calibri" w:cs="FrankRuehl" w:hint="eastAsia"/>
            <w:color w:val="0000FF"/>
            <w:sz w:val="28"/>
            <w:szCs w:val="28"/>
            <w:u w:val="single"/>
            <w:rtl/>
          </w:rPr>
          <w:t>רע</w:t>
        </w:r>
        <w:r w:rsidRPr="008A5B10">
          <w:rPr>
            <w:rFonts w:ascii="Calibri" w:hAnsi="Calibri" w:cs="FrankRuehl"/>
            <w:color w:val="0000FF"/>
            <w:sz w:val="28"/>
            <w:szCs w:val="28"/>
            <w:u w:val="single"/>
            <w:rtl/>
          </w:rPr>
          <w:t>"</w:t>
        </w:r>
        <w:r w:rsidRPr="008A5B10">
          <w:rPr>
            <w:rFonts w:ascii="Calibri" w:hAnsi="Calibri" w:cs="FrankRuehl" w:hint="eastAsia"/>
            <w:color w:val="0000FF"/>
            <w:sz w:val="28"/>
            <w:szCs w:val="28"/>
            <w:u w:val="single"/>
            <w:rtl/>
          </w:rPr>
          <w:t>פ</w:t>
        </w:r>
        <w:r w:rsidRPr="008A5B10">
          <w:rPr>
            <w:rFonts w:ascii="Calibri" w:hAnsi="Calibri" w:cs="FrankRuehl"/>
            <w:color w:val="0000FF"/>
            <w:sz w:val="28"/>
            <w:szCs w:val="28"/>
            <w:u w:val="single"/>
            <w:rtl/>
          </w:rPr>
          <w:t xml:space="preserve"> 6115/06</w:t>
        </w:r>
      </w:hyperlink>
      <w:r>
        <w:rPr>
          <w:rFonts w:ascii="Calibri" w:hAnsi="Calibri" w:cs="FrankRuehl" w:hint="cs"/>
          <w:sz w:val="28"/>
          <w:szCs w:val="28"/>
          <w:rtl/>
        </w:rPr>
        <w:t xml:space="preserve"> </w:t>
      </w:r>
      <w:r>
        <w:rPr>
          <w:rFonts w:ascii="Calibri" w:hAnsi="Calibri" w:cs="Miriam" w:hint="cs"/>
          <w:rtl/>
        </w:rPr>
        <w:t>מדינת ישראל נ' אבו לבן</w:t>
      </w:r>
      <w:r>
        <w:rPr>
          <w:rFonts w:ascii="Calibri" w:hAnsi="Calibri" w:cs="FrankRuehl" w:hint="cs"/>
          <w:sz w:val="28"/>
          <w:szCs w:val="28"/>
          <w:rtl/>
        </w:rPr>
        <w:t xml:space="preserve"> (8.5.2007); </w:t>
      </w:r>
      <w:hyperlink r:id="rId56" w:history="1">
        <w:r w:rsidRPr="008A5B10">
          <w:rPr>
            <w:rFonts w:ascii="Calibri" w:hAnsi="Calibri" w:cs="FrankRuehl" w:hint="eastAsia"/>
            <w:color w:val="0000FF"/>
            <w:sz w:val="28"/>
            <w:szCs w:val="28"/>
            <w:u w:val="single"/>
            <w:rtl/>
          </w:rPr>
          <w:t>רע</w:t>
        </w:r>
        <w:r w:rsidRPr="008A5B10">
          <w:rPr>
            <w:rFonts w:ascii="Calibri" w:hAnsi="Calibri" w:cs="FrankRuehl"/>
            <w:color w:val="0000FF"/>
            <w:sz w:val="28"/>
            <w:szCs w:val="28"/>
            <w:u w:val="single"/>
            <w:rtl/>
          </w:rPr>
          <w:t>"</w:t>
        </w:r>
        <w:r w:rsidRPr="008A5B10">
          <w:rPr>
            <w:rFonts w:ascii="Calibri" w:hAnsi="Calibri" w:cs="FrankRuehl" w:hint="eastAsia"/>
            <w:color w:val="0000FF"/>
            <w:sz w:val="28"/>
            <w:szCs w:val="28"/>
            <w:u w:val="single"/>
            <w:rtl/>
          </w:rPr>
          <w:t>פ</w:t>
        </w:r>
        <w:r w:rsidRPr="008A5B10">
          <w:rPr>
            <w:rFonts w:ascii="Calibri" w:hAnsi="Calibri" w:cs="FrankRuehl"/>
            <w:color w:val="0000FF"/>
            <w:sz w:val="28"/>
            <w:szCs w:val="28"/>
            <w:u w:val="single"/>
            <w:rtl/>
          </w:rPr>
          <w:t xml:space="preserve"> 4049/05</w:t>
        </w:r>
      </w:hyperlink>
      <w:r>
        <w:rPr>
          <w:rFonts w:ascii="Calibri" w:hAnsi="Calibri" w:cs="FrankRuehl" w:hint="cs"/>
          <w:sz w:val="28"/>
          <w:szCs w:val="28"/>
          <w:rtl/>
        </w:rPr>
        <w:t xml:space="preserve"> </w:t>
      </w:r>
      <w:r>
        <w:rPr>
          <w:rFonts w:ascii="Calibri" w:hAnsi="Calibri" w:cs="Miriam" w:hint="cs"/>
          <w:rtl/>
        </w:rPr>
        <w:t>גבארה נ'</w:t>
      </w:r>
      <w:r>
        <w:rPr>
          <w:rFonts w:ascii="Calibri" w:hAnsi="Calibri" w:cs="Miriam" w:hint="cs"/>
          <w:sz w:val="22"/>
          <w:szCs w:val="22"/>
          <w:rtl/>
        </w:rPr>
        <w:t xml:space="preserve"> </w:t>
      </w:r>
      <w:r>
        <w:rPr>
          <w:rFonts w:ascii="Calibri" w:hAnsi="Calibri" w:cs="Miriam" w:hint="cs"/>
          <w:rtl/>
        </w:rPr>
        <w:t xml:space="preserve">מדינת ישראל </w:t>
      </w:r>
      <w:r>
        <w:rPr>
          <w:rFonts w:ascii="Calibri" w:hAnsi="Calibri" w:cs="FrankRuehl" w:hint="cs"/>
          <w:sz w:val="28"/>
          <w:szCs w:val="28"/>
          <w:rtl/>
        </w:rPr>
        <w:t xml:space="preserve">(28.4.2005); </w:t>
      </w:r>
      <w:hyperlink r:id="rId57" w:history="1">
        <w:r w:rsidRPr="008A5B10">
          <w:rPr>
            <w:rFonts w:ascii="Calibri" w:hAnsi="Calibri" w:cs="FrankRuehl" w:hint="eastAsia"/>
            <w:color w:val="0000FF"/>
            <w:sz w:val="28"/>
            <w:szCs w:val="28"/>
            <w:u w:val="single"/>
            <w:rtl/>
          </w:rPr>
          <w:t>פל</w:t>
        </w:r>
        <w:r w:rsidRPr="008A5B10">
          <w:rPr>
            <w:rFonts w:ascii="Calibri" w:hAnsi="Calibri" w:cs="FrankRuehl"/>
            <w:color w:val="0000FF"/>
            <w:sz w:val="28"/>
            <w:szCs w:val="28"/>
            <w:u w:val="single"/>
            <w:rtl/>
          </w:rPr>
          <w:t>"</w:t>
        </w:r>
        <w:r w:rsidRPr="008A5B10">
          <w:rPr>
            <w:rFonts w:ascii="Calibri" w:hAnsi="Calibri" w:cs="FrankRuehl" w:hint="eastAsia"/>
            <w:color w:val="0000FF"/>
            <w:sz w:val="28"/>
            <w:szCs w:val="28"/>
            <w:u w:val="single"/>
            <w:rtl/>
          </w:rPr>
          <w:t>א</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תעבורה</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י</w:t>
        </w:r>
        <w:r w:rsidRPr="008A5B10">
          <w:rPr>
            <w:rFonts w:ascii="Calibri" w:hAnsi="Calibri" w:cs="FrankRuehl"/>
            <w:color w:val="0000FF"/>
            <w:sz w:val="28"/>
            <w:szCs w:val="28"/>
            <w:u w:val="single"/>
            <w:rtl/>
          </w:rPr>
          <w:t>-</w:t>
        </w:r>
        <w:r w:rsidRPr="008A5B10">
          <w:rPr>
            <w:rFonts w:ascii="Calibri" w:hAnsi="Calibri" w:cs="FrankRuehl" w:hint="eastAsia"/>
            <w:color w:val="0000FF"/>
            <w:sz w:val="28"/>
            <w:szCs w:val="28"/>
            <w:u w:val="single"/>
            <w:rtl/>
          </w:rPr>
          <w:t>ם</w:t>
        </w:r>
        <w:r w:rsidRPr="008A5B10">
          <w:rPr>
            <w:rFonts w:ascii="Calibri" w:hAnsi="Calibri" w:cs="FrankRuehl"/>
            <w:color w:val="0000FF"/>
            <w:sz w:val="28"/>
            <w:szCs w:val="28"/>
            <w:u w:val="single"/>
            <w:rtl/>
          </w:rPr>
          <w:t>) 2135-11-13</w:t>
        </w:r>
      </w:hyperlink>
      <w:r>
        <w:rPr>
          <w:rFonts w:ascii="Calibri" w:hAnsi="Calibri" w:cs="FrankRuehl" w:hint="cs"/>
          <w:sz w:val="28"/>
          <w:szCs w:val="28"/>
          <w:rtl/>
        </w:rPr>
        <w:t xml:space="preserve"> </w:t>
      </w:r>
      <w:r>
        <w:rPr>
          <w:rFonts w:ascii="Calibri" w:hAnsi="Calibri" w:cs="Miriam" w:hint="cs"/>
          <w:rtl/>
        </w:rPr>
        <w:t>מדינת ישראל נ' סוויטי</w:t>
      </w:r>
      <w:r>
        <w:rPr>
          <w:rFonts w:ascii="Calibri" w:hAnsi="Calibri" w:cs="FrankRuehl" w:hint="cs"/>
          <w:sz w:val="28"/>
          <w:szCs w:val="28"/>
          <w:rtl/>
        </w:rPr>
        <w:t xml:space="preserve"> (7.7.2014); </w:t>
      </w:r>
      <w:hyperlink r:id="rId58" w:history="1">
        <w:r w:rsidRPr="008A5B10">
          <w:rPr>
            <w:rFonts w:ascii="Calibri" w:hAnsi="Calibri" w:cs="FrankRuehl" w:hint="eastAsia"/>
            <w:color w:val="0000FF"/>
            <w:sz w:val="28"/>
            <w:szCs w:val="28"/>
            <w:u w:val="single"/>
            <w:rtl/>
          </w:rPr>
          <w:t>ת</w:t>
        </w:r>
        <w:r w:rsidRPr="008A5B10">
          <w:rPr>
            <w:rFonts w:ascii="Calibri" w:hAnsi="Calibri" w:cs="FrankRuehl"/>
            <w:color w:val="0000FF"/>
            <w:sz w:val="28"/>
            <w:szCs w:val="28"/>
            <w:u w:val="single"/>
            <w:rtl/>
          </w:rPr>
          <w:t>"</w:t>
        </w:r>
        <w:r w:rsidRPr="008A5B10">
          <w:rPr>
            <w:rFonts w:ascii="Calibri" w:hAnsi="Calibri" w:cs="FrankRuehl" w:hint="eastAsia"/>
            <w:color w:val="0000FF"/>
            <w:sz w:val="28"/>
            <w:szCs w:val="28"/>
            <w:u w:val="single"/>
            <w:rtl/>
          </w:rPr>
          <w:t>פ</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שלום</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י</w:t>
        </w:r>
        <w:r w:rsidRPr="008A5B10">
          <w:rPr>
            <w:rFonts w:ascii="Calibri" w:hAnsi="Calibri" w:cs="FrankRuehl"/>
            <w:color w:val="0000FF"/>
            <w:sz w:val="28"/>
            <w:szCs w:val="28"/>
            <w:u w:val="single"/>
            <w:rtl/>
          </w:rPr>
          <w:t>-</w:t>
        </w:r>
        <w:r w:rsidRPr="008A5B10">
          <w:rPr>
            <w:rFonts w:ascii="Calibri" w:hAnsi="Calibri" w:cs="FrankRuehl" w:hint="eastAsia"/>
            <w:color w:val="0000FF"/>
            <w:sz w:val="28"/>
            <w:szCs w:val="28"/>
            <w:u w:val="single"/>
            <w:rtl/>
          </w:rPr>
          <w:t>ם</w:t>
        </w:r>
        <w:r w:rsidRPr="008A5B10">
          <w:rPr>
            <w:rFonts w:ascii="Calibri" w:hAnsi="Calibri" w:cs="FrankRuehl"/>
            <w:color w:val="0000FF"/>
            <w:sz w:val="28"/>
            <w:szCs w:val="28"/>
            <w:u w:val="single"/>
            <w:rtl/>
          </w:rPr>
          <w:t>) 42086-12-12</w:t>
        </w:r>
      </w:hyperlink>
      <w:r>
        <w:rPr>
          <w:rFonts w:ascii="Calibri" w:hAnsi="Calibri" w:cs="FrankRuehl" w:hint="cs"/>
          <w:sz w:val="28"/>
          <w:szCs w:val="28"/>
          <w:rtl/>
        </w:rPr>
        <w:t xml:space="preserve"> </w:t>
      </w:r>
      <w:r>
        <w:rPr>
          <w:rFonts w:ascii="Calibri" w:hAnsi="Calibri" w:cs="Miriam" w:hint="cs"/>
          <w:rtl/>
        </w:rPr>
        <w:t>מדינת ישראל נ' חדאד</w:t>
      </w:r>
      <w:r>
        <w:rPr>
          <w:rFonts w:ascii="Calibri" w:hAnsi="Calibri" w:cs="FrankRuehl" w:hint="cs"/>
          <w:sz w:val="28"/>
          <w:szCs w:val="28"/>
          <w:rtl/>
        </w:rPr>
        <w:t xml:space="preserve"> (5.1.2014); </w:t>
      </w:r>
      <w:hyperlink r:id="rId59" w:history="1">
        <w:r w:rsidRPr="008A5B10">
          <w:rPr>
            <w:rFonts w:ascii="Calibri" w:hAnsi="Calibri" w:cs="FrankRuehl" w:hint="eastAsia"/>
            <w:color w:val="0000FF"/>
            <w:sz w:val="28"/>
            <w:szCs w:val="28"/>
            <w:u w:val="single"/>
            <w:rtl/>
          </w:rPr>
          <w:t>ת</w:t>
        </w:r>
        <w:r w:rsidRPr="008A5B10">
          <w:rPr>
            <w:rFonts w:ascii="Calibri" w:hAnsi="Calibri" w:cs="FrankRuehl"/>
            <w:color w:val="0000FF"/>
            <w:sz w:val="28"/>
            <w:szCs w:val="28"/>
            <w:u w:val="single"/>
            <w:rtl/>
          </w:rPr>
          <w:t>"</w:t>
        </w:r>
        <w:r w:rsidRPr="008A5B10">
          <w:rPr>
            <w:rFonts w:ascii="Calibri" w:hAnsi="Calibri" w:cs="FrankRuehl" w:hint="eastAsia"/>
            <w:color w:val="0000FF"/>
            <w:sz w:val="28"/>
            <w:szCs w:val="28"/>
            <w:u w:val="single"/>
            <w:rtl/>
          </w:rPr>
          <w:t>פ</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שלום</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פ</w:t>
        </w:r>
        <w:r w:rsidRPr="008A5B10">
          <w:rPr>
            <w:rFonts w:ascii="Calibri" w:hAnsi="Calibri" w:cs="FrankRuehl"/>
            <w:color w:val="0000FF"/>
            <w:sz w:val="28"/>
            <w:szCs w:val="28"/>
            <w:u w:val="single"/>
            <w:rtl/>
          </w:rPr>
          <w:t>"</w:t>
        </w:r>
        <w:r w:rsidRPr="008A5B10">
          <w:rPr>
            <w:rFonts w:ascii="Calibri" w:hAnsi="Calibri" w:cs="FrankRuehl" w:hint="eastAsia"/>
            <w:color w:val="0000FF"/>
            <w:sz w:val="28"/>
            <w:szCs w:val="28"/>
            <w:u w:val="single"/>
            <w:rtl/>
          </w:rPr>
          <w:t>ת</w:t>
        </w:r>
        <w:r w:rsidRPr="008A5B10">
          <w:rPr>
            <w:rFonts w:ascii="Calibri" w:hAnsi="Calibri" w:cs="FrankRuehl"/>
            <w:color w:val="0000FF"/>
            <w:sz w:val="28"/>
            <w:szCs w:val="28"/>
            <w:u w:val="single"/>
            <w:rtl/>
          </w:rPr>
          <w:t>) 4164-01-13</w:t>
        </w:r>
      </w:hyperlink>
      <w:r>
        <w:rPr>
          <w:rFonts w:ascii="Calibri" w:hAnsi="Calibri" w:cs="FrankRuehl" w:hint="cs"/>
          <w:sz w:val="28"/>
          <w:szCs w:val="28"/>
          <w:rtl/>
        </w:rPr>
        <w:t xml:space="preserve"> </w:t>
      </w:r>
      <w:r>
        <w:rPr>
          <w:rFonts w:ascii="Calibri" w:hAnsi="Calibri" w:cs="Miriam" w:hint="cs"/>
          <w:rtl/>
        </w:rPr>
        <w:t>מדינת ישראל נ' נאזל</w:t>
      </w:r>
      <w:r>
        <w:rPr>
          <w:rFonts w:ascii="Calibri" w:hAnsi="Calibri" w:cs="FrankRuehl" w:hint="cs"/>
          <w:sz w:val="28"/>
          <w:szCs w:val="28"/>
          <w:rtl/>
        </w:rPr>
        <w:t xml:space="preserve"> (14.7.2013)). בהתחשב בעקרון המנחה של ההלימה; בשים לב לפגיעה בערכים המוגנים; בהתחשב בנסיבות ביצוע העבירות במקרה דנן; ובהתחשב במדיניות הענישה הנוהגת; אני סבורה כי </w:t>
      </w:r>
      <w:r>
        <w:rPr>
          <w:rFonts w:ascii="Calibri" w:hAnsi="Calibri" w:cs="FrankRuehl" w:hint="cs"/>
          <w:b/>
          <w:bCs/>
          <w:sz w:val="28"/>
          <w:szCs w:val="28"/>
          <w:rtl/>
        </w:rPr>
        <w:t>מתחם העונש ההולם בגין עבירות התעבורה נשוא התיק המצורף השלישי</w:t>
      </w:r>
      <w:r>
        <w:rPr>
          <w:rFonts w:ascii="Calibri" w:hAnsi="Calibri" w:cs="FrankRuehl" w:hint="cs"/>
          <w:sz w:val="28"/>
          <w:szCs w:val="28"/>
          <w:rtl/>
        </w:rPr>
        <w:t xml:space="preserve"> נע מהטלת ענישה מוחשית, אשר אינה כוללת רכיב של מאסר בפועל, ועד 12 חודשי מאסר בפועל. זאת, לצד הטלת עונשי פסילה בפועל ו/או על-תנאי של רישיון הנהיגה.</w:t>
      </w:r>
    </w:p>
    <w:p w14:paraId="2D6DB6C0"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ab/>
      </w:r>
    </w:p>
    <w:p w14:paraId="6508AFCD" w14:textId="77777777" w:rsidR="00A0131F" w:rsidRDefault="008A5B10">
      <w:pPr>
        <w:spacing w:after="120" w:line="360" w:lineRule="auto"/>
        <w:jc w:val="both"/>
        <w:rPr>
          <w:rFonts w:ascii="Calibri" w:hAnsi="Calibri" w:cs="Arial"/>
          <w:sz w:val="22"/>
          <w:szCs w:val="22"/>
          <w:rtl/>
        </w:rPr>
      </w:pPr>
      <w:r>
        <w:rPr>
          <w:rFonts w:ascii="Calibri" w:hAnsi="Calibri" w:cs="FrankRuehl" w:hint="cs"/>
          <w:sz w:val="28"/>
          <w:szCs w:val="28"/>
          <w:u w:val="single"/>
          <w:rtl/>
        </w:rPr>
        <w:t>גזירת עונשו של הנאשם - סטייה לקולא ממתחמי הענישה ההולמת משיקולי שיקום</w:t>
      </w:r>
    </w:p>
    <w:p w14:paraId="194D3353"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17.</w:t>
      </w:r>
      <w:r>
        <w:rPr>
          <w:rFonts w:ascii="Calibri" w:hAnsi="Calibri" w:cs="FrankRuehl" w:hint="cs"/>
          <w:sz w:val="28"/>
          <w:szCs w:val="28"/>
          <w:rtl/>
        </w:rPr>
        <w:tab/>
        <w:t xml:space="preserve">כאמור, המאשימה עתרה להשית על הנאשם עונש כולל של 6 חודשי מאסר בפועל ממש, מאסר על-תנאי וכן קנס בסך אלפי שקלים.  מנגד, </w:t>
      </w:r>
      <w:r>
        <w:rPr>
          <w:rFonts w:cs="FrankRuehl" w:hint="cs"/>
          <w:sz w:val="28"/>
          <w:szCs w:val="28"/>
          <w:rtl/>
        </w:rPr>
        <w:t>הסנגור עתר לאמץ את המלצת שירות המבחן ולהסתפק ב</w:t>
      </w:r>
      <w:r>
        <w:rPr>
          <w:rFonts w:ascii="Calibri" w:hAnsi="Calibri" w:cs="FrankRuehl" w:hint="cs"/>
          <w:sz w:val="28"/>
          <w:szCs w:val="28"/>
          <w:rtl/>
        </w:rPr>
        <w:t>הטלת צו מבחן למשך שנה, צו של"צ בהיקף של 300 שעות ועונשים מותנים.</w:t>
      </w:r>
    </w:p>
    <w:p w14:paraId="41B6C78D" w14:textId="77777777" w:rsidR="00A0131F" w:rsidRDefault="00A0131F">
      <w:pPr>
        <w:spacing w:after="120" w:line="360" w:lineRule="auto"/>
        <w:jc w:val="both"/>
        <w:rPr>
          <w:rFonts w:ascii="Calibri" w:hAnsi="Calibri" w:cs="FrankRuehl"/>
          <w:sz w:val="28"/>
          <w:szCs w:val="28"/>
        </w:rPr>
      </w:pPr>
    </w:p>
    <w:p w14:paraId="1C12423E"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ab/>
        <w:t>אומר מיד כי נוכח הצטרפותן יחדיו של כלל העבירות בהן הורשע הנאשם הרי שברגיל, היה מקום להשית על הנאשם עונש כולל של מאסר בפועל, ולוּ לריצוי בדרך של עבודות שירות. אף-על-פי-כן, במקרה הנדון ניתן להצביע על מגוון שיקולים לקולא, אשר במשקלם המצטבר מטים את הכף לטובת חריגה מעיקרון ההלימה ומתן משקל משמעותי לשיקולי שיקום אינדיבידואליים, כפי שיפורט להלן.</w:t>
      </w:r>
    </w:p>
    <w:p w14:paraId="03840C15" w14:textId="77777777" w:rsidR="00A0131F" w:rsidRDefault="00A0131F">
      <w:pPr>
        <w:spacing w:after="120" w:line="360" w:lineRule="auto"/>
        <w:jc w:val="both"/>
        <w:rPr>
          <w:rFonts w:ascii="Arial" w:hAnsi="Arial" w:cs="Arial"/>
          <w:color w:val="008080"/>
          <w:sz w:val="22"/>
          <w:szCs w:val="22"/>
          <w:rtl/>
        </w:rPr>
      </w:pPr>
    </w:p>
    <w:p w14:paraId="7BD04702"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18.</w:t>
      </w:r>
      <w:r>
        <w:rPr>
          <w:rFonts w:ascii="Calibri" w:hAnsi="Calibri" w:cs="FrankRuehl" w:hint="cs"/>
          <w:sz w:val="28"/>
          <w:szCs w:val="28"/>
          <w:rtl/>
        </w:rPr>
        <w:tab/>
        <w:t xml:space="preserve">הנאשם הודה במעשים שיוחסו לו בכתבי-האישום נשוא התיקי העיקרי והתיקים המצורפים, לקח אחריות והביע חרטה כנה על ביצוע העבירות בשלבים מוקדמים של ההליך הפלילי. בתקופה שחלפה מאז התרחשות האירועים נשוא כתבי-האישום האמורים, הנאשם לא הורשע בעבירה נוספת. אמת, עברו הפלילי של הנאשם שלפניי אינו נקי ולחובתו שתי הרשעות קודמות: הרשעה אחת היא בעבירות של החזקת סמים לצריכה עצמית, היזק לרכוש במזיד ואיומים, בגינן נדון הנאשם בשנת 2009 לעונש מאסר מותנה, צו של"צ ופיצוי. ההרשעה השנייה היא מבית-דין צבאי בגין עבירה של היעדרות מן השירות שלא ברשות. בנוסף, לחובת הנאשם רישום קודם של אי-הרשעה בעבירות של גניבה, זיוף וקבלת דבר במרמה, בגינן נדון הנאשם לצו מבחן ולצו של"צ. בלא להקל ראש בכל אלה, אין לומר כי מדובר בעבר פלילי מכביד במיוחד. גם גיליון ההרשעות התעבורתיות הקודמות של הנאשם אינו מן החמורים. כמו-כן, נתתי דעתי לכך שהעבירה האחרונה בגינה הורשע הנאשם בוצעה בשנת 2007. יתרה מזאת, ובכך העיקר בעיניי; ניכר כי כיום הנאשם עושה מאמצים כנים לצעוד במסלול חיים נורמטיבי. במהלך ניהול ההליך המשפטי כנגד הנאשם, הוא החל לראשונה בחייו בדרך טיפולית-שיקומית. הנאשם, שהינו איש משפחה ואב לשלושה ילדים קטנים, פנה </w:t>
      </w:r>
      <w:r>
        <w:rPr>
          <w:rFonts w:ascii="Calibri" w:hAnsi="Calibri" w:cs="Miriam" w:hint="cs"/>
          <w:rtl/>
        </w:rPr>
        <w:t>ביוזמתו</w:t>
      </w:r>
      <w:r>
        <w:rPr>
          <w:rFonts w:ascii="Calibri" w:hAnsi="Calibri" w:cs="FrankRuehl" w:hint="cs"/>
          <w:sz w:val="28"/>
          <w:szCs w:val="28"/>
          <w:rtl/>
        </w:rPr>
        <w:t xml:space="preserve"> למכון הירושלמי לטיפול בהתמכרויות במטרה להתמודד עם התמכרותו לסמים, תוך הבעת נכונות לניהול אורח חיים תקין ויציב. מתסקיריו של שירות המבחן עולה כי הנאשם משתף פעולה עם ההליך הטיפולי, מוסר כיום בדיקות שתן נקיות, ומגייס כוחות לשינוי ולשיקום אורחות חייו, תוך הבעת אחריות למשפחתו ולפרנסתה. הנאשם אף הביע נכונות להשתלב בתכנית ייעודית לסיוע ושיקום כלכלי ותעסוקתי במסגרת שירות המבחן. אני סבורה כי יש ליתן משקל נכבד למאמציו של הנאשם, הן בשים לב לנסיבות חייו הייחודיות ולקשיים יוצאי-הדופן עמם נאלץ להתמודד מגיל צעיר כמפורט בתסקירי שירות המבחן; והן בשים לב לכך שכיום הנאשם הינו איש משפחה ומפרנס יחיד לילדיו. </w:t>
      </w:r>
    </w:p>
    <w:p w14:paraId="00411F93" w14:textId="77777777" w:rsidR="00A0131F" w:rsidRDefault="00A0131F">
      <w:pPr>
        <w:spacing w:after="120" w:line="360" w:lineRule="auto"/>
        <w:jc w:val="both"/>
        <w:rPr>
          <w:rFonts w:ascii="Calibri" w:hAnsi="Calibri" w:cs="FrankRuehl"/>
          <w:sz w:val="28"/>
          <w:szCs w:val="28"/>
          <w:rtl/>
        </w:rPr>
      </w:pPr>
    </w:p>
    <w:p w14:paraId="5D650A04"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ab/>
        <w:t xml:space="preserve"> בהתחשב במשקלם המצטבר של מכלול השיקולים לקולא, לרבות נסיבותיו האישיות הייחודיות של הנאשם וההליך הטיפולי בו הוא נוטל חלק מיוזמתו; ובהתחשב בהמלצת שירות המבחן; אני סבורה כי מתקיימת הצדקה בהתאם </w:t>
      </w:r>
      <w:hyperlink r:id="rId60" w:history="1">
        <w:r w:rsidR="00B6294A" w:rsidRPr="00B6294A">
          <w:rPr>
            <w:rFonts w:cs="FrankRuehl"/>
            <w:color w:val="0000FF"/>
            <w:sz w:val="28"/>
            <w:szCs w:val="28"/>
            <w:u w:val="single"/>
            <w:rtl/>
          </w:rPr>
          <w:t>לסעיף 40ד(א)</w:t>
        </w:r>
      </w:hyperlink>
      <w:r>
        <w:rPr>
          <w:rFonts w:ascii="Calibri" w:hAnsi="Calibri" w:cs="FrankRuehl" w:hint="cs"/>
          <w:sz w:val="28"/>
          <w:szCs w:val="28"/>
          <w:rtl/>
        </w:rPr>
        <w:t xml:space="preserve"> ל</w:t>
      </w:r>
      <w:hyperlink r:id="rId61" w:history="1">
        <w:r w:rsidRPr="008A5B10">
          <w:rPr>
            <w:rFonts w:cs="FrankRuehl"/>
            <w:color w:val="0000FF"/>
            <w:sz w:val="28"/>
            <w:szCs w:val="28"/>
            <w:u w:val="single"/>
            <w:rtl/>
          </w:rPr>
          <w:t>חוק העונשין</w:t>
        </w:r>
      </w:hyperlink>
      <w:r>
        <w:rPr>
          <w:rFonts w:ascii="Calibri" w:hAnsi="Calibri" w:cs="FrankRuehl" w:hint="cs"/>
          <w:sz w:val="28"/>
          <w:szCs w:val="28"/>
          <w:rtl/>
        </w:rPr>
        <w:t xml:space="preserve">, לסטות באופן חריג ממתחם העונש ההולם לקוּלא תוך מתן הבכורה לשיקולי השיקום, ולאמץ את המלצות שירות המבחן לעניין העונש. אעיר כי לצד צו מבחן, צו של"צ ועונשים מותנים, ראיתי להוסיף קנס כספי. עם זאת, נוכח מצבו הכלכלי של הנאשם ונסיבותיו המשפחתיות, שיעור הקנס לא יהיה גבוה. </w:t>
      </w:r>
    </w:p>
    <w:p w14:paraId="083E1D77" w14:textId="77777777" w:rsidR="00A0131F" w:rsidRDefault="00A0131F">
      <w:pPr>
        <w:spacing w:after="120" w:line="360" w:lineRule="auto"/>
        <w:jc w:val="both"/>
        <w:rPr>
          <w:rFonts w:ascii="Calibri" w:hAnsi="Calibri" w:cs="FrankRuehl"/>
          <w:sz w:val="28"/>
          <w:szCs w:val="28"/>
          <w:rtl/>
        </w:rPr>
      </w:pPr>
    </w:p>
    <w:p w14:paraId="51FD1035" w14:textId="77777777" w:rsidR="00A0131F" w:rsidRDefault="008A5B10">
      <w:pPr>
        <w:spacing w:after="120" w:line="360" w:lineRule="auto"/>
        <w:ind w:firstLine="720"/>
        <w:jc w:val="both"/>
        <w:rPr>
          <w:rFonts w:ascii="Calibri" w:hAnsi="Calibri" w:cs="FrankRuehl"/>
          <w:sz w:val="28"/>
          <w:szCs w:val="28"/>
          <w:rtl/>
        </w:rPr>
      </w:pPr>
      <w:r>
        <w:rPr>
          <w:rFonts w:ascii="Calibri" w:hAnsi="Calibri" w:cs="FrankRuehl" w:hint="cs"/>
          <w:sz w:val="28"/>
          <w:szCs w:val="28"/>
          <w:rtl/>
        </w:rPr>
        <w:t>יש לקוות כי הנאשם ינצל את ההזדמנות הניתנת לו כעת, כדי להתמיד במסלול השיקומי ולדבוק בדרך הישר. אם לא ייעשה כן - אגזור את דינו של הנאשם מחדש, והוא עלול להיות צפוי לעונש הכולל רכיב של מאסר בפועל כמבואר בפסקה 17 לעיל (הדברים הוסברו לנאשם באולם).</w:t>
      </w:r>
    </w:p>
    <w:p w14:paraId="7463A102" w14:textId="77777777" w:rsidR="00A0131F" w:rsidRDefault="008A5B10">
      <w:pPr>
        <w:shd w:val="clear" w:color="auto" w:fill="FFFFFF"/>
        <w:tabs>
          <w:tab w:val="left" w:pos="800"/>
        </w:tabs>
        <w:spacing w:after="200" w:line="360" w:lineRule="auto"/>
        <w:ind w:left="510" w:hanging="510"/>
        <w:jc w:val="both"/>
        <w:rPr>
          <w:rFonts w:ascii="Calibri" w:hAnsi="Calibri" w:cs="Arial"/>
          <w:sz w:val="22"/>
          <w:szCs w:val="22"/>
          <w:rtl/>
        </w:rPr>
      </w:pPr>
      <w:r>
        <w:rPr>
          <w:rFonts w:ascii="Calibri" w:hAnsi="Calibri" w:cs="Arial"/>
          <w:sz w:val="22"/>
          <w:szCs w:val="22"/>
          <w:rtl/>
        </w:rPr>
        <w:tab/>
      </w:r>
    </w:p>
    <w:p w14:paraId="2D24CF2D" w14:textId="77777777" w:rsidR="00A0131F" w:rsidRDefault="008A5B10">
      <w:pPr>
        <w:spacing w:after="120" w:line="360" w:lineRule="auto"/>
        <w:jc w:val="both"/>
        <w:rPr>
          <w:rFonts w:ascii="Calibri" w:hAnsi="Calibri" w:cs="FrankRuehl"/>
          <w:sz w:val="28"/>
          <w:szCs w:val="28"/>
          <w:u w:val="single"/>
          <w:rtl/>
        </w:rPr>
      </w:pPr>
      <w:r>
        <w:rPr>
          <w:rFonts w:ascii="Calibri" w:hAnsi="Calibri" w:cs="FrankRuehl" w:hint="cs"/>
          <w:sz w:val="28"/>
          <w:szCs w:val="28"/>
          <w:u w:val="single"/>
          <w:rtl/>
        </w:rPr>
        <w:t>סוף דבר</w:t>
      </w:r>
    </w:p>
    <w:p w14:paraId="782CB827" w14:textId="77777777" w:rsidR="00A0131F" w:rsidRDefault="008A5B10">
      <w:pPr>
        <w:spacing w:after="200" w:line="360" w:lineRule="auto"/>
        <w:jc w:val="both"/>
        <w:rPr>
          <w:rFonts w:ascii="Calibri" w:hAnsi="Calibri" w:cs="FrankRuehl"/>
          <w:sz w:val="28"/>
          <w:szCs w:val="28"/>
          <w:rtl/>
        </w:rPr>
      </w:pPr>
      <w:r>
        <w:rPr>
          <w:rFonts w:ascii="Calibri" w:hAnsi="Calibri" w:cs="FrankRuehl" w:hint="cs"/>
          <w:sz w:val="28"/>
          <w:szCs w:val="28"/>
          <w:rtl/>
        </w:rPr>
        <w:t>19.</w:t>
      </w:r>
      <w:r>
        <w:rPr>
          <w:rFonts w:ascii="Calibri" w:hAnsi="Calibri" w:cs="FrankRuehl" w:hint="cs"/>
          <w:sz w:val="28"/>
          <w:szCs w:val="28"/>
          <w:rtl/>
        </w:rPr>
        <w:tab/>
        <w:t>נוכח מכלול הטעמים האמורים, אני רואה לגזור על הנאשם כדלקמן:</w:t>
      </w:r>
    </w:p>
    <w:p w14:paraId="66A1A2F5" w14:textId="77777777" w:rsidR="00A0131F" w:rsidRDefault="00A0131F">
      <w:pPr>
        <w:spacing w:after="200" w:line="360" w:lineRule="auto"/>
        <w:jc w:val="both"/>
        <w:rPr>
          <w:rFonts w:ascii="Calibri" w:hAnsi="Calibri" w:cs="FrankRuehl"/>
          <w:sz w:val="28"/>
          <w:szCs w:val="28"/>
          <w:rtl/>
        </w:rPr>
      </w:pPr>
    </w:p>
    <w:p w14:paraId="61F57555" w14:textId="77777777" w:rsidR="00A0131F" w:rsidRDefault="008A5B10">
      <w:pPr>
        <w:spacing w:line="360" w:lineRule="auto"/>
        <w:jc w:val="both"/>
        <w:rPr>
          <w:rtl/>
        </w:rPr>
      </w:pPr>
      <w:r>
        <w:rPr>
          <w:rFonts w:cs="FrankRuehl" w:hint="cs"/>
          <w:sz w:val="28"/>
          <w:szCs w:val="28"/>
          <w:rtl/>
        </w:rPr>
        <w:t>א.</w:t>
      </w:r>
      <w:r>
        <w:rPr>
          <w:rFonts w:cs="FrankRuehl" w:hint="cs"/>
          <w:sz w:val="28"/>
          <w:szCs w:val="28"/>
          <w:rtl/>
        </w:rPr>
        <w:tab/>
        <w:t xml:space="preserve">הנאשם יבצע שירות לתועלת הציבור בהיקף של 300 שעות על-פי התוכנית המוצעת בתסקיר שירות המבחן. </w:t>
      </w:r>
    </w:p>
    <w:p w14:paraId="20A3200A" w14:textId="77777777" w:rsidR="00A0131F" w:rsidRDefault="008A5B10">
      <w:pPr>
        <w:spacing w:line="360" w:lineRule="auto"/>
        <w:jc w:val="both"/>
        <w:rPr>
          <w:rFonts w:cs="FrankRuehl"/>
          <w:sz w:val="28"/>
          <w:szCs w:val="28"/>
          <w:rtl/>
        </w:rPr>
      </w:pPr>
      <w:r>
        <w:rPr>
          <w:rFonts w:cs="FrankRuehl" w:hint="cs"/>
          <w:sz w:val="28"/>
          <w:szCs w:val="28"/>
          <w:rtl/>
        </w:rPr>
        <w:t>שירות המבחן יפקח על עבודת הנאשם ויהיה רשאי לשנות את מקום ההשמה במידת הצורך, ללא צו שיפוטי נוסף.</w:t>
      </w:r>
    </w:p>
    <w:p w14:paraId="2D10D129" w14:textId="77777777" w:rsidR="00A0131F" w:rsidRDefault="008A5B10">
      <w:pPr>
        <w:spacing w:line="360" w:lineRule="auto"/>
        <w:jc w:val="both"/>
        <w:rPr>
          <w:rFonts w:cs="FrankRuehl"/>
          <w:b/>
          <w:bCs/>
          <w:sz w:val="28"/>
          <w:szCs w:val="28"/>
        </w:rPr>
      </w:pPr>
      <w:r>
        <w:rPr>
          <w:rFonts w:cs="FrankRuehl" w:hint="cs"/>
          <w:b/>
          <w:bCs/>
          <w:sz w:val="28"/>
          <w:szCs w:val="28"/>
          <w:rtl/>
        </w:rPr>
        <w:t>מובהר לנאשם כי עליו לשתף פעולה עם שירות המבחן וכי עליו לבצע את השל"צ, שאם לא כן- אדון בעניינו מחדש.</w:t>
      </w:r>
    </w:p>
    <w:p w14:paraId="7934EE34" w14:textId="77777777" w:rsidR="00A0131F" w:rsidRDefault="00A0131F">
      <w:pPr>
        <w:spacing w:line="360" w:lineRule="auto"/>
        <w:jc w:val="both"/>
        <w:rPr>
          <w:rFonts w:cs="FrankRuehl"/>
          <w:b/>
          <w:bCs/>
          <w:sz w:val="28"/>
          <w:szCs w:val="28"/>
          <w:rtl/>
        </w:rPr>
      </w:pPr>
    </w:p>
    <w:p w14:paraId="7EA338B3" w14:textId="77777777" w:rsidR="00A0131F" w:rsidRDefault="008A5B10">
      <w:pPr>
        <w:spacing w:line="360" w:lineRule="auto"/>
        <w:jc w:val="both"/>
        <w:rPr>
          <w:rtl/>
        </w:rPr>
      </w:pPr>
      <w:r>
        <w:rPr>
          <w:rFonts w:cs="FrankRuehl" w:hint="cs"/>
          <w:sz w:val="28"/>
          <w:szCs w:val="28"/>
          <w:rtl/>
        </w:rPr>
        <w:t>ב.</w:t>
      </w:r>
      <w:r>
        <w:rPr>
          <w:rFonts w:hint="cs"/>
          <w:rtl/>
        </w:rPr>
        <w:tab/>
      </w:r>
      <w:r>
        <w:rPr>
          <w:rFonts w:cs="FrankRuehl" w:hint="cs"/>
          <w:sz w:val="28"/>
          <w:szCs w:val="28"/>
          <w:rtl/>
        </w:rPr>
        <w:t>הנאשם יהיה נתון לפיקוח קצין מבחן למשך שנה מהיום, וישתתף בכל תכנית טיפולית שתוצא לו.</w:t>
      </w:r>
    </w:p>
    <w:p w14:paraId="56C315F3" w14:textId="77777777" w:rsidR="00A0131F" w:rsidRDefault="008A5B10">
      <w:pPr>
        <w:spacing w:line="360" w:lineRule="auto"/>
        <w:jc w:val="both"/>
        <w:rPr>
          <w:rtl/>
        </w:rPr>
      </w:pPr>
      <w:r>
        <w:rPr>
          <w:rFonts w:cs="FrankRuehl" w:hint="cs"/>
          <w:b/>
          <w:bCs/>
          <w:sz w:val="28"/>
          <w:szCs w:val="28"/>
          <w:rtl/>
        </w:rPr>
        <w:t>הנאשם מוזהר כי אם יפר את תנאי המבחן, תימסר הודעה על כך לבית-המשפט, אשר מוסמך לקיים דיון מחודש בגזר-הדין.</w:t>
      </w:r>
    </w:p>
    <w:p w14:paraId="152DECE9" w14:textId="77777777" w:rsidR="00A0131F" w:rsidRDefault="00A0131F">
      <w:pPr>
        <w:spacing w:line="360" w:lineRule="auto"/>
        <w:jc w:val="both"/>
        <w:rPr>
          <w:rtl/>
        </w:rPr>
      </w:pPr>
    </w:p>
    <w:p w14:paraId="1DE6741F" w14:textId="77777777" w:rsidR="00A0131F" w:rsidRDefault="008A5B10">
      <w:pPr>
        <w:spacing w:line="360" w:lineRule="auto"/>
        <w:jc w:val="both"/>
        <w:rPr>
          <w:rFonts w:cs="FrankRuehl"/>
          <w:sz w:val="28"/>
          <w:szCs w:val="28"/>
          <w:rtl/>
        </w:rPr>
      </w:pPr>
      <w:r>
        <w:rPr>
          <w:rFonts w:cs="FrankRuehl" w:hint="cs"/>
          <w:sz w:val="28"/>
          <w:szCs w:val="28"/>
          <w:rtl/>
        </w:rPr>
        <w:t>ג.</w:t>
      </w:r>
      <w:r>
        <w:rPr>
          <w:rFonts w:cs="FrankRuehl" w:hint="cs"/>
          <w:sz w:val="28"/>
          <w:szCs w:val="28"/>
          <w:rtl/>
        </w:rPr>
        <w:tab/>
        <w:t xml:space="preserve">מאסר על-תנאי של שלושה חודשים למשך שלוש שנים מהיום. התנאי הוא שהנאשם לא יעבור עבירה </w:t>
      </w:r>
      <w:r>
        <w:rPr>
          <w:rFonts w:ascii="Calibri" w:hAnsi="Calibri" w:cs="FrankRuehl" w:hint="cs"/>
          <w:sz w:val="28"/>
          <w:szCs w:val="28"/>
          <w:rtl/>
        </w:rPr>
        <w:t xml:space="preserve">לפי </w:t>
      </w:r>
      <w:hyperlink r:id="rId62" w:history="1">
        <w:r w:rsidR="00B6294A" w:rsidRPr="00B6294A">
          <w:rPr>
            <w:rFonts w:ascii="Calibri" w:hAnsi="Calibri" w:cs="FrankRuehl" w:hint="eastAsia"/>
            <w:color w:val="0000FF"/>
            <w:sz w:val="28"/>
            <w:szCs w:val="28"/>
            <w:u w:val="single"/>
            <w:rtl/>
          </w:rPr>
          <w:t>סעיף</w:t>
        </w:r>
        <w:r w:rsidR="00B6294A" w:rsidRPr="00B6294A">
          <w:rPr>
            <w:rFonts w:ascii="Calibri" w:hAnsi="Calibri" w:cs="FrankRuehl"/>
            <w:color w:val="0000FF"/>
            <w:sz w:val="28"/>
            <w:szCs w:val="28"/>
            <w:u w:val="single"/>
            <w:rtl/>
          </w:rPr>
          <w:t xml:space="preserve"> 338(</w:t>
        </w:r>
        <w:r w:rsidR="00B6294A" w:rsidRPr="00B6294A">
          <w:rPr>
            <w:rFonts w:ascii="Calibri" w:hAnsi="Calibri" w:cs="FrankRuehl" w:hint="eastAsia"/>
            <w:color w:val="0000FF"/>
            <w:sz w:val="28"/>
            <w:szCs w:val="28"/>
            <w:u w:val="single"/>
            <w:rtl/>
          </w:rPr>
          <w:t>א</w:t>
        </w:r>
        <w:r w:rsidR="00B6294A" w:rsidRPr="00B6294A">
          <w:rPr>
            <w:rFonts w:ascii="Calibri" w:hAnsi="Calibri" w:cs="FrankRuehl"/>
            <w:color w:val="0000FF"/>
            <w:sz w:val="28"/>
            <w:szCs w:val="28"/>
            <w:u w:val="single"/>
            <w:rtl/>
          </w:rPr>
          <w:t>)(3)</w:t>
        </w:r>
      </w:hyperlink>
      <w:r>
        <w:rPr>
          <w:rFonts w:ascii="Calibri" w:hAnsi="Calibri" w:cs="FrankRuehl" w:hint="cs"/>
          <w:sz w:val="28"/>
          <w:szCs w:val="28"/>
          <w:rtl/>
        </w:rPr>
        <w:t xml:space="preserve"> ל</w:t>
      </w:r>
      <w:hyperlink r:id="rId63" w:history="1">
        <w:r w:rsidRPr="008A5B10">
          <w:rPr>
            <w:rFonts w:ascii="Calibri" w:hAnsi="Calibri" w:cs="FrankRuehl" w:hint="eastAsia"/>
            <w:color w:val="0000FF"/>
            <w:sz w:val="28"/>
            <w:szCs w:val="28"/>
            <w:u w:val="single"/>
            <w:rtl/>
          </w:rPr>
          <w:t>חוק</w:t>
        </w:r>
        <w:r w:rsidRPr="008A5B10">
          <w:rPr>
            <w:rFonts w:ascii="Calibri" w:hAnsi="Calibri" w:cs="FrankRuehl"/>
            <w:color w:val="0000FF"/>
            <w:sz w:val="28"/>
            <w:szCs w:val="28"/>
            <w:u w:val="single"/>
            <w:rtl/>
          </w:rPr>
          <w:t xml:space="preserve"> </w:t>
        </w:r>
        <w:r w:rsidRPr="008A5B10">
          <w:rPr>
            <w:rFonts w:ascii="Calibri" w:hAnsi="Calibri" w:cs="FrankRuehl" w:hint="eastAsia"/>
            <w:color w:val="0000FF"/>
            <w:sz w:val="28"/>
            <w:szCs w:val="28"/>
            <w:u w:val="single"/>
            <w:rtl/>
          </w:rPr>
          <w:t>העונשין</w:t>
        </w:r>
      </w:hyperlink>
      <w:r>
        <w:rPr>
          <w:rFonts w:ascii="Calibri" w:hAnsi="Calibri" w:cs="FrankRuehl" w:hint="cs"/>
          <w:sz w:val="28"/>
          <w:szCs w:val="28"/>
          <w:rtl/>
        </w:rPr>
        <w:t>.</w:t>
      </w:r>
    </w:p>
    <w:p w14:paraId="2D019C0F" w14:textId="77777777" w:rsidR="00A0131F" w:rsidRDefault="00A0131F">
      <w:pPr>
        <w:spacing w:line="360" w:lineRule="auto"/>
        <w:jc w:val="both"/>
        <w:rPr>
          <w:rFonts w:cs="FrankRuehl"/>
          <w:sz w:val="28"/>
          <w:szCs w:val="28"/>
          <w:rtl/>
        </w:rPr>
      </w:pPr>
    </w:p>
    <w:p w14:paraId="31CCBA46" w14:textId="77777777" w:rsidR="00A0131F" w:rsidRDefault="008A5B10">
      <w:pPr>
        <w:spacing w:line="360" w:lineRule="auto"/>
        <w:jc w:val="both"/>
        <w:rPr>
          <w:rFonts w:cs="FrankRuehl"/>
          <w:sz w:val="28"/>
          <w:szCs w:val="28"/>
          <w:rtl/>
        </w:rPr>
      </w:pPr>
      <w:r>
        <w:rPr>
          <w:rFonts w:cs="FrankRuehl" w:hint="cs"/>
          <w:sz w:val="28"/>
          <w:szCs w:val="28"/>
          <w:rtl/>
        </w:rPr>
        <w:t>ד.</w:t>
      </w:r>
      <w:r>
        <w:rPr>
          <w:rFonts w:cs="FrankRuehl" w:hint="cs"/>
          <w:sz w:val="28"/>
          <w:szCs w:val="28"/>
          <w:rtl/>
        </w:rPr>
        <w:tab/>
        <w:t xml:space="preserve">מאסר על-תנאי של חודשיים למשך שלוש שנים מהיום. התנאי הוא שהנאשם לא יעבור עבירת סמים, לרבות עבירה של החזקה או שימוש בסמים לצריכה עצמית. </w:t>
      </w:r>
    </w:p>
    <w:p w14:paraId="1612EC92" w14:textId="77777777" w:rsidR="00A0131F" w:rsidRDefault="00A0131F">
      <w:pPr>
        <w:spacing w:line="360" w:lineRule="auto"/>
        <w:jc w:val="both"/>
        <w:rPr>
          <w:rFonts w:cs="FrankRuehl"/>
          <w:sz w:val="28"/>
          <w:szCs w:val="28"/>
          <w:rtl/>
        </w:rPr>
      </w:pPr>
    </w:p>
    <w:p w14:paraId="6F0A480C" w14:textId="77777777" w:rsidR="00A0131F" w:rsidRDefault="008A5B10">
      <w:pPr>
        <w:spacing w:line="360" w:lineRule="auto"/>
        <w:jc w:val="both"/>
        <w:rPr>
          <w:rtl/>
        </w:rPr>
      </w:pPr>
      <w:r>
        <w:rPr>
          <w:rFonts w:cs="FrankRuehl" w:hint="cs"/>
          <w:sz w:val="28"/>
          <w:szCs w:val="28"/>
          <w:rtl/>
        </w:rPr>
        <w:t>ה.</w:t>
      </w:r>
      <w:r>
        <w:rPr>
          <w:rFonts w:cs="FrankRuehl" w:hint="cs"/>
          <w:sz w:val="28"/>
          <w:szCs w:val="28"/>
          <w:rtl/>
        </w:rPr>
        <w:tab/>
        <w:t xml:space="preserve">מאסר על-תנאי של שלושה חודשים למשך שלוש שנים מהיום. התנאי הוא שהנאשם לא יעבור עבירה של נהיגה בזמן פסילה או נהיגה ללא רישיון. </w:t>
      </w:r>
    </w:p>
    <w:p w14:paraId="787AD83C" w14:textId="77777777" w:rsidR="00A0131F" w:rsidRDefault="00A0131F">
      <w:pPr>
        <w:tabs>
          <w:tab w:val="left" w:pos="800"/>
        </w:tabs>
        <w:overflowPunct w:val="0"/>
        <w:autoSpaceDE w:val="0"/>
        <w:autoSpaceDN w:val="0"/>
        <w:adjustRightInd w:val="0"/>
        <w:spacing w:line="360" w:lineRule="auto"/>
        <w:jc w:val="both"/>
        <w:textAlignment w:val="baseline"/>
        <w:rPr>
          <w:rFonts w:cs="FrankRuehl"/>
          <w:sz w:val="28"/>
          <w:szCs w:val="28"/>
          <w:rtl/>
        </w:rPr>
      </w:pPr>
    </w:p>
    <w:p w14:paraId="1BC67AF2" w14:textId="77777777" w:rsidR="00A0131F" w:rsidRDefault="008A5B10">
      <w:pPr>
        <w:tabs>
          <w:tab w:val="left" w:pos="800"/>
        </w:tabs>
        <w:overflowPunct w:val="0"/>
        <w:autoSpaceDE w:val="0"/>
        <w:autoSpaceDN w:val="0"/>
        <w:adjustRightInd w:val="0"/>
        <w:spacing w:line="360" w:lineRule="auto"/>
        <w:jc w:val="both"/>
        <w:textAlignment w:val="baseline"/>
        <w:rPr>
          <w:rFonts w:cs="FrankRuehl"/>
          <w:sz w:val="28"/>
          <w:szCs w:val="28"/>
          <w:rtl/>
        </w:rPr>
      </w:pPr>
      <w:r>
        <w:rPr>
          <w:rFonts w:cs="FrankRuehl" w:hint="cs"/>
          <w:sz w:val="28"/>
          <w:szCs w:val="28"/>
          <w:rtl/>
        </w:rPr>
        <w:t>ו.</w:t>
      </w:r>
      <w:r>
        <w:rPr>
          <w:rFonts w:cs="FrankRuehl" w:hint="cs"/>
          <w:sz w:val="28"/>
          <w:szCs w:val="28"/>
          <w:rtl/>
        </w:rPr>
        <w:tab/>
        <w:t>פסילת רישיון נהיגה ל- 10 חודשים, אם תוך שלוש שנים מהיום יעבור הנאשם עבירה של נהיגה בפסילה או נהיגה ללא רישיון.</w:t>
      </w:r>
    </w:p>
    <w:p w14:paraId="28676737" w14:textId="77777777" w:rsidR="00A0131F" w:rsidRDefault="00A0131F">
      <w:pPr>
        <w:spacing w:line="360" w:lineRule="auto"/>
        <w:jc w:val="both"/>
        <w:rPr>
          <w:rtl/>
        </w:rPr>
      </w:pPr>
    </w:p>
    <w:p w14:paraId="21EF5F88" w14:textId="77777777" w:rsidR="00A0131F" w:rsidRDefault="008A5B10">
      <w:pPr>
        <w:spacing w:line="360" w:lineRule="auto"/>
        <w:jc w:val="both"/>
        <w:rPr>
          <w:rFonts w:ascii="Calibri" w:hAnsi="Calibri" w:cs="FrankRuehl"/>
          <w:sz w:val="28"/>
          <w:szCs w:val="28"/>
          <w:rtl/>
        </w:rPr>
      </w:pPr>
      <w:r>
        <w:rPr>
          <w:rFonts w:cs="FrankRuehl" w:hint="cs"/>
          <w:sz w:val="28"/>
          <w:szCs w:val="28"/>
          <w:rtl/>
        </w:rPr>
        <w:t>ז.</w:t>
      </w:r>
      <w:r>
        <w:rPr>
          <w:rFonts w:cs="FrankRuehl" w:hint="cs"/>
          <w:sz w:val="28"/>
          <w:szCs w:val="28"/>
          <w:rtl/>
        </w:rPr>
        <w:tab/>
        <w:t>קנס בסך 1,000 ₪ או 10 ימי מאסר תחתיו. הקנס ישולם בעשרה תשלומים חודשיים, שווים ורציפים החל מיום 15.5.2015 ובכל 15 לחודש שלאחר מכן. לא ישולם אחד התשלומים במועדו, תעמוד יתרת הקנס לפירעון מיידי.</w:t>
      </w:r>
      <w:r>
        <w:rPr>
          <w:rFonts w:cs="FrankRuehl" w:hint="cs"/>
          <w:sz w:val="28"/>
          <w:szCs w:val="28"/>
          <w:rtl/>
        </w:rPr>
        <w:tab/>
      </w:r>
    </w:p>
    <w:p w14:paraId="7730A0DF" w14:textId="77777777" w:rsidR="00A0131F" w:rsidRDefault="00A0131F">
      <w:pPr>
        <w:spacing w:after="120" w:line="360" w:lineRule="auto"/>
        <w:jc w:val="both"/>
        <w:rPr>
          <w:rFonts w:ascii="Calibri" w:hAnsi="Calibri" w:cs="FrankRuehl"/>
          <w:sz w:val="28"/>
          <w:szCs w:val="28"/>
          <w:rtl/>
        </w:rPr>
      </w:pPr>
    </w:p>
    <w:p w14:paraId="1F987B42"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ח.</w:t>
      </w:r>
      <w:r>
        <w:rPr>
          <w:rFonts w:ascii="Calibri" w:hAnsi="Calibri" w:cs="FrankRuehl" w:hint="cs"/>
          <w:sz w:val="28"/>
          <w:szCs w:val="28"/>
          <w:rtl/>
        </w:rPr>
        <w:tab/>
        <w:t>ככל שנתפסו סמים, יש להשמידם.</w:t>
      </w:r>
    </w:p>
    <w:p w14:paraId="37BD4A59" w14:textId="77777777" w:rsidR="00A0131F" w:rsidRDefault="008A5B10">
      <w:pPr>
        <w:spacing w:after="120" w:line="360" w:lineRule="auto"/>
        <w:jc w:val="both"/>
        <w:rPr>
          <w:rFonts w:ascii="Calibri" w:hAnsi="Calibri" w:cs="FrankRuehl"/>
          <w:sz w:val="28"/>
          <w:szCs w:val="28"/>
          <w:rtl/>
        </w:rPr>
      </w:pPr>
      <w:r>
        <w:rPr>
          <w:rFonts w:ascii="Calibri" w:hAnsi="Calibri" w:cs="FrankRuehl" w:hint="cs"/>
          <w:sz w:val="28"/>
          <w:szCs w:val="28"/>
          <w:rtl/>
        </w:rPr>
        <w:tab/>
      </w:r>
    </w:p>
    <w:p w14:paraId="73DA1B16" w14:textId="77777777" w:rsidR="00A0131F" w:rsidRDefault="008A5B10">
      <w:pPr>
        <w:spacing w:after="120" w:line="360" w:lineRule="auto"/>
        <w:ind w:firstLine="720"/>
        <w:jc w:val="both"/>
        <w:rPr>
          <w:rFonts w:ascii="Calibri" w:hAnsi="Calibri" w:cs="FrankRuehl"/>
          <w:b/>
          <w:bCs/>
          <w:sz w:val="28"/>
          <w:szCs w:val="28"/>
          <w:rtl/>
        </w:rPr>
      </w:pPr>
      <w:r>
        <w:rPr>
          <w:rFonts w:ascii="Calibri" w:hAnsi="Calibri" w:cs="FrankRuehl" w:hint="cs"/>
          <w:b/>
          <w:bCs/>
          <w:sz w:val="28"/>
          <w:szCs w:val="28"/>
          <w:rtl/>
        </w:rPr>
        <w:t>המזכירות תמציא העתק פרוטוקול זה לשירות המבחן למבוגרים.</w:t>
      </w:r>
    </w:p>
    <w:p w14:paraId="114E0445" w14:textId="77777777" w:rsidR="00A0131F" w:rsidRDefault="00A0131F">
      <w:pPr>
        <w:spacing w:after="200" w:line="276" w:lineRule="auto"/>
        <w:ind w:firstLine="720"/>
        <w:rPr>
          <w:rFonts w:ascii="Calibri" w:hAnsi="Calibri" w:cs="FrankRuehl"/>
          <w:b/>
          <w:bCs/>
          <w:sz w:val="28"/>
          <w:szCs w:val="28"/>
          <w:rtl/>
        </w:rPr>
      </w:pPr>
    </w:p>
    <w:p w14:paraId="7906867B" w14:textId="77777777" w:rsidR="00A0131F" w:rsidRDefault="008A5B10">
      <w:pPr>
        <w:spacing w:after="200" w:line="276" w:lineRule="auto"/>
        <w:ind w:firstLine="720"/>
        <w:rPr>
          <w:rFonts w:ascii="David" w:hAnsi="David" w:cs="Arial"/>
          <w:sz w:val="22"/>
          <w:szCs w:val="22"/>
          <w:rtl/>
        </w:rPr>
      </w:pPr>
      <w:r>
        <w:rPr>
          <w:rFonts w:ascii="Calibri" w:hAnsi="Calibri" w:cs="FrankRuehl" w:hint="cs"/>
          <w:b/>
          <w:bCs/>
          <w:sz w:val="28"/>
          <w:szCs w:val="28"/>
          <w:rtl/>
        </w:rPr>
        <w:t>זכות ערעור לבית המשפט המחוזי תוך 45 ימים מהיום.</w:t>
      </w:r>
    </w:p>
    <w:p w14:paraId="0A621E77" w14:textId="77777777" w:rsidR="00A0131F" w:rsidRPr="008A5B10" w:rsidRDefault="008A5B10">
      <w:pPr>
        <w:spacing w:line="480" w:lineRule="auto"/>
        <w:rPr>
          <w:rFonts w:cs="FrankRuehl"/>
          <w:color w:val="FFFFFF"/>
          <w:sz w:val="2"/>
          <w:szCs w:val="2"/>
          <w:rtl/>
        </w:rPr>
      </w:pPr>
      <w:r w:rsidRPr="008A5B10">
        <w:rPr>
          <w:rFonts w:cs="FrankRuehl"/>
          <w:color w:val="FFFFFF"/>
          <w:sz w:val="2"/>
          <w:szCs w:val="2"/>
          <w:rtl/>
        </w:rPr>
        <w:t>5129371</w:t>
      </w:r>
    </w:p>
    <w:p w14:paraId="71375F6B" w14:textId="77777777" w:rsidR="00A0131F" w:rsidRDefault="008A5B10">
      <w:pPr>
        <w:rPr>
          <w:rFonts w:cs="FrankRuehl"/>
          <w:sz w:val="28"/>
          <w:szCs w:val="28"/>
          <w:rtl/>
        </w:rPr>
      </w:pPr>
      <w:bookmarkStart w:id="7" w:name="_GoBack"/>
      <w:bookmarkEnd w:id="7"/>
      <w:r w:rsidRPr="008A5B10">
        <w:rPr>
          <w:rFonts w:ascii="Arial" w:hAnsi="Arial" w:cs="FrankRuehl"/>
          <w:color w:val="FFFFFF"/>
          <w:sz w:val="2"/>
          <w:szCs w:val="2"/>
          <w:rtl/>
        </w:rPr>
        <w:t>54678313</w:t>
      </w:r>
      <w:r>
        <w:rPr>
          <w:rFonts w:ascii="Arial" w:hAnsi="Arial" w:cs="FrankRuehl"/>
          <w:sz w:val="28"/>
          <w:szCs w:val="28"/>
          <w:rtl/>
        </w:rPr>
        <w:t xml:space="preserve">ניתן היום, כ"ח אדר תשע"ה, 19 מרץ 2015, במעמד הצדדים. </w:t>
      </w:r>
    </w:p>
    <w:p w14:paraId="745481CE" w14:textId="77777777" w:rsidR="00A0131F" w:rsidRDefault="00A0131F">
      <w:pPr>
        <w:jc w:val="right"/>
      </w:pPr>
    </w:p>
    <w:p w14:paraId="6904B871" w14:textId="77777777" w:rsidR="00A0131F" w:rsidRDefault="00A0131F">
      <w:pPr>
        <w:jc w:val="right"/>
        <w:rPr>
          <w:rFonts w:ascii="Arial" w:hAnsi="Arial" w:cs="FrankRuehl"/>
          <w:sz w:val="28"/>
          <w:szCs w:val="28"/>
          <w:rtl/>
        </w:rPr>
      </w:pPr>
    </w:p>
    <w:p w14:paraId="7524A396" w14:textId="77777777" w:rsidR="00A0131F" w:rsidRDefault="00A0131F">
      <w:pPr>
        <w:rPr>
          <w:rFonts w:cs="FrankRuehl"/>
          <w:sz w:val="28"/>
          <w:szCs w:val="28"/>
          <w:rtl/>
        </w:rPr>
      </w:pPr>
    </w:p>
    <w:p w14:paraId="19A497D9" w14:textId="77777777" w:rsidR="00A0131F" w:rsidRDefault="00A0131F">
      <w:pPr>
        <w:pStyle w:val="a3"/>
        <w:jc w:val="center"/>
        <w:rPr>
          <w:rtl/>
        </w:rPr>
      </w:pPr>
    </w:p>
    <w:p w14:paraId="5A62181A" w14:textId="77777777" w:rsidR="008A5B10" w:rsidRPr="008A5B10" w:rsidRDefault="008A5B10" w:rsidP="008A5B10">
      <w:pPr>
        <w:keepNext/>
        <w:rPr>
          <w:rFonts w:ascii="David" w:hAnsi="David"/>
          <w:color w:val="000000"/>
          <w:sz w:val="22"/>
          <w:szCs w:val="22"/>
          <w:rtl/>
        </w:rPr>
      </w:pPr>
    </w:p>
    <w:p w14:paraId="00438719" w14:textId="77777777" w:rsidR="008A5B10" w:rsidRPr="008A5B10" w:rsidRDefault="008A5B10" w:rsidP="008A5B10">
      <w:pPr>
        <w:keepNext/>
        <w:rPr>
          <w:rFonts w:ascii="David" w:hAnsi="David"/>
          <w:color w:val="000000"/>
          <w:sz w:val="22"/>
          <w:szCs w:val="22"/>
          <w:rtl/>
        </w:rPr>
      </w:pPr>
      <w:r w:rsidRPr="008A5B10">
        <w:rPr>
          <w:rFonts w:ascii="David" w:hAnsi="David"/>
          <w:color w:val="000000"/>
          <w:sz w:val="22"/>
          <w:szCs w:val="22"/>
          <w:rtl/>
        </w:rPr>
        <w:t>דנה כהן לקח 54678313</w:t>
      </w:r>
    </w:p>
    <w:p w14:paraId="39A281E8" w14:textId="77777777" w:rsidR="008A5B10" w:rsidRDefault="008A5B10" w:rsidP="008A5B10">
      <w:r w:rsidRPr="008A5B10">
        <w:rPr>
          <w:color w:val="000000"/>
          <w:rtl/>
        </w:rPr>
        <w:t>נוסח מסמך זה כפוף לשינויי ניסוח ועריכה</w:t>
      </w:r>
    </w:p>
    <w:p w14:paraId="2A5E6120" w14:textId="77777777" w:rsidR="008A5B10" w:rsidRDefault="008A5B10" w:rsidP="008A5B10">
      <w:pPr>
        <w:rPr>
          <w:rtl/>
        </w:rPr>
      </w:pPr>
    </w:p>
    <w:p w14:paraId="01C0C133" w14:textId="77777777" w:rsidR="008A5B10" w:rsidRDefault="008A5B10" w:rsidP="008A5B10">
      <w:pPr>
        <w:jc w:val="center"/>
        <w:rPr>
          <w:color w:val="0000FF"/>
          <w:u w:val="single"/>
        </w:rPr>
      </w:pPr>
      <w:hyperlink r:id="rId64" w:history="1">
        <w:r>
          <w:rPr>
            <w:color w:val="0000FF"/>
            <w:u w:val="single"/>
            <w:rtl/>
          </w:rPr>
          <w:t>בעניין עריכה ושינויים במסמכי פסיקה, חקיקה ועוד באתר נבו – הקש כאן</w:t>
        </w:r>
      </w:hyperlink>
    </w:p>
    <w:p w14:paraId="5AC07A52" w14:textId="77777777" w:rsidR="00A0131F" w:rsidRPr="008A5B10" w:rsidRDefault="0042028F" w:rsidP="008A5B10">
      <w:pPr>
        <w:jc w:val="center"/>
        <w:rPr>
          <w:color w:val="0000FF"/>
          <w:u w:val="single"/>
        </w:rPr>
      </w:pPr>
      <w:r>
        <w:rPr>
          <w:rFonts w:hint="cs"/>
          <w:color w:val="0000FF"/>
          <w:u w:val="single"/>
          <w:rtl/>
        </w:rPr>
        <w:t xml:space="preserve">  </w:t>
      </w:r>
    </w:p>
    <w:sectPr w:rsidR="00A0131F" w:rsidRPr="008A5B10" w:rsidSect="008A5B10">
      <w:headerReference w:type="even" r:id="rId65"/>
      <w:headerReference w:type="default" r:id="rId66"/>
      <w:footerReference w:type="even" r:id="rId67"/>
      <w:footerReference w:type="default" r:id="rId68"/>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7D698" w14:textId="77777777" w:rsidR="002762AE" w:rsidRPr="00565D7E" w:rsidRDefault="002762AE">
      <w:pPr>
        <w:rPr>
          <w:rFonts w:cs="Arial"/>
          <w:szCs w:val="20"/>
        </w:rPr>
      </w:pPr>
      <w:r>
        <w:separator/>
      </w:r>
    </w:p>
  </w:endnote>
  <w:endnote w:type="continuationSeparator" w:id="0">
    <w:p w14:paraId="0BCC5D1F" w14:textId="77777777" w:rsidR="002762AE" w:rsidRPr="00565D7E" w:rsidRDefault="002762A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ABCEC" w14:textId="77777777" w:rsidR="00F020AB" w:rsidRDefault="00F020AB" w:rsidP="008A5B1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B0E671A" w14:textId="77777777" w:rsidR="00F020AB" w:rsidRPr="008A5B10" w:rsidRDefault="00F020AB" w:rsidP="008A5B10">
    <w:pPr>
      <w:pStyle w:val="a4"/>
      <w:pBdr>
        <w:top w:val="single" w:sz="4" w:space="1" w:color="auto"/>
        <w:between w:val="single" w:sz="4" w:space="0" w:color="auto"/>
      </w:pBdr>
      <w:spacing w:after="60"/>
      <w:jc w:val="center"/>
      <w:rPr>
        <w:rFonts w:ascii="FrankRuehl" w:hAnsi="FrankRuehl" w:cs="FrankRuehl"/>
        <w:color w:val="000000"/>
      </w:rPr>
    </w:pPr>
    <w:r w:rsidRPr="008A5B1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533D7" w14:textId="77777777" w:rsidR="00F020AB" w:rsidRDefault="00F020AB" w:rsidP="008A5B1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B2458">
      <w:rPr>
        <w:rFonts w:ascii="FrankRuehl" w:hAnsi="FrankRuehl" w:cs="FrankRuehl"/>
        <w:noProof/>
        <w:rtl/>
      </w:rPr>
      <w:t>1</w:t>
    </w:r>
    <w:r>
      <w:rPr>
        <w:rFonts w:ascii="FrankRuehl" w:hAnsi="FrankRuehl" w:cs="FrankRuehl"/>
        <w:rtl/>
      </w:rPr>
      <w:fldChar w:fldCharType="end"/>
    </w:r>
  </w:p>
  <w:p w14:paraId="4522986C" w14:textId="77777777" w:rsidR="00F020AB" w:rsidRPr="008A5B10" w:rsidRDefault="00F020AB" w:rsidP="008A5B10">
    <w:pPr>
      <w:pStyle w:val="a4"/>
      <w:pBdr>
        <w:top w:val="single" w:sz="4" w:space="1" w:color="auto"/>
        <w:between w:val="single" w:sz="4" w:space="0" w:color="auto"/>
      </w:pBdr>
      <w:spacing w:after="60"/>
      <w:jc w:val="center"/>
      <w:rPr>
        <w:rFonts w:ascii="FrankRuehl" w:hAnsi="FrankRuehl" w:cs="FrankRuehl"/>
        <w:color w:val="000000"/>
      </w:rPr>
    </w:pPr>
    <w:r w:rsidRPr="008A5B10">
      <w:rPr>
        <w:rFonts w:ascii="FrankRuehl" w:hAnsi="FrankRuehl" w:cs="FrankRuehl"/>
        <w:color w:val="000000"/>
      </w:rPr>
      <w:pict w14:anchorId="07B716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989CE7" w14:textId="77777777" w:rsidR="002762AE" w:rsidRPr="00565D7E" w:rsidRDefault="002762AE">
      <w:pPr>
        <w:rPr>
          <w:rFonts w:cs="Arial"/>
          <w:szCs w:val="20"/>
        </w:rPr>
      </w:pPr>
      <w:r>
        <w:separator/>
      </w:r>
    </w:p>
  </w:footnote>
  <w:footnote w:type="continuationSeparator" w:id="0">
    <w:p w14:paraId="7433F325" w14:textId="77777777" w:rsidR="002762AE" w:rsidRPr="00565D7E" w:rsidRDefault="002762A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35E7E" w14:textId="77777777" w:rsidR="00F020AB" w:rsidRPr="008A5B10" w:rsidRDefault="00F020AB" w:rsidP="008A5B1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46354-02-13</w:t>
    </w:r>
    <w:r>
      <w:rPr>
        <w:rFonts w:ascii="David" w:hAnsi="David"/>
        <w:color w:val="000000"/>
        <w:sz w:val="22"/>
        <w:szCs w:val="22"/>
        <w:rtl/>
      </w:rPr>
      <w:tab/>
      <w:t xml:space="preserve"> מדינת ישראל נ' אליהו חי נח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070C1" w14:textId="77777777" w:rsidR="00F020AB" w:rsidRPr="008A5B10" w:rsidRDefault="00F020AB" w:rsidP="008A5B1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46354-02-13</w:t>
    </w:r>
    <w:r>
      <w:rPr>
        <w:rFonts w:ascii="David" w:hAnsi="David"/>
        <w:color w:val="000000"/>
        <w:sz w:val="22"/>
        <w:szCs w:val="22"/>
        <w:rtl/>
      </w:rPr>
      <w:tab/>
      <w:t xml:space="preserve"> מדינת ישראל נ' אליהו חי נח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0131F"/>
    <w:rsid w:val="0000338C"/>
    <w:rsid w:val="002762AE"/>
    <w:rsid w:val="00367AD7"/>
    <w:rsid w:val="003A7C35"/>
    <w:rsid w:val="003B2458"/>
    <w:rsid w:val="0042028F"/>
    <w:rsid w:val="00512048"/>
    <w:rsid w:val="008A5B10"/>
    <w:rsid w:val="00942666"/>
    <w:rsid w:val="009D340E"/>
    <w:rsid w:val="00A0131F"/>
    <w:rsid w:val="00B6294A"/>
    <w:rsid w:val="00D23613"/>
    <w:rsid w:val="00F020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2685092"/>
  <w15:chartTrackingRefBased/>
  <w15:docId w15:val="{906BDF04-775B-4DA0-B09F-83EE8DAD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131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0131F"/>
    <w:pPr>
      <w:tabs>
        <w:tab w:val="center" w:pos="4153"/>
        <w:tab w:val="right" w:pos="8306"/>
      </w:tabs>
    </w:pPr>
  </w:style>
  <w:style w:type="paragraph" w:styleId="a4">
    <w:name w:val="footer"/>
    <w:basedOn w:val="a"/>
    <w:rsid w:val="00A0131F"/>
    <w:pPr>
      <w:tabs>
        <w:tab w:val="center" w:pos="4153"/>
        <w:tab w:val="right" w:pos="8306"/>
      </w:tabs>
    </w:pPr>
  </w:style>
  <w:style w:type="character" w:styleId="a5">
    <w:name w:val="page number"/>
    <w:basedOn w:val="a0"/>
    <w:rsid w:val="00A0131F"/>
  </w:style>
  <w:style w:type="character" w:styleId="Hyperlink">
    <w:name w:val="Hyperlink"/>
    <w:rsid w:val="008A5B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 TargetMode="External"/><Relationship Id="rId21" Type="http://schemas.openxmlformats.org/officeDocument/2006/relationships/hyperlink" Target="http://www.nevo.co.il/law/70301"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5112346" TargetMode="External"/><Relationship Id="rId63" Type="http://schemas.openxmlformats.org/officeDocument/2006/relationships/hyperlink" Target="http://www.nevo.co.il/law/70301" TargetMode="External"/><Relationship Id="rId68" Type="http://schemas.openxmlformats.org/officeDocument/2006/relationships/footer" Target="footer2.xml"/><Relationship Id="rId7" Type="http://schemas.openxmlformats.org/officeDocument/2006/relationships/hyperlink" Target="http://www.nevo.co.il/law/70301/40c.a" TargetMode="External"/><Relationship Id="rId2" Type="http://schemas.openxmlformats.org/officeDocument/2006/relationships/settings" Target="settings.xml"/><Relationship Id="rId16" Type="http://schemas.openxmlformats.org/officeDocument/2006/relationships/hyperlink" Target="http://www.nevo.co.il/law/5227/10" TargetMode="External"/><Relationship Id="rId29" Type="http://schemas.openxmlformats.org/officeDocument/2006/relationships/hyperlink" Target="http://www.nevo.co.il/law/4216/7.a" TargetMode="External"/><Relationship Id="rId11" Type="http://schemas.openxmlformats.org/officeDocument/2006/relationships/hyperlink" Target="http://www.nevo.co.il/law/70301/40jc.b" TargetMode="External"/><Relationship Id="rId24" Type="http://schemas.openxmlformats.org/officeDocument/2006/relationships/hyperlink" Target="http://www.nevo.co.il/law/4216/7.a" TargetMode="External"/><Relationship Id="rId32" Type="http://schemas.openxmlformats.org/officeDocument/2006/relationships/hyperlink" Target="http://www.nevo.co.il/law/5227"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10552326" TargetMode="External"/><Relationship Id="rId53" Type="http://schemas.openxmlformats.org/officeDocument/2006/relationships/hyperlink" Target="http://www.nevo.co.il/case/4602687" TargetMode="External"/><Relationship Id="rId58" Type="http://schemas.openxmlformats.org/officeDocument/2006/relationships/hyperlink" Target="http://www.nevo.co.il/case/4117459" TargetMode="External"/><Relationship Id="rId66"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hyperlink" Target="http://www.nevo.co.il/law/70301" TargetMode="External"/><Relationship Id="rId19" Type="http://schemas.openxmlformats.org/officeDocument/2006/relationships/hyperlink" Target="http://www.nevo.co.il/law/74501/2"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6796611" TargetMode="External"/><Relationship Id="rId27" Type="http://schemas.openxmlformats.org/officeDocument/2006/relationships/hyperlink" Target="http://www.nevo.co.il/case/6555049" TargetMode="External"/><Relationship Id="rId30" Type="http://schemas.openxmlformats.org/officeDocument/2006/relationships/hyperlink" Target="http://www.nevo.co.il/law/4216/7.c" TargetMode="External"/><Relationship Id="rId35" Type="http://schemas.openxmlformats.org/officeDocument/2006/relationships/hyperlink" Target="http://www.nevo.co.il/law/74501" TargetMode="External"/><Relationship Id="rId43" Type="http://schemas.openxmlformats.org/officeDocument/2006/relationships/hyperlink" Target="http://www.nevo.co.il/law/70301/338.a.3" TargetMode="External"/><Relationship Id="rId48" Type="http://schemas.openxmlformats.org/officeDocument/2006/relationships/hyperlink" Target="http://www.nevo.co.il/case/2402170" TargetMode="External"/><Relationship Id="rId56" Type="http://schemas.openxmlformats.org/officeDocument/2006/relationships/hyperlink" Target="http://www.nevo.co.il/case/5934115"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www.nevo.co.il/law/70301/40d.a" TargetMode="External"/><Relationship Id="rId51" Type="http://schemas.openxmlformats.org/officeDocument/2006/relationships/hyperlink" Target="http://www.nevo.co.il/case/3984649" TargetMode="External"/><Relationship Id="rId3" Type="http://schemas.openxmlformats.org/officeDocument/2006/relationships/webSettings" Target="webSettings.xml"/><Relationship Id="rId12" Type="http://schemas.openxmlformats.org/officeDocument/2006/relationships/hyperlink" Target="http://www.nevo.co.il/law/4216" TargetMode="External"/><Relationship Id="rId17" Type="http://schemas.openxmlformats.org/officeDocument/2006/relationships/hyperlink" Target="http://www.nevo.co.il/law/5227/67" TargetMode="External"/><Relationship Id="rId25" Type="http://schemas.openxmlformats.org/officeDocument/2006/relationships/hyperlink" Target="http://www.nevo.co.il/law/4216/7.c" TargetMode="External"/><Relationship Id="rId33" Type="http://schemas.openxmlformats.org/officeDocument/2006/relationships/hyperlink" Target="http://www.nevo.co.il/law/5227/10" TargetMode="External"/><Relationship Id="rId38" Type="http://schemas.openxmlformats.org/officeDocument/2006/relationships/hyperlink" Target="http://www.nevo.co.il/case/13093721" TargetMode="External"/><Relationship Id="rId46" Type="http://schemas.openxmlformats.org/officeDocument/2006/relationships/hyperlink" Target="http://www.nevo.co.il/case/2918011" TargetMode="External"/><Relationship Id="rId59" Type="http://schemas.openxmlformats.org/officeDocument/2006/relationships/hyperlink" Target="http://www.nevo.co.il/case/4144196" TargetMode="External"/><Relationship Id="rId67" Type="http://schemas.openxmlformats.org/officeDocument/2006/relationships/footer" Target="footer1.xml"/><Relationship Id="rId20" Type="http://schemas.openxmlformats.org/officeDocument/2006/relationships/hyperlink" Target="http://www.nevo.co.il/law/70301/338.a.3" TargetMode="External"/><Relationship Id="rId41" Type="http://schemas.openxmlformats.org/officeDocument/2006/relationships/hyperlink" Target="http://www.nevo.co.il/law/70301/40c.a" TargetMode="External"/><Relationship Id="rId54" Type="http://schemas.openxmlformats.org/officeDocument/2006/relationships/hyperlink" Target="http://www.nevo.co.il/case/10488451" TargetMode="External"/><Relationship Id="rId62" Type="http://schemas.openxmlformats.org/officeDocument/2006/relationships/hyperlink" Target="http://www.nevo.co.il/law/70301/338.a.3"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5227" TargetMode="External"/><Relationship Id="rId23" Type="http://schemas.openxmlformats.org/officeDocument/2006/relationships/hyperlink" Target="http://www.nevo.co.il/case/7790255" TargetMode="External"/><Relationship Id="rId28" Type="http://schemas.openxmlformats.org/officeDocument/2006/relationships/hyperlink" Target="http://www.nevo.co.il/case/6595429" TargetMode="External"/><Relationship Id="rId36" Type="http://schemas.openxmlformats.org/officeDocument/2006/relationships/hyperlink" Target="http://www.nevo.co.il/law/70301/40jc.a" TargetMode="External"/><Relationship Id="rId49" Type="http://schemas.openxmlformats.org/officeDocument/2006/relationships/hyperlink" Target="http://www.nevo.co.il/case/6051623" TargetMode="External"/><Relationship Id="rId57" Type="http://schemas.openxmlformats.org/officeDocument/2006/relationships/hyperlink" Target="http://www.nevo.co.il/case/8499693" TargetMode="External"/><Relationship Id="rId10" Type="http://schemas.openxmlformats.org/officeDocument/2006/relationships/hyperlink" Target="http://www.nevo.co.il/law/70301/40jc.a" TargetMode="External"/><Relationship Id="rId31" Type="http://schemas.openxmlformats.org/officeDocument/2006/relationships/hyperlink" Target="http://www.nevo.co.il/law/5227/67"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2903544" TargetMode="External"/><Relationship Id="rId60" Type="http://schemas.openxmlformats.org/officeDocument/2006/relationships/hyperlink" Target="http://www.nevo.co.il/law/70301/40d.a" TargetMode="External"/><Relationship Id="rId65"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338.a.3" TargetMode="External"/><Relationship Id="rId13" Type="http://schemas.openxmlformats.org/officeDocument/2006/relationships/hyperlink" Target="http://www.nevo.co.il/law/4216/7.a" TargetMode="External"/><Relationship Id="rId18" Type="http://schemas.openxmlformats.org/officeDocument/2006/relationships/hyperlink" Target="http://www.nevo.co.il/law/74501" TargetMode="External"/><Relationship Id="rId39" Type="http://schemas.openxmlformats.org/officeDocument/2006/relationships/hyperlink" Target="http://www.nevo.co.il/law/70301/40jc.b" TargetMode="External"/><Relationship Id="rId34" Type="http://schemas.openxmlformats.org/officeDocument/2006/relationships/hyperlink" Target="http://www.nevo.co.il/law/74501/2" TargetMode="External"/><Relationship Id="rId50" Type="http://schemas.openxmlformats.org/officeDocument/2006/relationships/hyperlink" Target="http://www.nevo.co.il/case/10480911" TargetMode="External"/><Relationship Id="rId55" Type="http://schemas.openxmlformats.org/officeDocument/2006/relationships/hyperlink" Target="http://www.nevo.co.il/case/604985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3961</Words>
  <Characters>19805</Characters>
  <Application>Microsoft Office Word</Application>
  <DocSecurity>0</DocSecurity>
  <Lines>165</Lines>
  <Paragraphs>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23719</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6684735</vt:i4>
      </vt:variant>
      <vt:variant>
        <vt:i4>168</vt:i4>
      </vt:variant>
      <vt:variant>
        <vt:i4>0</vt:i4>
      </vt:variant>
      <vt:variant>
        <vt:i4>5</vt:i4>
      </vt:variant>
      <vt:variant>
        <vt:lpwstr>http://www.nevo.co.il/law/70301/338.a.3</vt:lpwstr>
      </vt:variant>
      <vt:variant>
        <vt:lpwstr/>
      </vt:variant>
      <vt:variant>
        <vt:i4>7995492</vt:i4>
      </vt:variant>
      <vt:variant>
        <vt:i4>165</vt:i4>
      </vt:variant>
      <vt:variant>
        <vt:i4>0</vt:i4>
      </vt:variant>
      <vt:variant>
        <vt:i4>5</vt:i4>
      </vt:variant>
      <vt:variant>
        <vt:lpwstr>http://www.nevo.co.il/law/70301</vt:lpwstr>
      </vt:variant>
      <vt:variant>
        <vt:lpwstr/>
      </vt:variant>
      <vt:variant>
        <vt:i4>4915205</vt:i4>
      </vt:variant>
      <vt:variant>
        <vt:i4>162</vt:i4>
      </vt:variant>
      <vt:variant>
        <vt:i4>0</vt:i4>
      </vt:variant>
      <vt:variant>
        <vt:i4>5</vt:i4>
      </vt:variant>
      <vt:variant>
        <vt:lpwstr>http://www.nevo.co.il/law/70301/40d.a</vt:lpwstr>
      </vt:variant>
      <vt:variant>
        <vt:lpwstr/>
      </vt:variant>
      <vt:variant>
        <vt:i4>3604600</vt:i4>
      </vt:variant>
      <vt:variant>
        <vt:i4>159</vt:i4>
      </vt:variant>
      <vt:variant>
        <vt:i4>0</vt:i4>
      </vt:variant>
      <vt:variant>
        <vt:i4>5</vt:i4>
      </vt:variant>
      <vt:variant>
        <vt:lpwstr>http://www.nevo.co.il/case/4144196</vt:lpwstr>
      </vt:variant>
      <vt:variant>
        <vt:lpwstr/>
      </vt:variant>
      <vt:variant>
        <vt:i4>3670135</vt:i4>
      </vt:variant>
      <vt:variant>
        <vt:i4>156</vt:i4>
      </vt:variant>
      <vt:variant>
        <vt:i4>0</vt:i4>
      </vt:variant>
      <vt:variant>
        <vt:i4>5</vt:i4>
      </vt:variant>
      <vt:variant>
        <vt:lpwstr>http://www.nevo.co.il/case/4117459</vt:lpwstr>
      </vt:variant>
      <vt:variant>
        <vt:lpwstr/>
      </vt:variant>
      <vt:variant>
        <vt:i4>3407984</vt:i4>
      </vt:variant>
      <vt:variant>
        <vt:i4>153</vt:i4>
      </vt:variant>
      <vt:variant>
        <vt:i4>0</vt:i4>
      </vt:variant>
      <vt:variant>
        <vt:i4>5</vt:i4>
      </vt:variant>
      <vt:variant>
        <vt:lpwstr>http://www.nevo.co.il/case/8499693</vt:lpwstr>
      </vt:variant>
      <vt:variant>
        <vt:lpwstr/>
      </vt:variant>
      <vt:variant>
        <vt:i4>3276920</vt:i4>
      </vt:variant>
      <vt:variant>
        <vt:i4>150</vt:i4>
      </vt:variant>
      <vt:variant>
        <vt:i4>0</vt:i4>
      </vt:variant>
      <vt:variant>
        <vt:i4>5</vt:i4>
      </vt:variant>
      <vt:variant>
        <vt:lpwstr>http://www.nevo.co.il/case/5934115</vt:lpwstr>
      </vt:variant>
      <vt:variant>
        <vt:lpwstr/>
      </vt:variant>
      <vt:variant>
        <vt:i4>3342456</vt:i4>
      </vt:variant>
      <vt:variant>
        <vt:i4>147</vt:i4>
      </vt:variant>
      <vt:variant>
        <vt:i4>0</vt:i4>
      </vt:variant>
      <vt:variant>
        <vt:i4>5</vt:i4>
      </vt:variant>
      <vt:variant>
        <vt:lpwstr>http://www.nevo.co.il/case/6049859</vt:lpwstr>
      </vt:variant>
      <vt:variant>
        <vt:lpwstr/>
      </vt:variant>
      <vt:variant>
        <vt:i4>3670136</vt:i4>
      </vt:variant>
      <vt:variant>
        <vt:i4>144</vt:i4>
      </vt:variant>
      <vt:variant>
        <vt:i4>0</vt:i4>
      </vt:variant>
      <vt:variant>
        <vt:i4>5</vt:i4>
      </vt:variant>
      <vt:variant>
        <vt:lpwstr>http://www.nevo.co.il/case/10488451</vt:lpwstr>
      </vt:variant>
      <vt:variant>
        <vt:lpwstr/>
      </vt:variant>
      <vt:variant>
        <vt:i4>3473528</vt:i4>
      </vt:variant>
      <vt:variant>
        <vt:i4>141</vt:i4>
      </vt:variant>
      <vt:variant>
        <vt:i4>0</vt:i4>
      </vt:variant>
      <vt:variant>
        <vt:i4>5</vt:i4>
      </vt:variant>
      <vt:variant>
        <vt:lpwstr>http://www.nevo.co.il/case/4602687</vt:lpwstr>
      </vt:variant>
      <vt:variant>
        <vt:lpwstr/>
      </vt:variant>
      <vt:variant>
        <vt:i4>3342458</vt:i4>
      </vt:variant>
      <vt:variant>
        <vt:i4>138</vt:i4>
      </vt:variant>
      <vt:variant>
        <vt:i4>0</vt:i4>
      </vt:variant>
      <vt:variant>
        <vt:i4>5</vt:i4>
      </vt:variant>
      <vt:variant>
        <vt:lpwstr>http://www.nevo.co.il/case/2903544</vt:lpwstr>
      </vt:variant>
      <vt:variant>
        <vt:lpwstr/>
      </vt:variant>
      <vt:variant>
        <vt:i4>3407997</vt:i4>
      </vt:variant>
      <vt:variant>
        <vt:i4>135</vt:i4>
      </vt:variant>
      <vt:variant>
        <vt:i4>0</vt:i4>
      </vt:variant>
      <vt:variant>
        <vt:i4>5</vt:i4>
      </vt:variant>
      <vt:variant>
        <vt:lpwstr>http://www.nevo.co.il/case/3984649</vt:lpwstr>
      </vt:variant>
      <vt:variant>
        <vt:lpwstr/>
      </vt:variant>
      <vt:variant>
        <vt:i4>3407989</vt:i4>
      </vt:variant>
      <vt:variant>
        <vt:i4>132</vt:i4>
      </vt:variant>
      <vt:variant>
        <vt:i4>0</vt:i4>
      </vt:variant>
      <vt:variant>
        <vt:i4>5</vt:i4>
      </vt:variant>
      <vt:variant>
        <vt:lpwstr>http://www.nevo.co.il/case/10480911</vt:lpwstr>
      </vt:variant>
      <vt:variant>
        <vt:lpwstr/>
      </vt:variant>
      <vt:variant>
        <vt:i4>3539063</vt:i4>
      </vt:variant>
      <vt:variant>
        <vt:i4>129</vt:i4>
      </vt:variant>
      <vt:variant>
        <vt:i4>0</vt:i4>
      </vt:variant>
      <vt:variant>
        <vt:i4>5</vt:i4>
      </vt:variant>
      <vt:variant>
        <vt:lpwstr>http://www.nevo.co.il/case/6051623</vt:lpwstr>
      </vt:variant>
      <vt:variant>
        <vt:lpwstr/>
      </vt:variant>
      <vt:variant>
        <vt:i4>3342453</vt:i4>
      </vt:variant>
      <vt:variant>
        <vt:i4>126</vt:i4>
      </vt:variant>
      <vt:variant>
        <vt:i4>0</vt:i4>
      </vt:variant>
      <vt:variant>
        <vt:i4>5</vt:i4>
      </vt:variant>
      <vt:variant>
        <vt:lpwstr>http://www.nevo.co.il/case/2402170</vt:lpwstr>
      </vt:variant>
      <vt:variant>
        <vt:lpwstr/>
      </vt:variant>
      <vt:variant>
        <vt:i4>3211379</vt:i4>
      </vt:variant>
      <vt:variant>
        <vt:i4>123</vt:i4>
      </vt:variant>
      <vt:variant>
        <vt:i4>0</vt:i4>
      </vt:variant>
      <vt:variant>
        <vt:i4>5</vt:i4>
      </vt:variant>
      <vt:variant>
        <vt:lpwstr>http://www.nevo.co.il/case/5112346</vt:lpwstr>
      </vt:variant>
      <vt:variant>
        <vt:lpwstr/>
      </vt:variant>
      <vt:variant>
        <vt:i4>3276916</vt:i4>
      </vt:variant>
      <vt:variant>
        <vt:i4>120</vt:i4>
      </vt:variant>
      <vt:variant>
        <vt:i4>0</vt:i4>
      </vt:variant>
      <vt:variant>
        <vt:i4>5</vt:i4>
      </vt:variant>
      <vt:variant>
        <vt:lpwstr>http://www.nevo.co.il/case/2918011</vt:lpwstr>
      </vt:variant>
      <vt:variant>
        <vt:lpwstr/>
      </vt:variant>
      <vt:variant>
        <vt:i4>3407986</vt:i4>
      </vt:variant>
      <vt:variant>
        <vt:i4>117</vt:i4>
      </vt:variant>
      <vt:variant>
        <vt:i4>0</vt:i4>
      </vt:variant>
      <vt:variant>
        <vt:i4>5</vt:i4>
      </vt:variant>
      <vt:variant>
        <vt:lpwstr>http://www.nevo.co.il/case/10552326</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6684735</vt:i4>
      </vt:variant>
      <vt:variant>
        <vt:i4>111</vt:i4>
      </vt:variant>
      <vt:variant>
        <vt:i4>0</vt:i4>
      </vt:variant>
      <vt:variant>
        <vt:i4>5</vt:i4>
      </vt:variant>
      <vt:variant>
        <vt:lpwstr>http://www.nevo.co.il/law/70301/338.a.3</vt:lpwstr>
      </vt:variant>
      <vt:variant>
        <vt:lpwstr/>
      </vt:variant>
      <vt:variant>
        <vt:i4>7995492</vt:i4>
      </vt:variant>
      <vt:variant>
        <vt:i4>108</vt:i4>
      </vt:variant>
      <vt:variant>
        <vt:i4>0</vt:i4>
      </vt:variant>
      <vt:variant>
        <vt:i4>5</vt:i4>
      </vt:variant>
      <vt:variant>
        <vt:lpwstr>http://www.nevo.co.il/law/70301</vt:lpwstr>
      </vt:variant>
      <vt:variant>
        <vt:lpwstr/>
      </vt:variant>
      <vt:variant>
        <vt:i4>4915202</vt:i4>
      </vt:variant>
      <vt:variant>
        <vt:i4>105</vt:i4>
      </vt:variant>
      <vt:variant>
        <vt:i4>0</vt:i4>
      </vt:variant>
      <vt:variant>
        <vt:i4>5</vt:i4>
      </vt:variant>
      <vt:variant>
        <vt:lpwstr>http://www.nevo.co.il/law/70301/40c.a</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6553637</vt:i4>
      </vt:variant>
      <vt:variant>
        <vt:i4>99</vt:i4>
      </vt:variant>
      <vt:variant>
        <vt:i4>0</vt:i4>
      </vt:variant>
      <vt:variant>
        <vt:i4>5</vt:i4>
      </vt:variant>
      <vt:variant>
        <vt:lpwstr>http://www.nevo.co.il/law/70301/40jc.b</vt:lpwstr>
      </vt:variant>
      <vt:variant>
        <vt:lpwstr/>
      </vt:variant>
      <vt:variant>
        <vt:i4>3145849</vt:i4>
      </vt:variant>
      <vt:variant>
        <vt:i4>96</vt:i4>
      </vt:variant>
      <vt:variant>
        <vt:i4>0</vt:i4>
      </vt:variant>
      <vt:variant>
        <vt:i4>5</vt:i4>
      </vt:variant>
      <vt:variant>
        <vt:lpwstr>http://www.nevo.co.il/case/13093721</vt:lpwstr>
      </vt:variant>
      <vt:variant>
        <vt:lpwstr/>
      </vt:variant>
      <vt:variant>
        <vt:i4>7995492</vt:i4>
      </vt:variant>
      <vt:variant>
        <vt:i4>93</vt:i4>
      </vt:variant>
      <vt:variant>
        <vt:i4>0</vt:i4>
      </vt:variant>
      <vt:variant>
        <vt:i4>5</vt:i4>
      </vt:variant>
      <vt:variant>
        <vt:lpwstr>http://www.nevo.co.il/law/70301</vt:lpwstr>
      </vt:variant>
      <vt:variant>
        <vt:lpwstr/>
      </vt:variant>
      <vt:variant>
        <vt:i4>6750245</vt:i4>
      </vt:variant>
      <vt:variant>
        <vt:i4>90</vt:i4>
      </vt:variant>
      <vt:variant>
        <vt:i4>0</vt:i4>
      </vt:variant>
      <vt:variant>
        <vt:i4>5</vt:i4>
      </vt:variant>
      <vt:variant>
        <vt:lpwstr>http://www.nevo.co.il/law/70301/40jc.a</vt:lpwstr>
      </vt:variant>
      <vt:variant>
        <vt:lpwstr/>
      </vt:variant>
      <vt:variant>
        <vt:i4>8257634</vt:i4>
      </vt:variant>
      <vt:variant>
        <vt:i4>87</vt:i4>
      </vt:variant>
      <vt:variant>
        <vt:i4>0</vt:i4>
      </vt:variant>
      <vt:variant>
        <vt:i4>5</vt:i4>
      </vt:variant>
      <vt:variant>
        <vt:lpwstr>http://www.nevo.co.il/law/74501</vt:lpwstr>
      </vt:variant>
      <vt:variant>
        <vt:lpwstr/>
      </vt:variant>
      <vt:variant>
        <vt:i4>5308499</vt:i4>
      </vt:variant>
      <vt:variant>
        <vt:i4>84</vt:i4>
      </vt:variant>
      <vt:variant>
        <vt:i4>0</vt:i4>
      </vt:variant>
      <vt:variant>
        <vt:i4>5</vt:i4>
      </vt:variant>
      <vt:variant>
        <vt:lpwstr>http://www.nevo.co.il/law/74501/2</vt:lpwstr>
      </vt:variant>
      <vt:variant>
        <vt:lpwstr/>
      </vt:variant>
      <vt:variant>
        <vt:i4>5111880</vt:i4>
      </vt:variant>
      <vt:variant>
        <vt:i4>81</vt:i4>
      </vt:variant>
      <vt:variant>
        <vt:i4>0</vt:i4>
      </vt:variant>
      <vt:variant>
        <vt:i4>5</vt:i4>
      </vt:variant>
      <vt:variant>
        <vt:lpwstr>http://www.nevo.co.il/law/5227/10</vt:lpwstr>
      </vt:variant>
      <vt:variant>
        <vt:lpwstr/>
      </vt:variant>
      <vt:variant>
        <vt:i4>8323175</vt:i4>
      </vt:variant>
      <vt:variant>
        <vt:i4>78</vt:i4>
      </vt:variant>
      <vt:variant>
        <vt:i4>0</vt:i4>
      </vt:variant>
      <vt:variant>
        <vt:i4>5</vt:i4>
      </vt:variant>
      <vt:variant>
        <vt:lpwstr>http://www.nevo.co.il/law/5227</vt:lpwstr>
      </vt:variant>
      <vt:variant>
        <vt:lpwstr/>
      </vt:variant>
      <vt:variant>
        <vt:i4>4784200</vt:i4>
      </vt:variant>
      <vt:variant>
        <vt:i4>75</vt:i4>
      </vt:variant>
      <vt:variant>
        <vt:i4>0</vt:i4>
      </vt:variant>
      <vt:variant>
        <vt:i4>5</vt:i4>
      </vt:variant>
      <vt:variant>
        <vt:lpwstr>http://www.nevo.co.il/law/5227/67</vt:lpwstr>
      </vt:variant>
      <vt:variant>
        <vt:lpwstr/>
      </vt:variant>
      <vt:variant>
        <vt:i4>2752612</vt:i4>
      </vt:variant>
      <vt:variant>
        <vt:i4>72</vt:i4>
      </vt:variant>
      <vt:variant>
        <vt:i4>0</vt:i4>
      </vt:variant>
      <vt:variant>
        <vt:i4>5</vt:i4>
      </vt:variant>
      <vt:variant>
        <vt:lpwstr>http://www.nevo.co.il/law/4216/7.c</vt:lpwstr>
      </vt:variant>
      <vt:variant>
        <vt:lpwstr/>
      </vt:variant>
      <vt:variant>
        <vt:i4>2621540</vt:i4>
      </vt:variant>
      <vt:variant>
        <vt:i4>69</vt:i4>
      </vt:variant>
      <vt:variant>
        <vt:i4>0</vt:i4>
      </vt:variant>
      <vt:variant>
        <vt:i4>5</vt:i4>
      </vt:variant>
      <vt:variant>
        <vt:lpwstr>http://www.nevo.co.il/law/4216/7.a</vt:lpwstr>
      </vt:variant>
      <vt:variant>
        <vt:lpwstr/>
      </vt:variant>
      <vt:variant>
        <vt:i4>3276918</vt:i4>
      </vt:variant>
      <vt:variant>
        <vt:i4>66</vt:i4>
      </vt:variant>
      <vt:variant>
        <vt:i4>0</vt:i4>
      </vt:variant>
      <vt:variant>
        <vt:i4>5</vt:i4>
      </vt:variant>
      <vt:variant>
        <vt:lpwstr>http://www.nevo.co.il/case/6595429</vt:lpwstr>
      </vt:variant>
      <vt:variant>
        <vt:lpwstr/>
      </vt:variant>
      <vt:variant>
        <vt:i4>3801200</vt:i4>
      </vt:variant>
      <vt:variant>
        <vt:i4>63</vt:i4>
      </vt:variant>
      <vt:variant>
        <vt:i4>0</vt:i4>
      </vt:variant>
      <vt:variant>
        <vt:i4>5</vt:i4>
      </vt:variant>
      <vt:variant>
        <vt:lpwstr>http://www.nevo.co.il/case/6555049</vt:lpwstr>
      </vt:variant>
      <vt:variant>
        <vt:lpwstr/>
      </vt:variant>
      <vt:variant>
        <vt:i4>8257637</vt:i4>
      </vt:variant>
      <vt:variant>
        <vt:i4>60</vt:i4>
      </vt:variant>
      <vt:variant>
        <vt:i4>0</vt:i4>
      </vt:variant>
      <vt:variant>
        <vt:i4>5</vt:i4>
      </vt:variant>
      <vt:variant>
        <vt:lpwstr>http://www.nevo.co.il/law/4216</vt:lpwstr>
      </vt:variant>
      <vt:variant>
        <vt:lpwstr/>
      </vt:variant>
      <vt:variant>
        <vt:i4>2752612</vt:i4>
      </vt:variant>
      <vt:variant>
        <vt:i4>57</vt:i4>
      </vt:variant>
      <vt:variant>
        <vt:i4>0</vt:i4>
      </vt:variant>
      <vt:variant>
        <vt:i4>5</vt:i4>
      </vt:variant>
      <vt:variant>
        <vt:lpwstr>http://www.nevo.co.il/law/4216/7.c</vt:lpwstr>
      </vt:variant>
      <vt:variant>
        <vt:lpwstr/>
      </vt:variant>
      <vt:variant>
        <vt:i4>2621540</vt:i4>
      </vt:variant>
      <vt:variant>
        <vt:i4>54</vt:i4>
      </vt:variant>
      <vt:variant>
        <vt:i4>0</vt:i4>
      </vt:variant>
      <vt:variant>
        <vt:i4>5</vt:i4>
      </vt:variant>
      <vt:variant>
        <vt:lpwstr>http://www.nevo.co.il/law/4216/7.a</vt:lpwstr>
      </vt:variant>
      <vt:variant>
        <vt:lpwstr/>
      </vt:variant>
      <vt:variant>
        <vt:i4>3735670</vt:i4>
      </vt:variant>
      <vt:variant>
        <vt:i4>51</vt:i4>
      </vt:variant>
      <vt:variant>
        <vt:i4>0</vt:i4>
      </vt:variant>
      <vt:variant>
        <vt:i4>5</vt:i4>
      </vt:variant>
      <vt:variant>
        <vt:lpwstr>http://www.nevo.co.il/case/7790255</vt:lpwstr>
      </vt:variant>
      <vt:variant>
        <vt:lpwstr/>
      </vt:variant>
      <vt:variant>
        <vt:i4>3670132</vt:i4>
      </vt:variant>
      <vt:variant>
        <vt:i4>48</vt:i4>
      </vt:variant>
      <vt:variant>
        <vt:i4>0</vt:i4>
      </vt:variant>
      <vt:variant>
        <vt:i4>5</vt:i4>
      </vt:variant>
      <vt:variant>
        <vt:lpwstr>http://www.nevo.co.il/case/6796611</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6684735</vt:i4>
      </vt:variant>
      <vt:variant>
        <vt:i4>42</vt:i4>
      </vt:variant>
      <vt:variant>
        <vt:i4>0</vt:i4>
      </vt:variant>
      <vt:variant>
        <vt:i4>5</vt:i4>
      </vt:variant>
      <vt:variant>
        <vt:lpwstr>http://www.nevo.co.il/law/70301/338.a.3</vt:lpwstr>
      </vt:variant>
      <vt:variant>
        <vt:lpwstr/>
      </vt:variant>
      <vt:variant>
        <vt:i4>5308499</vt:i4>
      </vt:variant>
      <vt:variant>
        <vt:i4>39</vt:i4>
      </vt:variant>
      <vt:variant>
        <vt:i4>0</vt:i4>
      </vt:variant>
      <vt:variant>
        <vt:i4>5</vt:i4>
      </vt:variant>
      <vt:variant>
        <vt:lpwstr>http://www.nevo.co.il/law/74501/2</vt:lpwstr>
      </vt:variant>
      <vt:variant>
        <vt:lpwstr/>
      </vt:variant>
      <vt:variant>
        <vt:i4>8257634</vt:i4>
      </vt:variant>
      <vt:variant>
        <vt:i4>36</vt:i4>
      </vt:variant>
      <vt:variant>
        <vt:i4>0</vt:i4>
      </vt:variant>
      <vt:variant>
        <vt:i4>5</vt:i4>
      </vt:variant>
      <vt:variant>
        <vt:lpwstr>http://www.nevo.co.il/law/74501</vt:lpwstr>
      </vt:variant>
      <vt:variant>
        <vt:lpwstr/>
      </vt:variant>
      <vt:variant>
        <vt:i4>4784200</vt:i4>
      </vt:variant>
      <vt:variant>
        <vt:i4>33</vt:i4>
      </vt:variant>
      <vt:variant>
        <vt:i4>0</vt:i4>
      </vt:variant>
      <vt:variant>
        <vt:i4>5</vt:i4>
      </vt:variant>
      <vt:variant>
        <vt:lpwstr>http://www.nevo.co.il/law/5227/67</vt:lpwstr>
      </vt:variant>
      <vt:variant>
        <vt:lpwstr/>
      </vt:variant>
      <vt:variant>
        <vt:i4>5111880</vt:i4>
      </vt:variant>
      <vt:variant>
        <vt:i4>30</vt:i4>
      </vt:variant>
      <vt:variant>
        <vt:i4>0</vt:i4>
      </vt:variant>
      <vt:variant>
        <vt:i4>5</vt:i4>
      </vt:variant>
      <vt:variant>
        <vt:lpwstr>http://www.nevo.co.il/law/5227/10</vt:lpwstr>
      </vt:variant>
      <vt:variant>
        <vt:lpwstr/>
      </vt:variant>
      <vt:variant>
        <vt:i4>8323175</vt:i4>
      </vt:variant>
      <vt:variant>
        <vt:i4>27</vt:i4>
      </vt:variant>
      <vt:variant>
        <vt:i4>0</vt:i4>
      </vt:variant>
      <vt:variant>
        <vt:i4>5</vt:i4>
      </vt:variant>
      <vt:variant>
        <vt:lpwstr>http://www.nevo.co.il/law/5227</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6553637</vt:i4>
      </vt:variant>
      <vt:variant>
        <vt:i4>15</vt:i4>
      </vt:variant>
      <vt:variant>
        <vt:i4>0</vt:i4>
      </vt:variant>
      <vt:variant>
        <vt:i4>5</vt:i4>
      </vt:variant>
      <vt:variant>
        <vt:lpwstr>http://www.nevo.co.il/law/70301/40jc.b</vt:lpwstr>
      </vt:variant>
      <vt:variant>
        <vt:lpwstr/>
      </vt:variant>
      <vt:variant>
        <vt:i4>6750245</vt:i4>
      </vt:variant>
      <vt:variant>
        <vt:i4>12</vt:i4>
      </vt:variant>
      <vt:variant>
        <vt:i4>0</vt:i4>
      </vt:variant>
      <vt:variant>
        <vt:i4>5</vt:i4>
      </vt:variant>
      <vt:variant>
        <vt:lpwstr>http://www.nevo.co.il/law/70301/40jc.a</vt:lpwstr>
      </vt:variant>
      <vt:variant>
        <vt:lpwstr/>
      </vt:variant>
      <vt:variant>
        <vt:i4>6684735</vt:i4>
      </vt:variant>
      <vt:variant>
        <vt:i4>9</vt:i4>
      </vt:variant>
      <vt:variant>
        <vt:i4>0</vt:i4>
      </vt:variant>
      <vt:variant>
        <vt:i4>5</vt:i4>
      </vt:variant>
      <vt:variant>
        <vt:lpwstr>http://www.nevo.co.il/law/70301/338.a.3</vt:lpwstr>
      </vt:variant>
      <vt:variant>
        <vt:lpwstr/>
      </vt:variant>
      <vt:variant>
        <vt:i4>4915205</vt:i4>
      </vt:variant>
      <vt:variant>
        <vt:i4>6</vt:i4>
      </vt:variant>
      <vt:variant>
        <vt:i4>0</vt:i4>
      </vt:variant>
      <vt:variant>
        <vt:i4>5</vt:i4>
      </vt:variant>
      <vt:variant>
        <vt:lpwstr>http://www.nevo.co.il/law/70301/40d.a</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2025-04-22T21:57:00Z</dcterms:created>
  <dcterms:modified xsi:type="dcterms:W3CDTF">2025-04-22T21:57:00Z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46354</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אליהו חי נח</vt:lpwstr>
  </property>
  <property fmtid="{D5CDD505-2E9C-101B-9397-08002B2CF9AE}" pid="10" name="JUDGE">
    <vt:lpwstr>דנה כהן לקח</vt:lpwstr>
  </property>
  <property fmtid="{D5CDD505-2E9C-101B-9397-08002B2CF9AE}" pid="11" name="CITY">
    <vt:lpwstr>י-ם</vt:lpwstr>
  </property>
  <property fmtid="{D5CDD505-2E9C-101B-9397-08002B2CF9AE}" pid="12" name="DATE">
    <vt:lpwstr>20150319</vt:lpwstr>
  </property>
  <property fmtid="{D5CDD505-2E9C-101B-9397-08002B2CF9AE}" pid="13" name="TYPE_N_DATE">
    <vt:lpwstr>38020150319</vt:lpwstr>
  </property>
  <property fmtid="{D5CDD505-2E9C-101B-9397-08002B2CF9AE}" pid="14" name="ISABSTRACT">
    <vt:lpwstr>Y</vt:lpwstr>
  </property>
  <property fmtid="{D5CDD505-2E9C-101B-9397-08002B2CF9AE}" pid="15" name="WORDNUMPAGES">
    <vt:lpwstr>12</vt:lpwstr>
  </property>
  <property fmtid="{D5CDD505-2E9C-101B-9397-08002B2CF9AE}" pid="16" name="TYPE_ABS_DATE">
    <vt:lpwstr>380020150319</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6796611;7790255;6555049;6595429;13093721;10552326;2918011;5112346;2402170;6051623;10480911;3984649;2903544;4602687;10488451;6049859;5934115;8499693;4117459;4144196</vt:lpwstr>
  </property>
  <property fmtid="{D5CDD505-2E9C-101B-9397-08002B2CF9AE}" pid="36" name="LAWLISTTMP1">
    <vt:lpwstr>70301/338.a.3:3;40jc.a;40jc.b;040c.a;040d.a</vt:lpwstr>
  </property>
  <property fmtid="{D5CDD505-2E9C-101B-9397-08002B2CF9AE}" pid="37" name="LAWLISTTMP2">
    <vt:lpwstr>4216/007.a:2;007.c:2</vt:lpwstr>
  </property>
  <property fmtid="{D5CDD505-2E9C-101B-9397-08002B2CF9AE}" pid="38" name="LAWLISTTMP3">
    <vt:lpwstr>5227/067;010</vt:lpwstr>
  </property>
  <property fmtid="{D5CDD505-2E9C-101B-9397-08002B2CF9AE}" pid="39" name="LAWLISTTMP4">
    <vt:lpwstr>74501/002</vt:lpwstr>
  </property>
</Properties>
</file>