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1B761D" w:rsidRPr="001B761D" w14:paraId="09C96598" w14:textId="77777777">
        <w:trPr>
          <w:trHeight w:hRule="exact" w:val="418"/>
          <w:jc w:val="center"/>
        </w:trPr>
        <w:tc>
          <w:tcPr>
            <w:tcW w:w="8720" w:type="dxa"/>
            <w:gridSpan w:val="3"/>
          </w:tcPr>
          <w:p w14:paraId="7FDAD925" w14:textId="77777777" w:rsidR="001B761D" w:rsidRPr="001B761D" w:rsidRDefault="001B761D" w:rsidP="001B761D">
            <w:pPr>
              <w:pStyle w:val="a3"/>
              <w:tabs>
                <w:tab w:val="clear" w:pos="8306"/>
              </w:tabs>
              <w:jc w:val="center"/>
              <w:rPr>
                <w:rFonts w:ascii="Tahoma" w:hAnsi="Tahoma" w:cs="Tahoma"/>
                <w:b/>
                <w:bCs/>
                <w:color w:val="000080"/>
                <w:sz w:val="20"/>
                <w:szCs w:val="20"/>
              </w:rPr>
            </w:pPr>
            <w:bookmarkStart w:id="0" w:name="LastJudge"/>
            <w:r w:rsidRPr="001B761D">
              <w:rPr>
                <w:rFonts w:ascii="Tahoma" w:hAnsi="Tahoma" w:cs="Tahoma"/>
                <w:b/>
                <w:bCs/>
                <w:color w:val="000080"/>
                <w:sz w:val="20"/>
                <w:szCs w:val="20"/>
                <w:rtl/>
              </w:rPr>
              <w:t>בתי המשפט</w:t>
            </w:r>
          </w:p>
        </w:tc>
      </w:tr>
      <w:tr w:rsidR="001B761D" w:rsidRPr="001B761D" w14:paraId="62C2BF59" w14:textId="77777777">
        <w:trPr>
          <w:trHeight w:val="709"/>
          <w:jc w:val="center"/>
        </w:trPr>
        <w:tc>
          <w:tcPr>
            <w:tcW w:w="4805" w:type="dxa"/>
          </w:tcPr>
          <w:p w14:paraId="0E4B2328" w14:textId="77777777" w:rsidR="001B761D" w:rsidRPr="001B761D" w:rsidRDefault="001B761D" w:rsidP="001B761D">
            <w:pPr>
              <w:rPr>
                <w:b/>
                <w:bCs/>
                <w:sz w:val="28"/>
                <w:szCs w:val="28"/>
              </w:rPr>
            </w:pPr>
            <w:r w:rsidRPr="001B761D">
              <w:rPr>
                <w:b/>
                <w:bCs/>
                <w:sz w:val="28"/>
                <w:szCs w:val="28"/>
                <w:rtl/>
              </w:rPr>
              <w:t>בית משפט השלום קריית גת</w:t>
            </w:r>
          </w:p>
        </w:tc>
        <w:tc>
          <w:tcPr>
            <w:tcW w:w="236" w:type="dxa"/>
            <w:vMerge w:val="restart"/>
          </w:tcPr>
          <w:p w14:paraId="73906C14" w14:textId="77777777" w:rsidR="001B761D" w:rsidRPr="001B761D" w:rsidRDefault="001B761D" w:rsidP="001B761D">
            <w:pPr>
              <w:pStyle w:val="a3"/>
              <w:jc w:val="right"/>
              <w:rPr>
                <w:b/>
                <w:bCs/>
                <w:sz w:val="28"/>
                <w:szCs w:val="28"/>
              </w:rPr>
            </w:pPr>
          </w:p>
        </w:tc>
        <w:tc>
          <w:tcPr>
            <w:tcW w:w="3679" w:type="dxa"/>
            <w:vMerge w:val="restart"/>
          </w:tcPr>
          <w:p w14:paraId="068F1E1A" w14:textId="77777777" w:rsidR="001B761D" w:rsidRPr="001B761D" w:rsidRDefault="001B761D" w:rsidP="001B761D">
            <w:pPr>
              <w:jc w:val="right"/>
              <w:rPr>
                <w:b/>
                <w:bCs/>
                <w:sz w:val="28"/>
                <w:szCs w:val="28"/>
                <w:rtl/>
              </w:rPr>
            </w:pPr>
            <w:r w:rsidRPr="001B761D">
              <w:rPr>
                <w:b/>
                <w:bCs/>
                <w:sz w:val="28"/>
                <w:szCs w:val="28"/>
                <w:rtl/>
              </w:rPr>
              <w:t>ת"פ 1684-03-13</w:t>
            </w:r>
          </w:p>
          <w:p w14:paraId="3B826F09" w14:textId="77777777" w:rsidR="001B761D" w:rsidRPr="001B761D" w:rsidRDefault="001B761D" w:rsidP="001B761D">
            <w:pPr>
              <w:pStyle w:val="a3"/>
              <w:tabs>
                <w:tab w:val="clear" w:pos="4153"/>
              </w:tabs>
              <w:jc w:val="right"/>
              <w:rPr>
                <w:b/>
                <w:bCs/>
                <w:sz w:val="20"/>
                <w:szCs w:val="20"/>
                <w:rtl/>
              </w:rPr>
            </w:pPr>
          </w:p>
          <w:p w14:paraId="15EA90D4" w14:textId="77777777" w:rsidR="001B761D" w:rsidRPr="001B761D" w:rsidRDefault="001B761D" w:rsidP="001B761D">
            <w:pPr>
              <w:pStyle w:val="a3"/>
              <w:tabs>
                <w:tab w:val="clear" w:pos="4153"/>
              </w:tabs>
              <w:jc w:val="right"/>
              <w:rPr>
                <w:b/>
                <w:bCs/>
                <w:sz w:val="28"/>
                <w:szCs w:val="28"/>
              </w:rPr>
            </w:pPr>
            <w:r w:rsidRPr="001B761D">
              <w:rPr>
                <w:b/>
                <w:bCs/>
                <w:sz w:val="28"/>
                <w:szCs w:val="28"/>
                <w:rtl/>
              </w:rPr>
              <w:t>12 ינואר 2015</w:t>
            </w:r>
          </w:p>
        </w:tc>
      </w:tr>
      <w:tr w:rsidR="001B761D" w:rsidRPr="001B761D" w14:paraId="161E0C8D" w14:textId="77777777">
        <w:trPr>
          <w:trHeight w:val="547"/>
          <w:jc w:val="center"/>
        </w:trPr>
        <w:tc>
          <w:tcPr>
            <w:tcW w:w="4805" w:type="dxa"/>
          </w:tcPr>
          <w:p w14:paraId="6433AB39" w14:textId="77777777" w:rsidR="001B761D" w:rsidRPr="001B761D" w:rsidRDefault="001B761D" w:rsidP="001B761D">
            <w:pPr>
              <w:rPr>
                <w:b/>
                <w:bCs/>
                <w:sz w:val="28"/>
                <w:szCs w:val="28"/>
              </w:rPr>
            </w:pPr>
            <w:r w:rsidRPr="001B761D">
              <w:rPr>
                <w:b/>
                <w:bCs/>
                <w:sz w:val="28"/>
                <w:szCs w:val="28"/>
                <w:rtl/>
              </w:rPr>
              <w:t>בפני: כב' השופטת בכירה רובין לביא</w:t>
            </w:r>
          </w:p>
        </w:tc>
        <w:tc>
          <w:tcPr>
            <w:tcW w:w="236" w:type="dxa"/>
            <w:vMerge/>
          </w:tcPr>
          <w:p w14:paraId="2D3C8725" w14:textId="77777777" w:rsidR="001B761D" w:rsidRPr="001B761D" w:rsidRDefault="001B761D" w:rsidP="001B761D">
            <w:pPr>
              <w:pStyle w:val="a3"/>
              <w:jc w:val="right"/>
              <w:rPr>
                <w:b/>
                <w:bCs/>
                <w:sz w:val="28"/>
                <w:szCs w:val="28"/>
              </w:rPr>
            </w:pPr>
          </w:p>
        </w:tc>
        <w:tc>
          <w:tcPr>
            <w:tcW w:w="3679" w:type="dxa"/>
            <w:vMerge/>
          </w:tcPr>
          <w:p w14:paraId="06195D54" w14:textId="77777777" w:rsidR="001B761D" w:rsidRPr="001B761D" w:rsidRDefault="001B761D" w:rsidP="001B761D">
            <w:pPr>
              <w:jc w:val="right"/>
              <w:rPr>
                <w:b/>
                <w:bCs/>
                <w:sz w:val="28"/>
                <w:szCs w:val="28"/>
              </w:rPr>
            </w:pPr>
          </w:p>
        </w:tc>
      </w:tr>
    </w:tbl>
    <w:p w14:paraId="19D43712" w14:textId="77777777" w:rsidR="001B761D" w:rsidRPr="001B761D" w:rsidRDefault="001B761D" w:rsidP="001B761D">
      <w:pPr>
        <w:pStyle w:val="a3"/>
        <w:jc w:val="center"/>
        <w:rPr>
          <w:rFonts w:ascii="Tahoma" w:hAnsi="Tahoma" w:cs="Tahoma"/>
          <w:b/>
          <w:bCs/>
          <w:color w:val="000080"/>
          <w:sz w:val="20"/>
          <w:szCs w:val="20"/>
          <w:rtl/>
        </w:rPr>
      </w:pPr>
    </w:p>
    <w:p w14:paraId="7D5169B4" w14:textId="77777777" w:rsidR="001B761D" w:rsidRPr="001B761D" w:rsidRDefault="001B761D">
      <w:pPr>
        <w:rPr>
          <w:rFonts w:ascii="Arial" w:hAnsi="Arial"/>
          <w:b/>
          <w:bCs/>
          <w:sz w:val="26"/>
          <w:rtl/>
        </w:rPr>
      </w:pPr>
    </w:p>
    <w:tbl>
      <w:tblPr>
        <w:bidiVisual/>
        <w:tblW w:w="8802" w:type="dxa"/>
        <w:tblLook w:val="01E0" w:firstRow="1" w:lastRow="1" w:firstColumn="1" w:lastColumn="1" w:noHBand="0" w:noVBand="0"/>
      </w:tblPr>
      <w:tblGrid>
        <w:gridCol w:w="945"/>
        <w:gridCol w:w="6416"/>
        <w:gridCol w:w="19"/>
        <w:gridCol w:w="1316"/>
        <w:gridCol w:w="106"/>
      </w:tblGrid>
      <w:tr w:rsidR="001B761D" w:rsidRPr="001B761D" w14:paraId="017557F2" w14:textId="77777777">
        <w:tc>
          <w:tcPr>
            <w:tcW w:w="945" w:type="dxa"/>
          </w:tcPr>
          <w:p w14:paraId="37511920" w14:textId="77777777" w:rsidR="001B761D" w:rsidRPr="001B761D" w:rsidRDefault="001B761D" w:rsidP="001B761D">
            <w:pPr>
              <w:jc w:val="left"/>
              <w:rPr>
                <w:rFonts w:ascii="Times New Roman" w:hAnsi="Times New Roman"/>
                <w:b/>
                <w:bCs/>
                <w:sz w:val="26"/>
              </w:rPr>
            </w:pPr>
            <w:bookmarkStart w:id="1" w:name="FirstAppellant"/>
            <w:r w:rsidRPr="001B761D">
              <w:rPr>
                <w:rFonts w:ascii="Times New Roman" w:hAnsi="Times New Roman"/>
                <w:b/>
                <w:bCs/>
                <w:sz w:val="26"/>
                <w:rtl/>
              </w:rPr>
              <w:t>בעניין:</w:t>
            </w:r>
          </w:p>
        </w:tc>
        <w:tc>
          <w:tcPr>
            <w:tcW w:w="7857" w:type="dxa"/>
            <w:gridSpan w:val="4"/>
          </w:tcPr>
          <w:p w14:paraId="3D3DA87B" w14:textId="77777777" w:rsidR="001B761D" w:rsidRPr="001B761D" w:rsidRDefault="001B761D" w:rsidP="001B761D">
            <w:pPr>
              <w:jc w:val="left"/>
              <w:rPr>
                <w:rFonts w:ascii="Times New Roman" w:hAnsi="Times New Roman"/>
                <w:b/>
                <w:bCs/>
                <w:sz w:val="26"/>
              </w:rPr>
            </w:pPr>
            <w:r w:rsidRPr="001B761D">
              <w:rPr>
                <w:rFonts w:ascii="Times New Roman" w:hAnsi="Times New Roman"/>
                <w:b/>
                <w:bCs/>
                <w:sz w:val="26"/>
                <w:rtl/>
              </w:rPr>
              <w:t>מדינת ישראל</w:t>
            </w:r>
          </w:p>
        </w:tc>
      </w:tr>
      <w:bookmarkEnd w:id="1"/>
      <w:tr w:rsidR="001B761D" w:rsidRPr="001B761D" w14:paraId="7A2D7BE2" w14:textId="77777777">
        <w:trPr>
          <w:gridAfter w:val="1"/>
          <w:wAfter w:w="106" w:type="dxa"/>
        </w:trPr>
        <w:tc>
          <w:tcPr>
            <w:tcW w:w="945" w:type="dxa"/>
          </w:tcPr>
          <w:p w14:paraId="0DBB898D" w14:textId="77777777" w:rsidR="001B761D" w:rsidRPr="001B761D" w:rsidRDefault="001B761D" w:rsidP="001B761D">
            <w:pPr>
              <w:ind w:left="26"/>
              <w:jc w:val="left"/>
              <w:rPr>
                <w:rFonts w:ascii="Times New Roman" w:hAnsi="Times New Roman"/>
                <w:b/>
                <w:bCs/>
                <w:sz w:val="26"/>
              </w:rPr>
            </w:pPr>
          </w:p>
        </w:tc>
        <w:tc>
          <w:tcPr>
            <w:tcW w:w="6416" w:type="dxa"/>
          </w:tcPr>
          <w:p w14:paraId="6E98A742" w14:textId="77777777" w:rsidR="001B761D" w:rsidRPr="001B761D" w:rsidRDefault="001B761D" w:rsidP="001B761D">
            <w:pPr>
              <w:jc w:val="left"/>
              <w:rPr>
                <w:rFonts w:ascii="Times New Roman" w:hAnsi="Times New Roman"/>
                <w:b/>
                <w:bCs/>
                <w:sz w:val="26"/>
              </w:rPr>
            </w:pPr>
          </w:p>
        </w:tc>
        <w:tc>
          <w:tcPr>
            <w:tcW w:w="1335" w:type="dxa"/>
            <w:gridSpan w:val="2"/>
          </w:tcPr>
          <w:p w14:paraId="71558DCA" w14:textId="77777777" w:rsidR="001B761D" w:rsidRPr="001B761D" w:rsidRDefault="001B761D" w:rsidP="001B761D">
            <w:pPr>
              <w:ind w:left="26"/>
              <w:jc w:val="left"/>
              <w:rPr>
                <w:rFonts w:ascii="Times New Roman" w:hAnsi="Times New Roman"/>
                <w:b/>
                <w:bCs/>
                <w:sz w:val="26"/>
              </w:rPr>
            </w:pPr>
            <w:r w:rsidRPr="001B761D">
              <w:rPr>
                <w:rFonts w:ascii="Times New Roman" w:hAnsi="Times New Roman"/>
                <w:b/>
                <w:bCs/>
                <w:sz w:val="26"/>
                <w:rtl/>
              </w:rPr>
              <w:t>המאשימה</w:t>
            </w:r>
          </w:p>
        </w:tc>
      </w:tr>
      <w:tr w:rsidR="001B761D" w:rsidRPr="001B761D" w14:paraId="3807AA88" w14:textId="77777777">
        <w:trPr>
          <w:gridAfter w:val="1"/>
          <w:wAfter w:w="106" w:type="dxa"/>
        </w:trPr>
        <w:tc>
          <w:tcPr>
            <w:tcW w:w="8696" w:type="dxa"/>
            <w:gridSpan w:val="4"/>
          </w:tcPr>
          <w:p w14:paraId="3DF696E5" w14:textId="77777777" w:rsidR="001B761D" w:rsidRPr="001B761D" w:rsidRDefault="001B761D" w:rsidP="001B761D">
            <w:pPr>
              <w:jc w:val="center"/>
              <w:rPr>
                <w:rFonts w:ascii="Arial" w:hAnsi="Arial"/>
                <w:b/>
                <w:bCs/>
                <w:sz w:val="26"/>
              </w:rPr>
            </w:pPr>
            <w:r w:rsidRPr="001B761D">
              <w:rPr>
                <w:rFonts w:ascii="Arial" w:hAnsi="Arial"/>
                <w:b/>
                <w:bCs/>
                <w:sz w:val="26"/>
                <w:rtl/>
              </w:rPr>
              <w:t>נ ג ד</w:t>
            </w:r>
          </w:p>
        </w:tc>
      </w:tr>
      <w:tr w:rsidR="001B761D" w:rsidRPr="001B761D" w14:paraId="5D28599C" w14:textId="77777777">
        <w:trPr>
          <w:gridAfter w:val="1"/>
          <w:wAfter w:w="106" w:type="dxa"/>
        </w:trPr>
        <w:tc>
          <w:tcPr>
            <w:tcW w:w="945" w:type="dxa"/>
          </w:tcPr>
          <w:p w14:paraId="1925E6FF" w14:textId="77777777" w:rsidR="001B761D" w:rsidRPr="001B761D" w:rsidRDefault="001B761D" w:rsidP="001B761D">
            <w:pPr>
              <w:ind w:left="26"/>
              <w:rPr>
                <w:rFonts w:ascii="Times New Roman" w:hAnsi="Times New Roman"/>
                <w:b/>
                <w:bCs/>
                <w:sz w:val="26"/>
              </w:rPr>
            </w:pPr>
          </w:p>
        </w:tc>
        <w:tc>
          <w:tcPr>
            <w:tcW w:w="6435" w:type="dxa"/>
            <w:gridSpan w:val="2"/>
          </w:tcPr>
          <w:p w14:paraId="5E1B71F8" w14:textId="77777777" w:rsidR="001B761D" w:rsidRPr="001B761D" w:rsidRDefault="001B761D" w:rsidP="001B761D">
            <w:pPr>
              <w:jc w:val="left"/>
              <w:rPr>
                <w:b/>
                <w:bCs/>
                <w:sz w:val="26"/>
              </w:rPr>
            </w:pPr>
            <w:r w:rsidRPr="001B761D">
              <w:rPr>
                <w:rFonts w:ascii="Times New Roman" w:hAnsi="Times New Roman"/>
                <w:b/>
                <w:bCs/>
                <w:sz w:val="26"/>
                <w:rtl/>
              </w:rPr>
              <w:t xml:space="preserve">רון קאפח  </w:t>
            </w:r>
          </w:p>
        </w:tc>
        <w:tc>
          <w:tcPr>
            <w:tcW w:w="1316" w:type="dxa"/>
          </w:tcPr>
          <w:p w14:paraId="5DF00CCF" w14:textId="77777777" w:rsidR="001B761D" w:rsidRPr="001B761D" w:rsidRDefault="001B761D" w:rsidP="001B761D">
            <w:pPr>
              <w:rPr>
                <w:rFonts w:ascii="Times New Roman" w:hAnsi="Times New Roman"/>
                <w:b/>
                <w:bCs/>
                <w:sz w:val="26"/>
              </w:rPr>
            </w:pPr>
          </w:p>
        </w:tc>
      </w:tr>
      <w:tr w:rsidR="001B761D" w:rsidRPr="001B761D" w14:paraId="4487A648" w14:textId="77777777">
        <w:trPr>
          <w:gridAfter w:val="1"/>
          <w:wAfter w:w="106" w:type="dxa"/>
        </w:trPr>
        <w:tc>
          <w:tcPr>
            <w:tcW w:w="945" w:type="dxa"/>
          </w:tcPr>
          <w:p w14:paraId="70028B89" w14:textId="77777777" w:rsidR="001B761D" w:rsidRPr="001B761D" w:rsidRDefault="001B761D" w:rsidP="001B761D">
            <w:pPr>
              <w:ind w:left="26"/>
              <w:jc w:val="left"/>
              <w:rPr>
                <w:rFonts w:ascii="Times New Roman" w:hAnsi="Times New Roman"/>
                <w:b/>
                <w:bCs/>
                <w:sz w:val="26"/>
              </w:rPr>
            </w:pPr>
          </w:p>
        </w:tc>
        <w:tc>
          <w:tcPr>
            <w:tcW w:w="6435" w:type="dxa"/>
            <w:gridSpan w:val="2"/>
          </w:tcPr>
          <w:p w14:paraId="2CB00D1E" w14:textId="77777777" w:rsidR="001B761D" w:rsidRPr="001B761D" w:rsidRDefault="001B761D" w:rsidP="001B761D">
            <w:pPr>
              <w:jc w:val="left"/>
              <w:rPr>
                <w:rFonts w:ascii="Times New Roman" w:hAnsi="Times New Roman"/>
                <w:b/>
                <w:bCs/>
                <w:sz w:val="26"/>
              </w:rPr>
            </w:pPr>
          </w:p>
        </w:tc>
        <w:tc>
          <w:tcPr>
            <w:tcW w:w="1316" w:type="dxa"/>
          </w:tcPr>
          <w:p w14:paraId="78F40599" w14:textId="77777777" w:rsidR="001B761D" w:rsidRPr="001B761D" w:rsidRDefault="001B761D" w:rsidP="001B761D">
            <w:pPr>
              <w:jc w:val="left"/>
              <w:rPr>
                <w:rFonts w:ascii="Times New Roman" w:hAnsi="Times New Roman"/>
                <w:b/>
                <w:bCs/>
                <w:sz w:val="26"/>
              </w:rPr>
            </w:pPr>
            <w:r w:rsidRPr="001B761D">
              <w:rPr>
                <w:rFonts w:ascii="Times New Roman" w:hAnsi="Times New Roman"/>
                <w:b/>
                <w:bCs/>
                <w:sz w:val="26"/>
                <w:rtl/>
              </w:rPr>
              <w:t>הנאשם</w:t>
            </w:r>
          </w:p>
        </w:tc>
      </w:tr>
    </w:tbl>
    <w:p w14:paraId="230300FC" w14:textId="77777777" w:rsidR="0052075A" w:rsidRPr="001B761D" w:rsidRDefault="0052075A">
      <w:pPr>
        <w:rPr>
          <w:rFonts w:ascii="Arial" w:hAnsi="Arial"/>
          <w:b/>
          <w:bCs/>
          <w:sz w:val="26"/>
          <w:rtl/>
        </w:rPr>
      </w:pPr>
    </w:p>
    <w:p w14:paraId="45497B72" w14:textId="77777777" w:rsidR="0052075A" w:rsidRPr="001B761D" w:rsidRDefault="0052075A">
      <w:pPr>
        <w:rPr>
          <w:rFonts w:ascii="Arial" w:hAnsi="Arial"/>
          <w:b/>
          <w:bCs/>
          <w:sz w:val="26"/>
          <w:rtl/>
        </w:rPr>
      </w:pPr>
      <w:r w:rsidRPr="001B761D">
        <w:rPr>
          <w:rFonts w:ascii="Arial" w:hAnsi="Arial"/>
          <w:b/>
          <w:bCs/>
          <w:sz w:val="26"/>
          <w:rtl/>
        </w:rPr>
        <w:t>נוכחים:</w:t>
      </w:r>
    </w:p>
    <w:p w14:paraId="2F118B39" w14:textId="77777777" w:rsidR="0052075A" w:rsidRPr="001B761D" w:rsidRDefault="0052075A">
      <w:pPr>
        <w:rPr>
          <w:rtl/>
        </w:rPr>
      </w:pPr>
      <w:bookmarkStart w:id="2" w:name="FirstLawyer"/>
      <w:r w:rsidRPr="001B761D">
        <w:rPr>
          <w:rtl/>
        </w:rPr>
        <w:t>ב"כ</w:t>
      </w:r>
      <w:bookmarkEnd w:id="2"/>
      <w:r w:rsidRPr="001B761D">
        <w:rPr>
          <w:rtl/>
        </w:rPr>
        <w:t xml:space="preserve"> המאשימה עו"ד – אביעד כ"ץ </w:t>
      </w:r>
    </w:p>
    <w:p w14:paraId="4F16D622" w14:textId="77777777" w:rsidR="0052075A" w:rsidRPr="001B761D" w:rsidRDefault="0052075A" w:rsidP="00856B36">
      <w:pPr>
        <w:rPr>
          <w:rtl/>
        </w:rPr>
      </w:pPr>
      <w:r w:rsidRPr="001B761D">
        <w:rPr>
          <w:rtl/>
        </w:rPr>
        <w:t>הנאשם -    בעצמו              ובא כוחו עו"ד – סיוון איתמר</w:t>
      </w:r>
    </w:p>
    <w:p w14:paraId="3A21BAAE" w14:textId="77777777" w:rsidR="0052075A" w:rsidRPr="001B761D" w:rsidRDefault="0052075A" w:rsidP="0011224B">
      <w:pPr>
        <w:rPr>
          <w:sz w:val="6"/>
          <w:szCs w:val="6"/>
          <w:rtl/>
        </w:rPr>
      </w:pPr>
      <w:r w:rsidRPr="001B761D">
        <w:rPr>
          <w:sz w:val="6"/>
          <w:szCs w:val="6"/>
          <w:rtl/>
        </w:rPr>
        <w:t>&lt;#1#&gt;</w:t>
      </w:r>
    </w:p>
    <w:p w14:paraId="3B03875E" w14:textId="77777777" w:rsidR="0052075A" w:rsidRPr="001B761D" w:rsidRDefault="0052075A" w:rsidP="00E06ED4">
      <w:pPr>
        <w:pStyle w:val="12"/>
        <w:rPr>
          <w:b w:val="0"/>
          <w:bCs w:val="0"/>
          <w:u w:val="none"/>
          <w:rtl/>
        </w:rPr>
      </w:pPr>
    </w:p>
    <w:p w14:paraId="116CF90B" w14:textId="77777777" w:rsidR="0052075A" w:rsidRPr="001B761D" w:rsidRDefault="0052075A" w:rsidP="009E1FED">
      <w:pPr>
        <w:rPr>
          <w:sz w:val="6"/>
          <w:szCs w:val="6"/>
          <w:rtl/>
        </w:rPr>
      </w:pPr>
      <w:r w:rsidRPr="001B761D">
        <w:rPr>
          <w:sz w:val="6"/>
          <w:szCs w:val="6"/>
          <w:rtl/>
        </w:rPr>
        <w:t>&lt;#2#&gt;</w:t>
      </w:r>
    </w:p>
    <w:p w14:paraId="1C9AD0F2" w14:textId="77777777" w:rsidR="001B761D" w:rsidRDefault="001B761D">
      <w:pPr>
        <w:jc w:val="center"/>
        <w:rPr>
          <w:rFonts w:ascii="Arial" w:hAnsi="Arial"/>
          <w:sz w:val="32"/>
          <w:szCs w:val="32"/>
          <w:rtl/>
        </w:rPr>
      </w:pPr>
      <w:bookmarkStart w:id="3" w:name="LawTable"/>
      <w:bookmarkEnd w:id="3"/>
    </w:p>
    <w:p w14:paraId="7A4EA55C" w14:textId="77777777" w:rsidR="001B761D" w:rsidRPr="001B761D" w:rsidRDefault="001B761D" w:rsidP="001B761D">
      <w:pPr>
        <w:spacing w:after="120" w:line="240" w:lineRule="exact"/>
        <w:ind w:left="283" w:hanging="283"/>
        <w:rPr>
          <w:rFonts w:ascii="FrankRuehl" w:hAnsi="FrankRuehl" w:cs="FrankRuehl"/>
          <w:szCs w:val="24"/>
          <w:rtl/>
        </w:rPr>
      </w:pPr>
    </w:p>
    <w:p w14:paraId="362AA545" w14:textId="77777777" w:rsidR="001B761D" w:rsidRPr="001B761D" w:rsidRDefault="001B761D" w:rsidP="001B761D">
      <w:pPr>
        <w:spacing w:after="120" w:line="240" w:lineRule="exact"/>
        <w:ind w:left="283" w:hanging="283"/>
        <w:rPr>
          <w:rFonts w:ascii="FrankRuehl" w:hAnsi="FrankRuehl" w:cs="FrankRuehl"/>
          <w:szCs w:val="24"/>
          <w:rtl/>
        </w:rPr>
      </w:pPr>
      <w:r w:rsidRPr="001B761D">
        <w:rPr>
          <w:rFonts w:ascii="FrankRuehl" w:hAnsi="FrankRuehl" w:cs="FrankRuehl"/>
          <w:szCs w:val="24"/>
          <w:rtl/>
        </w:rPr>
        <w:t xml:space="preserve">חקיקה שאוזכרה: </w:t>
      </w:r>
    </w:p>
    <w:p w14:paraId="1D1322CF" w14:textId="77777777" w:rsidR="001B761D" w:rsidRPr="001B761D" w:rsidRDefault="001B761D" w:rsidP="001B761D">
      <w:pPr>
        <w:spacing w:after="120" w:line="240" w:lineRule="exact"/>
        <w:ind w:left="283" w:hanging="283"/>
        <w:rPr>
          <w:rFonts w:ascii="FrankRuehl" w:hAnsi="FrankRuehl" w:cs="FrankRuehl"/>
          <w:szCs w:val="24"/>
          <w:rtl/>
        </w:rPr>
      </w:pPr>
      <w:hyperlink r:id="rId7" w:history="1">
        <w:r w:rsidRPr="001B761D">
          <w:rPr>
            <w:rFonts w:ascii="FrankRuehl" w:hAnsi="FrankRuehl" w:cs="FrankRuehl"/>
            <w:color w:val="0000FF"/>
            <w:szCs w:val="24"/>
            <w:u w:val="single"/>
            <w:rtl/>
          </w:rPr>
          <w:t>פקודת הסמים המסוכנים [נוסח חדש], תשל"ג-1973</w:t>
        </w:r>
      </w:hyperlink>
    </w:p>
    <w:p w14:paraId="022B1168" w14:textId="77777777" w:rsidR="001B761D" w:rsidRPr="001B761D" w:rsidRDefault="001B761D" w:rsidP="001B761D">
      <w:pPr>
        <w:spacing w:after="120" w:line="240" w:lineRule="exact"/>
        <w:ind w:left="283" w:hanging="283"/>
        <w:rPr>
          <w:rFonts w:ascii="FrankRuehl" w:hAnsi="FrankRuehl" w:cs="FrankRuehl"/>
          <w:szCs w:val="24"/>
          <w:rtl/>
        </w:rPr>
      </w:pPr>
    </w:p>
    <w:p w14:paraId="49476AB8" w14:textId="77777777" w:rsidR="001B761D" w:rsidRPr="001B761D" w:rsidRDefault="001B761D">
      <w:pPr>
        <w:jc w:val="center"/>
        <w:rPr>
          <w:rFonts w:ascii="Arial" w:hAnsi="Arial"/>
          <w:b/>
          <w:bCs/>
          <w:sz w:val="32"/>
          <w:szCs w:val="32"/>
          <w:rtl/>
        </w:rPr>
      </w:pPr>
      <w:bookmarkStart w:id="4" w:name="LawTable_End"/>
      <w:bookmarkEnd w:id="4"/>
    </w:p>
    <w:bookmarkEnd w:id="0"/>
    <w:p w14:paraId="53D5E791" w14:textId="77777777" w:rsidR="001B761D" w:rsidRPr="001B761D" w:rsidRDefault="001B761D" w:rsidP="001B761D">
      <w:pPr>
        <w:jc w:val="center"/>
        <w:rPr>
          <w:rFonts w:ascii="Arial" w:hAnsi="Arial"/>
          <w:b/>
          <w:bCs/>
          <w:sz w:val="32"/>
          <w:szCs w:val="32"/>
          <w:u w:val="single"/>
          <w:rtl/>
        </w:rPr>
      </w:pPr>
      <w:r w:rsidRPr="001B761D">
        <w:rPr>
          <w:rFonts w:ascii="Arial" w:hAnsi="Arial"/>
          <w:b/>
          <w:bCs/>
          <w:sz w:val="32"/>
          <w:szCs w:val="32"/>
          <w:u w:val="single"/>
          <w:rtl/>
        </w:rPr>
        <w:t>החלטה</w:t>
      </w:r>
    </w:p>
    <w:p w14:paraId="50218489" w14:textId="77777777" w:rsidR="0052075A" w:rsidRDefault="0052075A">
      <w:pPr>
        <w:rPr>
          <w:rtl/>
        </w:rPr>
      </w:pPr>
    </w:p>
    <w:p w14:paraId="30E653F6" w14:textId="77777777" w:rsidR="0052075A" w:rsidRDefault="0052075A">
      <w:pPr>
        <w:rPr>
          <w:rtl/>
        </w:rPr>
      </w:pPr>
      <w:r>
        <w:rPr>
          <w:rtl/>
        </w:rPr>
        <w:t xml:space="preserve">בתיק זה אכן התקבלו מספר תסקירים ושירות המבחן חזרו שוב ושוב להימנע ממעצר ולהסתפק בצו מבחן, של"צ ומאסר מותנה. הדיון נדחה כדי לאפשר לסניגור להציג את כל התסקירים בפני התביעה, ראש השלוחה ולקבל הסכמה ואכן נתנה הסכמתה להמלצת שירות המבחן. אולם, בין לבין, בעקבות אותן דחיות, התברר כי הנאשם הפסיק לשתף פעולה עם שירות המבחן, לא הגיע למפגשים קבוצתיים למרות שיחות טלפון איתו, הוא לא התייצב לבדיקות שתן והוא הביע תחושות תסכול בשל הימשכות ההליך המשפטי. הוא סבור כי כעבור תקופה כה ארוכה שבה היה בטיפולים שונים, סבור כי אין טעם להמשיך בטיפול הקבוצתי שכן אין בו גורם מקדם. </w:t>
      </w:r>
    </w:p>
    <w:p w14:paraId="0F2FD631" w14:textId="77777777" w:rsidR="0052075A" w:rsidRDefault="0052075A">
      <w:pPr>
        <w:rPr>
          <w:rtl/>
        </w:rPr>
      </w:pPr>
      <w:r>
        <w:rPr>
          <w:rtl/>
        </w:rPr>
        <w:lastRenderedPageBreak/>
        <w:t>בשל תחושת המיצוי שביטא בפניהם, בחנו מולו שישתלב בקשר טיפולי אחר, פרטני או מעקבי, אך טען שאינו מעוניין בקשר כלשהו, בנסיבות אלה, חזרו בהם מההמלצה לצו של"צ וצו מבחן והמליצו על מאסר בעבודות שירות.  כפי הנראה לא היו מודעים לכך שהוא לא יכול לשאת מאסר בעבודות שירות ולכן המשמעות הוא שיגזר דינו למאסר.</w:t>
      </w:r>
    </w:p>
    <w:p w14:paraId="3938D6C4" w14:textId="77777777" w:rsidR="0052075A" w:rsidRDefault="0052075A">
      <w:pPr>
        <w:rPr>
          <w:rtl/>
        </w:rPr>
      </w:pPr>
    </w:p>
    <w:p w14:paraId="5493E32F" w14:textId="77777777" w:rsidR="0052075A" w:rsidRDefault="0052075A" w:rsidP="004844E1">
      <w:pPr>
        <w:rPr>
          <w:rtl/>
        </w:rPr>
      </w:pPr>
      <w:r>
        <w:rPr>
          <w:rtl/>
        </w:rPr>
        <w:t>ביררתי מול הנאשם העומד מאחור התנגדותו המפתיעה ולדבריו, הוא החל לעבוד באופן מסודר עם אביו בעבודות שיפוצים. למרות שקבעו את המפגשים הקבוצתיים בשעה 17:00 – 17:30, אביו  מצפה ממנו להישאר במקום העבודה מעבר לשעה זו ולכן הוא לא התייצב לטיפול והביע קוצר רוח מהמשך הטפול. הוא עצמו טוען כי מבין את חשיבות הטיפול, והוא מוכן להשתלב בטפול פרטני. אם אין ברירה, הוא ישתלב גם בטיפול קבוצתי אך חש כי זה מוצה. לדבריו, כבר היה ב- 40 מפגשים קבוצתיים והדברים חוזרים על עצמם. כמו כן, הוא מוכן להיות במעקב ומידי פעם למסור דגימות שתן כדי להוכיח שהוא נקי מסמים.</w:t>
      </w:r>
    </w:p>
    <w:p w14:paraId="487F74F0" w14:textId="77777777" w:rsidR="0052075A" w:rsidRDefault="0052075A" w:rsidP="004844E1">
      <w:pPr>
        <w:rPr>
          <w:rtl/>
        </w:rPr>
      </w:pPr>
      <w:r>
        <w:rPr>
          <w:rtl/>
        </w:rPr>
        <w:t>הוא הביע התחייבות לבצע 140 שעות של"צ ואפילו מעבר לכך אם צריך.</w:t>
      </w:r>
    </w:p>
    <w:p w14:paraId="5CB6067C" w14:textId="77777777" w:rsidR="0052075A" w:rsidRDefault="0052075A" w:rsidP="004844E1">
      <w:pPr>
        <w:rPr>
          <w:rtl/>
        </w:rPr>
      </w:pPr>
    </w:p>
    <w:p w14:paraId="4E23A115" w14:textId="77777777" w:rsidR="0052075A" w:rsidRDefault="0052075A" w:rsidP="00FB00E4">
      <w:pPr>
        <w:rPr>
          <w:rtl/>
        </w:rPr>
      </w:pPr>
      <w:r>
        <w:rPr>
          <w:rtl/>
        </w:rPr>
        <w:t xml:space="preserve">למרות שהיתה בעבר הסכמה של התביעה, כיום חזר בו התובע מן ההסכמה, בטענה שההסכמה ניתנה בהתבסס על המלצות שירות המבחן. </w:t>
      </w:r>
    </w:p>
    <w:p w14:paraId="47E77AE5" w14:textId="77777777" w:rsidR="0052075A" w:rsidRDefault="0052075A" w:rsidP="00FB00E4">
      <w:pPr>
        <w:rPr>
          <w:rtl/>
        </w:rPr>
      </w:pPr>
    </w:p>
    <w:p w14:paraId="16627BFC" w14:textId="77777777" w:rsidR="0052075A" w:rsidRDefault="0052075A" w:rsidP="00FB00E4">
      <w:pPr>
        <w:rPr>
          <w:rtl/>
        </w:rPr>
      </w:pPr>
      <w:r>
        <w:rPr>
          <w:rtl/>
        </w:rPr>
        <w:t>התובע ביקש לכן דחיה כדי לבחון זאת מול ראש השלוחה, אך נראה כי אין טעם בדחיה נוספת, מדובר בהליך שנמשך כשנתיים וכבר בפברואר 2014 שירות מבחן המליצו על צו מבחן וצו של"צ ואף הוגשה תוכנית לביצוע עבודות של"צ. יצוין, כי אף המליצו להימנע מהרשעה, אולם בשל חומרת העבירה היתה התנגדות נמרצת של התביעה  וההרשעה נותרה על כנה.</w:t>
      </w:r>
    </w:p>
    <w:p w14:paraId="5B3B2F63" w14:textId="77777777" w:rsidR="0052075A" w:rsidRDefault="0052075A" w:rsidP="00FB00E4">
      <w:pPr>
        <w:rPr>
          <w:rtl/>
        </w:rPr>
      </w:pPr>
      <w:r>
        <w:rPr>
          <w:rtl/>
        </w:rPr>
        <w:t>התרשמתי כי הנאשם לא מתנגד באופן עקרוני להמשך טיפול למעקב או לביצוע השל"צ,  הוא מעונין לנהל אורח חיים נורמטיבי, כולל עבודה מסודרת, ולכן מפריע לו שעליו להשתתף בטיפול שיש בו פגיעה  ביכולתו התעסוקתי.</w:t>
      </w:r>
    </w:p>
    <w:p w14:paraId="0895D5B1" w14:textId="77777777" w:rsidR="0052075A" w:rsidRDefault="0052075A" w:rsidP="00FB00E4">
      <w:pPr>
        <w:rPr>
          <w:rtl/>
        </w:rPr>
      </w:pPr>
      <w:r>
        <w:rPr>
          <w:rtl/>
        </w:rPr>
        <w:t xml:space="preserve">בית משפט הבהיר לו שאם ישלח לכלא, לא ניתן  לדבר כלל על אפשרות תעסוקתית והוא מבין זאת. </w:t>
      </w:r>
    </w:p>
    <w:p w14:paraId="773389EA" w14:textId="77777777" w:rsidR="0052075A" w:rsidRDefault="0052075A" w:rsidP="00FB00E4">
      <w:pPr>
        <w:rPr>
          <w:rtl/>
        </w:rPr>
      </w:pPr>
    </w:p>
    <w:p w14:paraId="0F3ED311" w14:textId="77777777" w:rsidR="0052075A" w:rsidRDefault="0052075A" w:rsidP="00FB00E4">
      <w:pPr>
        <w:rPr>
          <w:rtl/>
        </w:rPr>
      </w:pPr>
      <w:r>
        <w:rPr>
          <w:rtl/>
        </w:rPr>
        <w:t xml:space="preserve">בנסיבות אלה, אני סבורה כי התחייבותו בפני בית המשפט יש בה להצדיק חזרה להמלצה הקודמת של שירות המבחן, לה הסכימה כאמור התביעה המשטרתית ולכן, אני גוזרת דינו היום. </w:t>
      </w:r>
    </w:p>
    <w:p w14:paraId="7833ECCB" w14:textId="77777777" w:rsidR="0052075A" w:rsidRDefault="0052075A" w:rsidP="00FB00E4">
      <w:pPr>
        <w:rPr>
          <w:rtl/>
        </w:rPr>
      </w:pPr>
    </w:p>
    <w:p w14:paraId="7B101BBB" w14:textId="77777777" w:rsidR="0052075A" w:rsidRDefault="0052075A" w:rsidP="00FB00E4">
      <w:pPr>
        <w:rPr>
          <w:sz w:val="6"/>
          <w:szCs w:val="6"/>
          <w:rtl/>
        </w:rPr>
      </w:pPr>
      <w:r>
        <w:rPr>
          <w:sz w:val="6"/>
          <w:szCs w:val="6"/>
          <w:rtl/>
        </w:rPr>
        <w:t>&lt;#4#&gt;</w:t>
      </w:r>
    </w:p>
    <w:p w14:paraId="3404DC08" w14:textId="77777777" w:rsidR="0052075A" w:rsidRDefault="0052075A">
      <w:pPr>
        <w:jc w:val="right"/>
        <w:rPr>
          <w:rtl/>
        </w:rPr>
      </w:pPr>
    </w:p>
    <w:p w14:paraId="3979E590" w14:textId="77777777" w:rsidR="0052075A" w:rsidRDefault="0052075A" w:rsidP="00F16537">
      <w:pPr>
        <w:rPr>
          <w:rtl/>
        </w:rPr>
      </w:pPr>
      <w:r>
        <w:rPr>
          <w:b/>
          <w:bCs/>
          <w:rtl/>
        </w:rPr>
        <w:t>ניתנה והודעה היום כ"א טבת תשע"ה, 12/01/2015 במעמד הנוכחים.</w:t>
      </w:r>
    </w:p>
    <w:p w14:paraId="1468AA2B" w14:textId="77777777" w:rsidR="0052075A" w:rsidRDefault="0052075A">
      <w:pPr>
        <w:jc w:val="center"/>
        <w:rPr>
          <w:rtl/>
        </w:rPr>
      </w:pPr>
    </w:p>
    <w:p w14:paraId="0E54F9D5" w14:textId="77777777" w:rsidR="001B761D" w:rsidRDefault="001B761D">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B761D" w14:paraId="508299DB" w14:textId="77777777">
        <w:trPr>
          <w:trHeight w:val="316"/>
          <w:jc w:val="right"/>
        </w:trPr>
        <w:tc>
          <w:tcPr>
            <w:tcW w:w="3936" w:type="dxa"/>
            <w:tcBorders>
              <w:bottom w:val="single" w:sz="4" w:space="0" w:color="auto"/>
            </w:tcBorders>
          </w:tcPr>
          <w:p w14:paraId="6D011B6C" w14:textId="77777777" w:rsidR="001B761D" w:rsidRPr="00591780" w:rsidRDefault="001B761D" w:rsidP="001B761D">
            <w:pPr>
              <w:jc w:val="center"/>
              <w:rPr>
                <w:rFonts w:ascii="Times New Roman" w:hAnsi="Times New Roman" w:cs="Times New Roman" w:hint="cs"/>
              </w:rPr>
            </w:pPr>
          </w:p>
          <w:p w14:paraId="5E85DD2B" w14:textId="77777777" w:rsidR="001B761D" w:rsidRPr="00591780" w:rsidRDefault="001B761D" w:rsidP="001B761D">
            <w:pPr>
              <w:jc w:val="center"/>
              <w:rPr>
                <w:rFonts w:ascii="Times New Roman" w:hAnsi="Times New Roman" w:cs="Times New Roman"/>
              </w:rPr>
            </w:pPr>
          </w:p>
        </w:tc>
      </w:tr>
      <w:tr w:rsidR="001B761D" w14:paraId="09CE03A7" w14:textId="77777777">
        <w:trPr>
          <w:trHeight w:val="361"/>
          <w:jc w:val="right"/>
        </w:trPr>
        <w:tc>
          <w:tcPr>
            <w:tcW w:w="3936" w:type="dxa"/>
            <w:tcBorders>
              <w:top w:val="single" w:sz="4" w:space="0" w:color="auto"/>
            </w:tcBorders>
          </w:tcPr>
          <w:p w14:paraId="3D553B3A" w14:textId="77777777" w:rsidR="001B761D" w:rsidRPr="00591780" w:rsidRDefault="001B761D" w:rsidP="001B761D">
            <w:pPr>
              <w:jc w:val="center"/>
              <w:rPr>
                <w:rFonts w:ascii="Times New Roman" w:hAnsi="Times New Roman"/>
                <w:b/>
                <w:bCs/>
              </w:rPr>
            </w:pPr>
            <w:r w:rsidRPr="00591780">
              <w:rPr>
                <w:rFonts w:ascii="Times New Roman" w:hAnsi="Times New Roman"/>
                <w:b/>
                <w:bCs/>
                <w:rtl/>
              </w:rPr>
              <w:t xml:space="preserve">רובין לביא , שופטת בכירה </w:t>
            </w:r>
          </w:p>
        </w:tc>
      </w:tr>
    </w:tbl>
    <w:p w14:paraId="3F6EE081" w14:textId="77777777" w:rsidR="0052075A" w:rsidRDefault="0052075A">
      <w:pPr>
        <w:jc w:val="right"/>
        <w:rPr>
          <w:rtl/>
        </w:rPr>
      </w:pPr>
    </w:p>
    <w:p w14:paraId="1BA78F9B" w14:textId="77777777" w:rsidR="0052075A" w:rsidRDefault="0052075A" w:rsidP="00173E5B">
      <w:pPr>
        <w:rPr>
          <w:sz w:val="6"/>
          <w:szCs w:val="6"/>
          <w:rtl/>
        </w:rPr>
      </w:pPr>
      <w:r>
        <w:rPr>
          <w:sz w:val="6"/>
          <w:szCs w:val="6"/>
          <w:rtl/>
        </w:rPr>
        <w:t>&lt;#5#&gt;</w:t>
      </w:r>
    </w:p>
    <w:p w14:paraId="063CDF84" w14:textId="77777777" w:rsidR="0052075A" w:rsidRDefault="0052075A">
      <w:pPr>
        <w:jc w:val="center"/>
        <w:rPr>
          <w:rFonts w:ascii="Arial" w:hAnsi="Arial"/>
          <w:b/>
          <w:bCs/>
          <w:sz w:val="28"/>
          <w:szCs w:val="28"/>
          <w:u w:val="single"/>
          <w:rtl/>
        </w:rPr>
      </w:pPr>
      <w:bookmarkStart w:id="5" w:name="PsakDin"/>
      <w:r>
        <w:rPr>
          <w:rFonts w:ascii="Arial" w:hAnsi="Arial"/>
          <w:b/>
          <w:bCs/>
          <w:sz w:val="28"/>
          <w:szCs w:val="28"/>
          <w:u w:val="single"/>
          <w:rtl/>
        </w:rPr>
        <w:t>גזר דין</w:t>
      </w:r>
      <w:bookmarkEnd w:id="5"/>
    </w:p>
    <w:p w14:paraId="685772E3" w14:textId="77777777" w:rsidR="0052075A" w:rsidRDefault="0052075A">
      <w:pPr>
        <w:rPr>
          <w:rFonts w:ascii="Arial" w:hAnsi="Arial"/>
        </w:rPr>
      </w:pPr>
    </w:p>
    <w:p w14:paraId="7DDF678C" w14:textId="77777777" w:rsidR="0052075A" w:rsidRDefault="0052075A" w:rsidP="00940D68">
      <w:pPr>
        <w:jc w:val="center"/>
        <w:rPr>
          <w:szCs w:val="24"/>
          <w:rtl/>
        </w:rPr>
      </w:pPr>
    </w:p>
    <w:p w14:paraId="7E945413" w14:textId="77777777" w:rsidR="0052075A" w:rsidRDefault="0052075A" w:rsidP="00940D68">
      <w:pPr>
        <w:rPr>
          <w:rtl/>
        </w:rPr>
      </w:pPr>
      <w:bookmarkStart w:id="6" w:name="ABSTRACT_START"/>
      <w:bookmarkEnd w:id="6"/>
      <w:r>
        <w:rPr>
          <w:rtl/>
        </w:rPr>
        <w:t>הנאשם הודה והורשע במסגרת הסדר טיעון, שכלל תיקון מהותי בכתב האישום, בכך שב- 27.2.13, בערב, באשקלון, החזיק על גופו סם מסוכן מסוג חשיש במשקל 150 גרם נטו, מחולק ל- 2 יחידות, שלא לצריכה עצמית</w:t>
      </w:r>
      <w:bookmarkStart w:id="7" w:name="ABSTRACT_END"/>
      <w:bookmarkEnd w:id="7"/>
      <w:r>
        <w:rPr>
          <w:rtl/>
        </w:rPr>
        <w:t>.</w:t>
      </w:r>
    </w:p>
    <w:p w14:paraId="1B6A649A" w14:textId="77777777" w:rsidR="0052075A" w:rsidRDefault="0052075A" w:rsidP="00940D68">
      <w:pPr>
        <w:rPr>
          <w:rtl/>
        </w:rPr>
      </w:pPr>
    </w:p>
    <w:p w14:paraId="5BA2199F" w14:textId="77777777" w:rsidR="0052075A" w:rsidRDefault="0052075A" w:rsidP="00940D68">
      <w:pPr>
        <w:rPr>
          <w:rtl/>
        </w:rPr>
      </w:pPr>
      <w:r>
        <w:rPr>
          <w:rtl/>
        </w:rPr>
        <w:t>ההסדר הוצג בפני כב' השופט נחמיאס כבר ב- 30.4.13, והתיק נותב אלי לצורך גזירת הדין.</w:t>
      </w:r>
    </w:p>
    <w:p w14:paraId="74BDD302" w14:textId="77777777" w:rsidR="0052075A" w:rsidRDefault="0052075A" w:rsidP="00940D68">
      <w:pPr>
        <w:rPr>
          <w:rtl/>
        </w:rPr>
      </w:pPr>
    </w:p>
    <w:p w14:paraId="3154E34C" w14:textId="77777777" w:rsidR="0052075A" w:rsidRDefault="0052075A" w:rsidP="00940D68">
      <w:pPr>
        <w:rPr>
          <w:rtl/>
        </w:rPr>
      </w:pPr>
      <w:r>
        <w:rPr>
          <w:rtl/>
        </w:rPr>
        <w:t>בעת ביצוע העבירה היה הנאשם בן 19 ולכן היתה חובת תסקיר. מאז הדיונים נדחו שוב ושוב ונתקבלו מספר רב של תסקירים וזאת עת שולב בהליך טיפולי.</w:t>
      </w:r>
    </w:p>
    <w:p w14:paraId="20A09FEC" w14:textId="77777777" w:rsidR="0052075A" w:rsidRDefault="0052075A" w:rsidP="00940D68">
      <w:pPr>
        <w:rPr>
          <w:rtl/>
        </w:rPr>
      </w:pPr>
    </w:p>
    <w:p w14:paraId="4D23D4E2" w14:textId="77777777" w:rsidR="0052075A" w:rsidRDefault="0052075A" w:rsidP="00940D68">
      <w:pPr>
        <w:rPr>
          <w:rtl/>
        </w:rPr>
      </w:pPr>
      <w:r>
        <w:rPr>
          <w:rtl/>
        </w:rPr>
        <w:t xml:space="preserve">כבר בתסקיר שהוגש בינואר 2014 צוין,  כי טרם מעצרו נעדר מחובת שירות צבאי. </w:t>
      </w:r>
    </w:p>
    <w:p w14:paraId="72AACC1F" w14:textId="77777777" w:rsidR="0052075A" w:rsidRDefault="0052075A" w:rsidP="00940D68">
      <w:pPr>
        <w:rPr>
          <w:rtl/>
        </w:rPr>
      </w:pPr>
    </w:p>
    <w:p w14:paraId="1D65C24A" w14:textId="77777777" w:rsidR="0052075A" w:rsidRDefault="0052075A" w:rsidP="00940D68">
      <w:pPr>
        <w:rPr>
          <w:rtl/>
        </w:rPr>
      </w:pPr>
      <w:r>
        <w:rPr>
          <w:rtl/>
        </w:rPr>
        <w:t xml:space="preserve">הוטל עליו צו פיקוח מעצרים והוא שולב בקבוצה טיפולית לעצורי בית כבר ביום 22.5.13 . לאחר מכן נעצר והושם בכלא צבאי בגין אי התייצבות, שוחרר כעבור שבועיים ונמסר לו כי עליו להתיצב בסיס קליטה ומיון בתל-השומר על מנת להסדיר מעמדו. הוא ביטא אמביוולנטיות באשר לאפשרות שהוא יתגייס, בעיקר חשש מקושי להיכנס למסגרת שגבולותיה נוקשים וחשש שלא יכול להתמודד במסגרת סמכותית. שירות המבחן עמדו בקשר עם צה"ל רם 3, והבינו כי הגיוס יבחן בעקבות מידע שהתקבל אודות מעמדו המשפטי ולכן העבירו לו כתב אישום. </w:t>
      </w:r>
    </w:p>
    <w:p w14:paraId="63DB62A1" w14:textId="77777777" w:rsidR="0052075A" w:rsidRDefault="0052075A" w:rsidP="00940D68">
      <w:pPr>
        <w:rPr>
          <w:rtl/>
        </w:rPr>
      </w:pPr>
    </w:p>
    <w:p w14:paraId="72639AD8" w14:textId="77777777" w:rsidR="0052075A" w:rsidRDefault="0052075A" w:rsidP="00940D68">
      <w:pPr>
        <w:rPr>
          <w:rtl/>
        </w:rPr>
      </w:pPr>
      <w:r>
        <w:rPr>
          <w:rtl/>
        </w:rPr>
        <w:t xml:space="preserve">נסיבות חייו של הנאשם היו קשות ומשפחתו התמודדה עם סוגיות הישרדותיות. הוא נמצא בשלב של גיבוש זהות אישית ומקצועית וחשיבתו מאופיינית בתכנון לטווח קצר בלבד. מדובר במי שנוטה להיגרר אחר סביבתו ומתקשה לערוך בחינה עצמאית של התנהגותו. ניכר שהוא נזקק למסגרת השתייכות חיובית וסבור שיש לשלבו בטיפול שיסייע לו לערוך שינוי בחייו, להעלות מודעות למצבי סיכון ולשפר יכולת התבוננות רחבה ועריכת בחינות שקולות בחייו. זאת יחד עם מעקב דגימות שתן. </w:t>
      </w:r>
    </w:p>
    <w:p w14:paraId="723840EF" w14:textId="77777777" w:rsidR="0052075A" w:rsidRDefault="0052075A" w:rsidP="00940D68">
      <w:pPr>
        <w:rPr>
          <w:b/>
          <w:rtl/>
        </w:rPr>
      </w:pPr>
      <w:r>
        <w:rPr>
          <w:rtl/>
        </w:rPr>
        <w:t>הוא הוחזר לקבוצה הטיפולית ב- 26.6.13, השתלב בה באופן מלא עד 9.10.13. לאחר מכן שוב הסגיר עצמו לצבא, שכן לא התיצב בבקו"ם כפי שנדרש ונעצר ובהמשך שוחרר וחזר לקבוצה ב- 6.11.13. ב- 30.12.13 נבנתה תוכנית טיפולית עבורו בקבוצה העוסקת בתחום העבירה כ"סימפטום" , הוא שיתף פעולה</w:t>
      </w:r>
      <w:r>
        <w:rPr>
          <w:bCs/>
          <w:rtl/>
        </w:rPr>
        <w:t xml:space="preserve">, </w:t>
      </w:r>
      <w:r>
        <w:rPr>
          <w:b/>
          <w:rtl/>
        </w:rPr>
        <w:t>התייצב לבדיקת שתן אחת בלבד ולא נמצאו שרידי סם. בהמשך מערך השתן הפסיק לעבוד.</w:t>
      </w:r>
    </w:p>
    <w:p w14:paraId="73200363" w14:textId="77777777" w:rsidR="0052075A" w:rsidRDefault="0052075A" w:rsidP="00940D68">
      <w:pPr>
        <w:rPr>
          <w:b/>
          <w:rtl/>
        </w:rPr>
      </w:pPr>
    </w:p>
    <w:p w14:paraId="2E2EE2D4" w14:textId="77777777" w:rsidR="0052075A" w:rsidRDefault="0052075A" w:rsidP="00940D68">
      <w:pPr>
        <w:rPr>
          <w:b/>
          <w:rtl/>
        </w:rPr>
      </w:pPr>
      <w:r>
        <w:rPr>
          <w:b/>
          <w:rtl/>
        </w:rPr>
        <w:t xml:space="preserve">הנאשם הודה ולקח אחריות והסביר הרקע לביצוע העבירה. בהתחשב בגילו הצעיר , בעברו הנקי, שירות המבחן סברו כבר אז, לפני שנה, כי יש מקום להימנע ממאסר ולהסתפק בעונש חינוכי של של"צ וביקשו דחיה לגיבוש תוכנית של"צ. </w:t>
      </w:r>
    </w:p>
    <w:p w14:paraId="57C0AE37" w14:textId="77777777" w:rsidR="0052075A" w:rsidRDefault="0052075A" w:rsidP="00940D68">
      <w:pPr>
        <w:rPr>
          <w:b/>
          <w:rtl/>
        </w:rPr>
      </w:pPr>
    </w:p>
    <w:p w14:paraId="15E84D99" w14:textId="77777777" w:rsidR="0052075A" w:rsidRDefault="0052075A" w:rsidP="00940D68">
      <w:pPr>
        <w:rPr>
          <w:b/>
          <w:rtl/>
        </w:rPr>
      </w:pPr>
      <w:r>
        <w:rPr>
          <w:b/>
          <w:rtl/>
        </w:rPr>
        <w:t>כאמור, מאז ועד לדיון האחרון שבו על אותה המלצה והדחיות נבעו מאי התיצבות הנאשם לאחד הדיונים, מבקשת דחיה של הסניגור בעקבות המבצע הצבאי, מהבקשה של הסניגור לדחות כדי להיפגש עם ראש השלוחה ובהמשך ביטול המפגש עם ראש השלוחה וכיום כאמור, נתקבל תסקיר ובו שירות המבחן חזרו בהם מהמלצתם.</w:t>
      </w:r>
    </w:p>
    <w:p w14:paraId="0BF5A35A" w14:textId="77777777" w:rsidR="0052075A" w:rsidRDefault="0052075A" w:rsidP="00940D68">
      <w:pPr>
        <w:rPr>
          <w:b/>
          <w:rtl/>
        </w:rPr>
      </w:pPr>
    </w:p>
    <w:p w14:paraId="69887315" w14:textId="77777777" w:rsidR="0052075A" w:rsidRDefault="0052075A" w:rsidP="00940D68">
      <w:pPr>
        <w:rPr>
          <w:b/>
          <w:rtl/>
        </w:rPr>
      </w:pPr>
      <w:r>
        <w:rPr>
          <w:b/>
          <w:rtl/>
        </w:rPr>
        <w:t xml:space="preserve">אין ספק, כי במקרה זה קיימת נזקקות טיפולית גבוהה וחשוב ללוות את הנאשם בתהליכי השינוי שעורך. מדובר במי שנתרם מהטפול הן הקבוצתי והן הפרטני. </w:t>
      </w:r>
    </w:p>
    <w:p w14:paraId="32B3E018" w14:textId="77777777" w:rsidR="0052075A" w:rsidRDefault="0052075A" w:rsidP="00D06192">
      <w:pPr>
        <w:rPr>
          <w:b/>
          <w:rtl/>
        </w:rPr>
      </w:pPr>
      <w:r>
        <w:rPr>
          <w:b/>
          <w:rtl/>
        </w:rPr>
        <w:t>כפי הנראה יובא לדין בגין העדרות מן השירות, ובית המשפט הציע לו לפני זמן רב להיוועץ בעו"ד בענין זה. לדבריו, עליו לעבוד כדי לשלם לעו"ד. הוא עדיין מקווה שבית משפט צבאי ימנע מלגזור דינו למאסר,  מ עבר למעצר שכבר היה עצור, אך לא טיפול בכך ולכן בצדק טוען התובע, כי הממונה לא ימצא אותו כשיר לשאת המאסר בעבודות שירות ומכאן, בהעדר המלצה של שירות המבחן, יגזר דינו למאסר בכלא.</w:t>
      </w:r>
    </w:p>
    <w:p w14:paraId="39A8CF09" w14:textId="77777777" w:rsidR="0052075A" w:rsidRDefault="0052075A" w:rsidP="00D06192">
      <w:pPr>
        <w:rPr>
          <w:b/>
          <w:rtl/>
        </w:rPr>
      </w:pPr>
    </w:p>
    <w:p w14:paraId="1C1B6FB4" w14:textId="77777777" w:rsidR="0052075A" w:rsidRDefault="0052075A" w:rsidP="00D06192">
      <w:pPr>
        <w:rPr>
          <w:b/>
          <w:rtl/>
        </w:rPr>
      </w:pPr>
      <w:r>
        <w:rPr>
          <w:b/>
          <w:rtl/>
        </w:rPr>
        <w:t>שירות המבחן סבורים כי אין אינדיקציה המצביעה על בעייתיות בתחום הסמים, ולכן מדובר במעקב בתדירות נמוכה בלבד, וכאמור הנאשם מסכים לכך. כמו כן, היום חזר בו מהתנגדותו אין לי ספק אם היתה נוכחת היום קצינת המבחן, היתה שבה וממליצה להימנע ממאסר לחלוטין.</w:t>
      </w:r>
    </w:p>
    <w:p w14:paraId="6399014A" w14:textId="77777777" w:rsidR="0052075A" w:rsidRDefault="0052075A" w:rsidP="00D06192">
      <w:pPr>
        <w:rPr>
          <w:b/>
          <w:rtl/>
        </w:rPr>
      </w:pPr>
    </w:p>
    <w:p w14:paraId="7FD356DC" w14:textId="77777777" w:rsidR="0052075A" w:rsidRDefault="0052075A" w:rsidP="00D06192">
      <w:pPr>
        <w:rPr>
          <w:b/>
          <w:rtl/>
        </w:rPr>
      </w:pPr>
      <w:r>
        <w:rPr>
          <w:b/>
          <w:rtl/>
        </w:rPr>
        <w:t>כפי שציין הסניגור, בית המשפט העליון הכיר בכך שיש להתיחס באופן שונה לנאשמים הנמנים על קבוצת הבגירים- צעירים, שכן שיקול הדעת שלהם עדיין אינו שיקול דעת של אדם בגיר והנאשם הוא דוגמא טובה מאוד לכך. שהרי, ידע כי  שירות המבחן ממליצים להימנע ממאסר, ובכל זאת לא היה מסוגל להחזיק מעמד והביע התנגדות לטיפול כשהדברים פוגעים בו רק בו.</w:t>
      </w:r>
    </w:p>
    <w:p w14:paraId="69B83419" w14:textId="77777777" w:rsidR="0052075A" w:rsidRDefault="0052075A" w:rsidP="00D06192">
      <w:pPr>
        <w:rPr>
          <w:b/>
          <w:rtl/>
        </w:rPr>
      </w:pPr>
    </w:p>
    <w:p w14:paraId="5AB39ECA" w14:textId="77777777" w:rsidR="0052075A" w:rsidRDefault="0052075A" w:rsidP="00735479">
      <w:pPr>
        <w:rPr>
          <w:b/>
          <w:rtl/>
        </w:rPr>
      </w:pPr>
      <w:r>
        <w:rPr>
          <w:b/>
          <w:rtl/>
        </w:rPr>
        <w:t>לאור כברת הדרך הארוכה שעשה בכיוון הטיפולי, שליחתו היום לכלא יפגע  בהליך הטפולי ויביא לנסיגה משמעותית וגם שרות המבחן  מודעים לכך, שכן ציינו זאת מפורשות בתסקיר שהוגש היום.</w:t>
      </w:r>
    </w:p>
    <w:p w14:paraId="37DF80F4" w14:textId="77777777" w:rsidR="0052075A" w:rsidRDefault="0052075A" w:rsidP="00735479">
      <w:pPr>
        <w:rPr>
          <w:b/>
          <w:rtl/>
        </w:rPr>
      </w:pPr>
    </w:p>
    <w:p w14:paraId="1462D4C1" w14:textId="77777777" w:rsidR="0052075A" w:rsidRDefault="0052075A" w:rsidP="00735479">
      <w:pPr>
        <w:rPr>
          <w:b/>
          <w:rtl/>
        </w:rPr>
      </w:pPr>
      <w:r>
        <w:rPr>
          <w:b/>
          <w:rtl/>
        </w:rPr>
        <w:t>בנסיבות כמתואר, מצאתי לאמץ את המלצת שירות מבחן כפי שבא לידי ביטוי בתסקירים רבים עד היום, וזאת לאור חזרתו בו מן ההתנגדות שגילה כלפי שירות המבחן ואני מטילה עליו עונשים כדלקמן :</w:t>
      </w:r>
    </w:p>
    <w:p w14:paraId="2E88A7DC" w14:textId="77777777" w:rsidR="0052075A" w:rsidRDefault="0052075A" w:rsidP="00735479">
      <w:pPr>
        <w:rPr>
          <w:b/>
          <w:rtl/>
        </w:rPr>
      </w:pPr>
    </w:p>
    <w:p w14:paraId="4B9C8228" w14:textId="77777777" w:rsidR="0052075A" w:rsidRDefault="0052075A" w:rsidP="00C62A2A">
      <w:pPr>
        <w:ind w:left="720" w:hanging="720"/>
        <w:rPr>
          <w:rtl/>
        </w:rPr>
      </w:pPr>
      <w:r>
        <w:rPr>
          <w:rtl/>
        </w:rPr>
        <w:t>1.</w:t>
      </w:r>
      <w:r>
        <w:rPr>
          <w:rtl/>
        </w:rPr>
        <w:tab/>
        <w:t xml:space="preserve">אני מטילה על הנאשם 7  חודשי מאסר על תנאי למשך 3    שנים והתנאי הוא שלא יעבור  כל עבירה מסוג פשע על </w:t>
      </w:r>
      <w:hyperlink r:id="rId8" w:history="1">
        <w:r w:rsidR="001B761D" w:rsidRPr="001B761D">
          <w:rPr>
            <w:color w:val="0000FF"/>
            <w:u w:val="single"/>
            <w:rtl/>
          </w:rPr>
          <w:t>פקודת הסמים המסוכנים</w:t>
        </w:r>
      </w:hyperlink>
      <w:r>
        <w:rPr>
          <w:rtl/>
        </w:rPr>
        <w:t xml:space="preserve">. </w:t>
      </w:r>
    </w:p>
    <w:p w14:paraId="4E3A0D33" w14:textId="77777777" w:rsidR="0052075A" w:rsidRDefault="0052075A" w:rsidP="00683895">
      <w:pPr>
        <w:ind w:firstLine="720"/>
        <w:rPr>
          <w:rtl/>
        </w:rPr>
      </w:pPr>
    </w:p>
    <w:p w14:paraId="2419411C" w14:textId="77777777" w:rsidR="0052075A" w:rsidRDefault="0052075A" w:rsidP="00735479">
      <w:pPr>
        <w:ind w:left="720" w:hanging="720"/>
        <w:rPr>
          <w:rtl/>
        </w:rPr>
      </w:pPr>
      <w:r>
        <w:rPr>
          <w:rtl/>
        </w:rPr>
        <w:t>2.</w:t>
      </w:r>
      <w:r>
        <w:rPr>
          <w:rtl/>
        </w:rPr>
        <w:tab/>
        <w:t xml:space="preserve">קנס בסך   1000 ₪, בניכוי הפקדון שהופקד. היתרה תושב לו, ובתנאי שלא נרשם עליה עיקול. </w:t>
      </w:r>
    </w:p>
    <w:p w14:paraId="77E39201" w14:textId="77777777" w:rsidR="0052075A" w:rsidRDefault="0052075A">
      <w:pPr>
        <w:ind w:firstLine="720"/>
        <w:rPr>
          <w:rtl/>
        </w:rPr>
      </w:pPr>
    </w:p>
    <w:p w14:paraId="70653176" w14:textId="77777777" w:rsidR="0052075A" w:rsidRDefault="0052075A" w:rsidP="00735479">
      <w:pPr>
        <w:ind w:left="720" w:hanging="720"/>
        <w:rPr>
          <w:rtl/>
        </w:rPr>
      </w:pPr>
      <w:r>
        <w:rPr>
          <w:rtl/>
        </w:rPr>
        <w:t>3.</w:t>
      </w:r>
      <w:r>
        <w:rPr>
          <w:rtl/>
        </w:rPr>
        <w:tab/>
        <w:t xml:space="preserve">הנאשם יחתום על התחייבות בסך  10,000 ₪ להימנע מביצוע  עבירת פשע עלך </w:t>
      </w:r>
      <w:hyperlink r:id="rId9" w:history="1">
        <w:r w:rsidR="001B761D" w:rsidRPr="001B761D">
          <w:rPr>
            <w:color w:val="0000FF"/>
            <w:u w:val="single"/>
            <w:rtl/>
          </w:rPr>
          <w:t>פקודת הסמים המסוכנים</w:t>
        </w:r>
      </w:hyperlink>
      <w:r>
        <w:rPr>
          <w:rtl/>
        </w:rPr>
        <w:t xml:space="preserve"> במשך   3 שנים מהיום. </w:t>
      </w:r>
    </w:p>
    <w:p w14:paraId="75277ADE" w14:textId="77777777" w:rsidR="0052075A" w:rsidRDefault="0052075A" w:rsidP="00C62A2A">
      <w:pPr>
        <w:rPr>
          <w:rtl/>
        </w:rPr>
      </w:pPr>
      <w:r>
        <w:rPr>
          <w:rtl/>
        </w:rPr>
        <w:tab/>
        <w:t xml:space="preserve">אם לא יחתום על ההתחייבות, יאסר למשך  90 ימים. </w:t>
      </w:r>
    </w:p>
    <w:p w14:paraId="06A1925C" w14:textId="77777777" w:rsidR="0052075A" w:rsidRDefault="0052075A">
      <w:pPr>
        <w:rPr>
          <w:rtl/>
        </w:rPr>
      </w:pPr>
    </w:p>
    <w:p w14:paraId="7F7882B3" w14:textId="77777777" w:rsidR="0052075A" w:rsidRDefault="0052075A" w:rsidP="00735479">
      <w:pPr>
        <w:ind w:left="720" w:hanging="720"/>
        <w:rPr>
          <w:rtl/>
        </w:rPr>
      </w:pPr>
      <w:r>
        <w:rPr>
          <w:rtl/>
        </w:rPr>
        <w:t>4.</w:t>
      </w:r>
      <w:r>
        <w:rPr>
          <w:rtl/>
        </w:rPr>
        <w:tab/>
        <w:t xml:space="preserve">הנאשם ימצא בפיקוח שירות המבחן למשך שנה מהיום. </w:t>
      </w:r>
    </w:p>
    <w:p w14:paraId="4D3AFE78" w14:textId="77777777" w:rsidR="0052075A" w:rsidRDefault="0052075A">
      <w:pPr>
        <w:ind w:left="720" w:hanging="720"/>
        <w:rPr>
          <w:rtl/>
        </w:rPr>
      </w:pPr>
      <w:r>
        <w:rPr>
          <w:rtl/>
        </w:rPr>
        <w:tab/>
        <w:t xml:space="preserve">לצורך זאת עליו לחתום על צו מבחן. </w:t>
      </w:r>
    </w:p>
    <w:p w14:paraId="6B411BBB" w14:textId="77777777" w:rsidR="0052075A" w:rsidRDefault="0052075A" w:rsidP="00735479">
      <w:pPr>
        <w:ind w:left="720" w:hanging="720"/>
        <w:rPr>
          <w:rtl/>
        </w:rPr>
      </w:pPr>
      <w:bookmarkStart w:id="8" w:name="_GoBack"/>
      <w:bookmarkEnd w:id="8"/>
      <w:r>
        <w:rPr>
          <w:rtl/>
        </w:rPr>
        <w:tab/>
        <w:t xml:space="preserve">מוסבר לנאשם כי אם לא יעמוד בתנאי הצו, ניתן יהיה להפקיעו ולגזור דינו גם למאסר. </w:t>
      </w:r>
    </w:p>
    <w:p w14:paraId="3BD1C27B" w14:textId="77777777" w:rsidR="0052075A" w:rsidRDefault="0052075A">
      <w:pPr>
        <w:ind w:left="720" w:hanging="720"/>
        <w:rPr>
          <w:rtl/>
        </w:rPr>
      </w:pPr>
    </w:p>
    <w:p w14:paraId="791EB1BC" w14:textId="77777777" w:rsidR="0052075A" w:rsidRDefault="0052075A" w:rsidP="00735479">
      <w:pPr>
        <w:ind w:left="720" w:hanging="720"/>
        <w:rPr>
          <w:rtl/>
        </w:rPr>
      </w:pPr>
      <w:r>
        <w:rPr>
          <w:rtl/>
        </w:rPr>
        <w:t>5.</w:t>
      </w:r>
      <w:r>
        <w:rPr>
          <w:rtl/>
        </w:rPr>
        <w:tab/>
        <w:t xml:space="preserve">אני מטילה על הנאשם לבצע  140 שעות שירות לתועלת הציבור בעבודות תחזוקה, באורט אדיבי, אשקלון, בהיקף שלא יפחת מ – 4  ש"ש בפיקוח שירות המבחן. </w:t>
      </w:r>
    </w:p>
    <w:p w14:paraId="29957D52" w14:textId="77777777" w:rsidR="0052075A" w:rsidRDefault="0052075A">
      <w:pPr>
        <w:ind w:left="720" w:hanging="720"/>
        <w:rPr>
          <w:rtl/>
        </w:rPr>
      </w:pPr>
      <w:r>
        <w:rPr>
          <w:rtl/>
        </w:rPr>
        <w:tab/>
        <w:t xml:space="preserve">במידה ויש צורך בשינוי מקום ההשמה, שירות המבחן יעשה כן וידווח על כך לביהמ"ש. </w:t>
      </w:r>
    </w:p>
    <w:p w14:paraId="66F58EB9" w14:textId="77777777" w:rsidR="0052075A" w:rsidRDefault="0052075A" w:rsidP="00735479">
      <w:pPr>
        <w:ind w:left="720" w:hanging="720"/>
        <w:rPr>
          <w:rtl/>
        </w:rPr>
      </w:pPr>
      <w:r>
        <w:rPr>
          <w:rtl/>
        </w:rPr>
        <w:tab/>
        <w:t>מוסבר לנאשם כי אם לא יבצע עבודות השל"צ במלואן, ניתן יהיה להפקיע הצו, ולשוב ולגזור את דינו גם למאסר.</w:t>
      </w:r>
    </w:p>
    <w:p w14:paraId="75714A89" w14:textId="77777777" w:rsidR="0052075A" w:rsidRDefault="0052075A">
      <w:pPr>
        <w:ind w:firstLine="720"/>
        <w:rPr>
          <w:b/>
          <w:bCs/>
          <w:rtl/>
        </w:rPr>
      </w:pPr>
    </w:p>
    <w:p w14:paraId="1645693A" w14:textId="77777777" w:rsidR="0052075A" w:rsidRDefault="0052075A" w:rsidP="00D72F47">
      <w:pPr>
        <w:rPr>
          <w:b/>
          <w:bCs/>
          <w:rtl/>
        </w:rPr>
      </w:pPr>
      <w:r>
        <w:rPr>
          <w:b/>
          <w:bCs/>
          <w:rtl/>
        </w:rPr>
        <w:t xml:space="preserve">זכות ערעור תוך 45 יום מהיום. </w:t>
      </w:r>
    </w:p>
    <w:p w14:paraId="7FE2887E" w14:textId="77777777" w:rsidR="0052075A" w:rsidRDefault="0052075A" w:rsidP="00D72F47">
      <w:pPr>
        <w:rPr>
          <w:b/>
          <w:bCs/>
          <w:rtl/>
        </w:rPr>
      </w:pPr>
    </w:p>
    <w:p w14:paraId="309B5358" w14:textId="77777777" w:rsidR="0052075A" w:rsidRDefault="0052075A" w:rsidP="00D72F47">
      <w:pPr>
        <w:rPr>
          <w:b/>
          <w:bCs/>
          <w:sz w:val="6"/>
          <w:szCs w:val="6"/>
          <w:rtl/>
        </w:rPr>
      </w:pPr>
      <w:r>
        <w:rPr>
          <w:b/>
          <w:bCs/>
          <w:sz w:val="6"/>
          <w:szCs w:val="6"/>
          <w:rtl/>
        </w:rPr>
        <w:t>&lt;#7#&gt;</w:t>
      </w:r>
    </w:p>
    <w:p w14:paraId="51D91D53" w14:textId="77777777" w:rsidR="0052075A" w:rsidRDefault="0052075A">
      <w:pPr>
        <w:jc w:val="right"/>
        <w:rPr>
          <w:rtl/>
        </w:rPr>
      </w:pPr>
    </w:p>
    <w:p w14:paraId="1146E880" w14:textId="77777777" w:rsidR="0052075A" w:rsidRDefault="0052075A" w:rsidP="00F16537">
      <w:pPr>
        <w:rPr>
          <w:rtl/>
        </w:rPr>
      </w:pPr>
      <w:r>
        <w:rPr>
          <w:b/>
          <w:bCs/>
          <w:rtl/>
        </w:rPr>
        <w:t>ניתנה והודעה היום כ"א טבת תשע"ה, 12/01/2015 במעמד הנוכחים.</w:t>
      </w:r>
    </w:p>
    <w:p w14:paraId="685226D4" w14:textId="77777777" w:rsidR="0052075A" w:rsidRDefault="0052075A">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2075A" w14:paraId="571C34F7" w14:textId="77777777">
        <w:trPr>
          <w:trHeight w:val="316"/>
          <w:jc w:val="right"/>
        </w:trPr>
        <w:tc>
          <w:tcPr>
            <w:tcW w:w="3936" w:type="dxa"/>
            <w:tcBorders>
              <w:bottom w:val="single" w:sz="4" w:space="0" w:color="auto"/>
            </w:tcBorders>
          </w:tcPr>
          <w:p w14:paraId="32A872ED" w14:textId="77777777" w:rsidR="0052075A" w:rsidRPr="00591780" w:rsidRDefault="0052075A" w:rsidP="00591780">
            <w:pPr>
              <w:jc w:val="center"/>
              <w:rPr>
                <w:rFonts w:ascii="Times New Roman" w:hAnsi="Times New Roman" w:cs="Times New Roman"/>
              </w:rPr>
            </w:pPr>
          </w:p>
          <w:p w14:paraId="034DB4C2" w14:textId="77777777" w:rsidR="0052075A" w:rsidRPr="00591780" w:rsidRDefault="0052075A" w:rsidP="00591780">
            <w:pPr>
              <w:jc w:val="center"/>
              <w:rPr>
                <w:rFonts w:ascii="Times New Roman" w:hAnsi="Times New Roman" w:cs="Times New Roman"/>
              </w:rPr>
            </w:pPr>
          </w:p>
        </w:tc>
      </w:tr>
      <w:tr w:rsidR="0052075A" w14:paraId="69658661" w14:textId="77777777">
        <w:trPr>
          <w:trHeight w:val="361"/>
          <w:jc w:val="right"/>
        </w:trPr>
        <w:tc>
          <w:tcPr>
            <w:tcW w:w="3936" w:type="dxa"/>
            <w:tcBorders>
              <w:top w:val="single" w:sz="4" w:space="0" w:color="auto"/>
            </w:tcBorders>
          </w:tcPr>
          <w:p w14:paraId="7028D44D" w14:textId="77777777" w:rsidR="0052075A" w:rsidRPr="00591780" w:rsidRDefault="0052075A" w:rsidP="00591780">
            <w:pPr>
              <w:jc w:val="center"/>
              <w:rPr>
                <w:rFonts w:ascii="Times New Roman" w:hAnsi="Times New Roman"/>
                <w:b/>
                <w:bCs/>
              </w:rPr>
            </w:pPr>
            <w:r w:rsidRPr="00591780">
              <w:rPr>
                <w:rFonts w:ascii="Times New Roman" w:hAnsi="Times New Roman"/>
                <w:b/>
                <w:bCs/>
                <w:rtl/>
              </w:rPr>
              <w:t xml:space="preserve">רובין לביא , שופטת בכירה </w:t>
            </w:r>
          </w:p>
        </w:tc>
      </w:tr>
    </w:tbl>
    <w:p w14:paraId="76E1338B" w14:textId="77777777" w:rsidR="0052075A" w:rsidRDefault="0052075A">
      <w:pPr>
        <w:jc w:val="right"/>
        <w:rPr>
          <w:rtl/>
        </w:rPr>
      </w:pPr>
    </w:p>
    <w:p w14:paraId="38834273" w14:textId="77777777" w:rsidR="0052075A" w:rsidRDefault="0052075A" w:rsidP="00177C9E">
      <w:pPr>
        <w:rPr>
          <w:rtl/>
        </w:rPr>
      </w:pPr>
    </w:p>
    <w:p w14:paraId="1E98FF6F" w14:textId="77777777" w:rsidR="0052075A" w:rsidRDefault="0052075A" w:rsidP="00735479">
      <w:pPr>
        <w:jc w:val="center"/>
        <w:rPr>
          <w:szCs w:val="24"/>
          <w:rtl/>
        </w:rPr>
      </w:pPr>
    </w:p>
    <w:p w14:paraId="6E8C0E01" w14:textId="77777777" w:rsidR="0052075A" w:rsidRDefault="0052075A" w:rsidP="005C1CF7">
      <w:pPr>
        <w:rPr>
          <w:b/>
          <w:bCs/>
          <w:rtl/>
        </w:rPr>
      </w:pPr>
      <w:r>
        <w:rPr>
          <w:szCs w:val="24"/>
          <w:rtl/>
        </w:rPr>
        <w:t xml:space="preserve"> </w:t>
      </w:r>
    </w:p>
    <w:p w14:paraId="0E021D8C" w14:textId="77777777" w:rsidR="0052075A" w:rsidRDefault="0052075A" w:rsidP="00D72F47">
      <w:pPr>
        <w:rPr>
          <w:b/>
          <w:bCs/>
          <w:rtl/>
        </w:rPr>
      </w:pPr>
    </w:p>
    <w:p w14:paraId="02344DF8" w14:textId="77777777" w:rsidR="0052075A" w:rsidRDefault="0052075A" w:rsidP="00D72F47">
      <w:pPr>
        <w:rPr>
          <w:b/>
          <w:bCs/>
          <w:sz w:val="6"/>
          <w:szCs w:val="6"/>
          <w:rtl/>
        </w:rPr>
      </w:pPr>
      <w:r>
        <w:rPr>
          <w:b/>
          <w:bCs/>
          <w:sz w:val="6"/>
          <w:szCs w:val="6"/>
          <w:rtl/>
        </w:rPr>
        <w:t>&lt;#6#&gt;</w:t>
      </w:r>
    </w:p>
    <w:p w14:paraId="2B9FC8DC" w14:textId="77777777" w:rsidR="0052075A" w:rsidRDefault="0052075A">
      <w:pPr>
        <w:jc w:val="center"/>
        <w:rPr>
          <w:rFonts w:ascii="Arial" w:hAnsi="Arial"/>
          <w:b/>
          <w:bCs/>
          <w:sz w:val="28"/>
          <w:szCs w:val="28"/>
          <w:u w:val="single"/>
          <w:rtl/>
        </w:rPr>
      </w:pPr>
      <w:r>
        <w:rPr>
          <w:rFonts w:ascii="Arial" w:hAnsi="Arial"/>
          <w:b/>
          <w:bCs/>
          <w:sz w:val="28"/>
          <w:szCs w:val="28"/>
          <w:u w:val="single"/>
          <w:rtl/>
        </w:rPr>
        <w:t>החלטה</w:t>
      </w:r>
    </w:p>
    <w:p w14:paraId="2BE96862" w14:textId="77777777" w:rsidR="0052075A" w:rsidRPr="00735479" w:rsidRDefault="0052075A" w:rsidP="00735479">
      <w:pPr>
        <w:rPr>
          <w:szCs w:val="24"/>
          <w:rtl/>
        </w:rPr>
      </w:pPr>
    </w:p>
    <w:p w14:paraId="34563485" w14:textId="77777777" w:rsidR="0052075A" w:rsidRPr="00735479" w:rsidRDefault="0052075A" w:rsidP="00735479">
      <w:pPr>
        <w:rPr>
          <w:b/>
          <w:bCs/>
          <w:rtl/>
        </w:rPr>
      </w:pPr>
      <w:r w:rsidRPr="00735479">
        <w:rPr>
          <w:b/>
          <w:bCs/>
          <w:rtl/>
        </w:rPr>
        <w:t xml:space="preserve">הסם יושמד. </w:t>
      </w:r>
    </w:p>
    <w:p w14:paraId="6A299FA4" w14:textId="77777777" w:rsidR="0052075A" w:rsidRDefault="0052075A" w:rsidP="00D72F47">
      <w:pPr>
        <w:rPr>
          <w:b/>
          <w:bCs/>
          <w:rtl/>
        </w:rPr>
      </w:pPr>
    </w:p>
    <w:p w14:paraId="59DE41CD" w14:textId="77777777" w:rsidR="0052075A" w:rsidRDefault="0052075A" w:rsidP="00D72F47">
      <w:pPr>
        <w:rPr>
          <w:b/>
          <w:bCs/>
          <w:rtl/>
        </w:rPr>
      </w:pPr>
      <w:r>
        <w:rPr>
          <w:b/>
          <w:bCs/>
          <w:rtl/>
        </w:rPr>
        <w:t>הכסף שנתפס יושב לנאשם, שכן לא נתבקש חילוט.</w:t>
      </w:r>
    </w:p>
    <w:p w14:paraId="3E8F2C8A" w14:textId="77777777" w:rsidR="0052075A" w:rsidRDefault="0052075A">
      <w:pPr>
        <w:rPr>
          <w:b/>
          <w:bCs/>
          <w:rtl/>
        </w:rPr>
      </w:pPr>
    </w:p>
    <w:p w14:paraId="15AC8686" w14:textId="77777777" w:rsidR="0052075A" w:rsidRDefault="0052075A"/>
    <w:p w14:paraId="16B174BC" w14:textId="77777777" w:rsidR="0052075A" w:rsidRDefault="0052075A" w:rsidP="00735479">
      <w:pPr>
        <w:rPr>
          <w:b/>
          <w:rtl/>
        </w:rPr>
      </w:pPr>
    </w:p>
    <w:p w14:paraId="30D810A9" w14:textId="77777777" w:rsidR="0052075A" w:rsidRDefault="0052075A" w:rsidP="00735479">
      <w:pPr>
        <w:rPr>
          <w:b/>
          <w:rtl/>
        </w:rPr>
      </w:pPr>
    </w:p>
    <w:p w14:paraId="6C03FE5B" w14:textId="77777777" w:rsidR="0052075A" w:rsidRPr="00D06192" w:rsidRDefault="0052075A" w:rsidP="00735479">
      <w:pPr>
        <w:rPr>
          <w:b/>
          <w:rtl/>
        </w:rPr>
      </w:pPr>
    </w:p>
    <w:p w14:paraId="7041D687" w14:textId="77777777" w:rsidR="0052075A" w:rsidRDefault="0052075A" w:rsidP="009E1FED">
      <w:pPr>
        <w:jc w:val="center"/>
        <w:rPr>
          <w:szCs w:val="24"/>
          <w:rtl/>
        </w:rPr>
      </w:pPr>
    </w:p>
    <w:p w14:paraId="28CFE16B" w14:textId="77777777" w:rsidR="0052075A" w:rsidRDefault="0052075A" w:rsidP="009E1FED">
      <w:pPr>
        <w:rPr>
          <w:szCs w:val="24"/>
          <w:rtl/>
        </w:rPr>
      </w:pPr>
      <w:r>
        <w:rPr>
          <w:szCs w:val="24"/>
          <w:rtl/>
        </w:rPr>
        <w:t xml:space="preserve"> </w:t>
      </w:r>
    </w:p>
    <w:p w14:paraId="4A07A0C2" w14:textId="77777777" w:rsidR="0052075A" w:rsidRDefault="0052075A" w:rsidP="009E1FED">
      <w:pPr>
        <w:rPr>
          <w:sz w:val="6"/>
          <w:szCs w:val="6"/>
          <w:rtl/>
        </w:rPr>
      </w:pPr>
      <w:r>
        <w:rPr>
          <w:sz w:val="6"/>
          <w:szCs w:val="6"/>
          <w:rtl/>
        </w:rPr>
        <w:t>&lt;#3#&gt;</w:t>
      </w:r>
    </w:p>
    <w:p w14:paraId="21AF18FB" w14:textId="77777777" w:rsidR="0052075A" w:rsidRDefault="0052075A">
      <w:pPr>
        <w:jc w:val="right"/>
        <w:rPr>
          <w:rtl/>
        </w:rPr>
      </w:pPr>
    </w:p>
    <w:p w14:paraId="555E1B3E" w14:textId="77777777" w:rsidR="0052075A" w:rsidRDefault="001B761D">
      <w:pPr>
        <w:jc w:val="center"/>
        <w:rPr>
          <w:rtl/>
        </w:rPr>
      </w:pPr>
      <w:r w:rsidRPr="001B761D">
        <w:rPr>
          <w:b/>
          <w:bCs/>
          <w:color w:val="FFFFFF"/>
          <w:sz w:val="2"/>
          <w:szCs w:val="2"/>
          <w:rtl/>
        </w:rPr>
        <w:t>5129371</w:t>
      </w:r>
      <w:r>
        <w:rPr>
          <w:b/>
          <w:bCs/>
          <w:rtl/>
        </w:rPr>
        <w:t xml:space="preserve">ניתנה והודעה היום כ"א טבת תשע"ה, 12/01/2015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2075A" w14:paraId="39002130" w14:textId="77777777">
        <w:trPr>
          <w:trHeight w:val="316"/>
          <w:jc w:val="right"/>
        </w:trPr>
        <w:tc>
          <w:tcPr>
            <w:tcW w:w="3936" w:type="dxa"/>
            <w:tcBorders>
              <w:bottom w:val="single" w:sz="4" w:space="0" w:color="auto"/>
            </w:tcBorders>
          </w:tcPr>
          <w:p w14:paraId="1647ECFF" w14:textId="77777777" w:rsidR="0052075A" w:rsidRPr="001B761D" w:rsidRDefault="001B761D" w:rsidP="00591780">
            <w:pPr>
              <w:jc w:val="center"/>
              <w:rPr>
                <w:rFonts w:ascii="Times New Roman" w:hAnsi="Times New Roman" w:cs="Times New Roman"/>
                <w:color w:val="FFFFFF"/>
                <w:sz w:val="2"/>
                <w:szCs w:val="2"/>
              </w:rPr>
            </w:pPr>
            <w:r w:rsidRPr="001B761D">
              <w:rPr>
                <w:rFonts w:ascii="Times New Roman" w:hAnsi="Times New Roman" w:cs="Times New Roman"/>
                <w:color w:val="FFFFFF"/>
                <w:sz w:val="2"/>
                <w:szCs w:val="2"/>
                <w:rtl/>
              </w:rPr>
              <w:t>54678313</w:t>
            </w:r>
          </w:p>
          <w:p w14:paraId="605BB373" w14:textId="77777777" w:rsidR="0052075A" w:rsidRPr="00591780" w:rsidRDefault="0052075A" w:rsidP="00591780">
            <w:pPr>
              <w:jc w:val="center"/>
              <w:rPr>
                <w:rFonts w:ascii="Times New Roman" w:hAnsi="Times New Roman" w:cs="Times New Roman"/>
              </w:rPr>
            </w:pPr>
          </w:p>
        </w:tc>
      </w:tr>
      <w:tr w:rsidR="0052075A" w14:paraId="62B4E642" w14:textId="77777777">
        <w:trPr>
          <w:trHeight w:val="361"/>
          <w:jc w:val="right"/>
        </w:trPr>
        <w:tc>
          <w:tcPr>
            <w:tcW w:w="3936" w:type="dxa"/>
            <w:tcBorders>
              <w:top w:val="single" w:sz="4" w:space="0" w:color="auto"/>
            </w:tcBorders>
          </w:tcPr>
          <w:p w14:paraId="5506032E" w14:textId="77777777" w:rsidR="0052075A" w:rsidRPr="00591780" w:rsidRDefault="0052075A" w:rsidP="00591780">
            <w:pPr>
              <w:jc w:val="center"/>
              <w:rPr>
                <w:rFonts w:ascii="Times New Roman" w:hAnsi="Times New Roman"/>
                <w:b/>
                <w:bCs/>
              </w:rPr>
            </w:pPr>
            <w:r w:rsidRPr="00591780">
              <w:rPr>
                <w:rFonts w:ascii="Times New Roman" w:hAnsi="Times New Roman"/>
                <w:b/>
                <w:bCs/>
                <w:rtl/>
              </w:rPr>
              <w:t xml:space="preserve">רובין לביא , שופטת בכירה </w:t>
            </w:r>
          </w:p>
        </w:tc>
      </w:tr>
    </w:tbl>
    <w:p w14:paraId="50F2570E" w14:textId="77777777" w:rsidR="0052075A" w:rsidRDefault="0052075A" w:rsidP="004844E1">
      <w:pPr>
        <w:rPr>
          <w:rtl/>
        </w:rPr>
      </w:pPr>
      <w:r>
        <w:rPr>
          <w:rtl/>
        </w:rPr>
        <w:t>קלדנית: שרה</w:t>
      </w:r>
    </w:p>
    <w:p w14:paraId="7C028F32" w14:textId="77777777" w:rsidR="0052075A" w:rsidRDefault="0052075A" w:rsidP="00177C9E">
      <w:pPr>
        <w:rPr>
          <w:rtl/>
        </w:rPr>
      </w:pPr>
    </w:p>
    <w:p w14:paraId="093C6C93" w14:textId="77777777" w:rsidR="0052075A" w:rsidRDefault="0052075A" w:rsidP="009E1FED">
      <w:pPr>
        <w:jc w:val="center"/>
        <w:rPr>
          <w:szCs w:val="24"/>
          <w:rtl/>
        </w:rPr>
      </w:pPr>
    </w:p>
    <w:p w14:paraId="6E1DFD2B" w14:textId="77777777" w:rsidR="0052075A" w:rsidRPr="009E1FED" w:rsidRDefault="0052075A" w:rsidP="009E1FED">
      <w:pPr>
        <w:rPr>
          <w:szCs w:val="24"/>
          <w:rtl/>
        </w:rPr>
      </w:pPr>
      <w:r>
        <w:rPr>
          <w:szCs w:val="24"/>
          <w:rtl/>
        </w:rPr>
        <w:t xml:space="preserve"> </w:t>
      </w:r>
    </w:p>
    <w:p w14:paraId="0F865C8D" w14:textId="77777777" w:rsidR="001B761D" w:rsidRPr="001B761D" w:rsidRDefault="0052075A" w:rsidP="001B761D">
      <w:pPr>
        <w:keepNext/>
        <w:jc w:val="left"/>
        <w:rPr>
          <w:color w:val="000000"/>
          <w:sz w:val="22"/>
          <w:szCs w:val="22"/>
        </w:rPr>
      </w:pPr>
      <w:r>
        <w:rPr>
          <w:szCs w:val="24"/>
          <w:rtl/>
        </w:rPr>
        <w:t>הוקלד</w:t>
      </w:r>
      <w:r>
        <w:t xml:space="preserve"> </w:t>
      </w:r>
      <w:r>
        <w:rPr>
          <w:szCs w:val="24"/>
          <w:rtl/>
        </w:rPr>
        <w:t>על</w:t>
      </w:r>
      <w:r>
        <w:t xml:space="preserve"> </w:t>
      </w:r>
      <w:r>
        <w:rPr>
          <w:szCs w:val="24"/>
          <w:rtl/>
        </w:rPr>
        <w:t>ידי</w:t>
      </w:r>
      <w:r>
        <w:t xml:space="preserve"> </w:t>
      </w:r>
      <w:r>
        <w:rPr>
          <w:szCs w:val="24"/>
          <w:rtl/>
        </w:rPr>
        <w:t>אביבה</w:t>
      </w:r>
      <w:r>
        <w:t xml:space="preserve"> </w:t>
      </w:r>
      <w:r>
        <w:rPr>
          <w:szCs w:val="24"/>
          <w:rtl/>
        </w:rPr>
        <w:t>עטיה</w:t>
      </w:r>
    </w:p>
    <w:p w14:paraId="30993F80" w14:textId="77777777" w:rsidR="001B761D" w:rsidRPr="001B761D" w:rsidRDefault="001B761D" w:rsidP="001B761D">
      <w:pPr>
        <w:keepNext/>
        <w:jc w:val="left"/>
        <w:rPr>
          <w:color w:val="000000"/>
          <w:sz w:val="22"/>
          <w:szCs w:val="22"/>
          <w:rtl/>
        </w:rPr>
      </w:pPr>
      <w:r w:rsidRPr="001B761D">
        <w:rPr>
          <w:color w:val="000000"/>
          <w:sz w:val="22"/>
          <w:szCs w:val="22"/>
          <w:rtl/>
        </w:rPr>
        <w:t>רובין לביא 54678313</w:t>
      </w:r>
    </w:p>
    <w:p w14:paraId="0225E6C6" w14:textId="77777777" w:rsidR="001B761D" w:rsidRDefault="001B761D" w:rsidP="001B761D">
      <w:pPr>
        <w:jc w:val="left"/>
      </w:pPr>
      <w:r w:rsidRPr="001B761D">
        <w:rPr>
          <w:color w:val="000000"/>
          <w:rtl/>
        </w:rPr>
        <w:t>נוסח מסמך זה כפוף לשינויי ניסוח ועריכה</w:t>
      </w:r>
    </w:p>
    <w:p w14:paraId="0312E22C" w14:textId="77777777" w:rsidR="001B761D" w:rsidRDefault="001B761D" w:rsidP="001B761D">
      <w:pPr>
        <w:jc w:val="left"/>
        <w:rPr>
          <w:rtl/>
        </w:rPr>
      </w:pPr>
    </w:p>
    <w:p w14:paraId="067B53DC" w14:textId="77777777" w:rsidR="001B761D" w:rsidRDefault="001B761D" w:rsidP="001B761D">
      <w:pPr>
        <w:jc w:val="center"/>
        <w:rPr>
          <w:color w:val="0000FF"/>
          <w:szCs w:val="24"/>
          <w:u w:val="single"/>
        </w:rPr>
      </w:pPr>
      <w:hyperlink r:id="rId10" w:history="1">
        <w:r>
          <w:rPr>
            <w:color w:val="0000FF"/>
            <w:szCs w:val="24"/>
            <w:u w:val="single"/>
            <w:rtl/>
          </w:rPr>
          <w:t>בעניין עריכה ושינויים במסמכי פסיקה, חקיקה ועוד באתר נבו – הקש כאן</w:t>
        </w:r>
      </w:hyperlink>
    </w:p>
    <w:p w14:paraId="444CC6EE" w14:textId="77777777" w:rsidR="0052075A" w:rsidRPr="001B761D" w:rsidRDefault="003506AF" w:rsidP="001B761D">
      <w:pPr>
        <w:jc w:val="center"/>
        <w:rPr>
          <w:color w:val="0000FF"/>
          <w:szCs w:val="24"/>
          <w:u w:val="single"/>
        </w:rPr>
      </w:pPr>
      <w:r>
        <w:rPr>
          <w:rFonts w:hint="cs"/>
          <w:color w:val="0000FF"/>
          <w:szCs w:val="24"/>
          <w:u w:val="single"/>
          <w:rtl/>
        </w:rPr>
        <w:t xml:space="preserve">  </w:t>
      </w:r>
    </w:p>
    <w:sectPr w:rsidR="0052075A" w:rsidRPr="001B761D" w:rsidSect="001B761D">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5FDD6" w14:textId="77777777" w:rsidR="001B7CE1" w:rsidRDefault="001B7CE1">
      <w:r>
        <w:separator/>
      </w:r>
    </w:p>
  </w:endnote>
  <w:endnote w:type="continuationSeparator" w:id="0">
    <w:p w14:paraId="54CACA81" w14:textId="77777777" w:rsidR="001B7CE1" w:rsidRDefault="001B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10C9B" w14:textId="77777777" w:rsidR="001B761D" w:rsidRDefault="001B761D" w:rsidP="001B761D">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23</w:t>
    </w:r>
    <w:r>
      <w:rPr>
        <w:rFonts w:ascii="FrankRuehl" w:hAnsi="FrankRuehl" w:cs="FrankRuehl"/>
        <w:szCs w:val="24"/>
        <w:rtl/>
      </w:rPr>
      <w:fldChar w:fldCharType="end"/>
    </w:r>
  </w:p>
  <w:p w14:paraId="3C9D5732" w14:textId="77777777" w:rsidR="005C1CF7" w:rsidRPr="001B761D" w:rsidRDefault="001B761D" w:rsidP="001B761D">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1B761D">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FEB1F" w14:textId="77777777" w:rsidR="001B761D" w:rsidRDefault="001B761D" w:rsidP="001B761D">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hint="cs"/>
        <w:szCs w:val="24"/>
      </w:rPr>
      <w:instrText>PAGE</w:instrText>
    </w:r>
    <w:r>
      <w:rPr>
        <w:rFonts w:ascii="FrankRuehl" w:hAnsi="FrankRuehl" w:cs="FrankRuehl" w:hint="cs"/>
        <w:szCs w:val="24"/>
        <w:rtl/>
      </w:rPr>
      <w:instrText xml:space="preserve">  \* </w:instrText>
    </w:r>
    <w:r>
      <w:rPr>
        <w:rFonts w:ascii="FrankRuehl" w:hAnsi="FrankRuehl" w:cs="FrankRuehl" w:hint="cs"/>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D71B85">
      <w:rPr>
        <w:rFonts w:ascii="FrankRuehl" w:hAnsi="FrankRuehl" w:cs="FrankRuehl"/>
        <w:noProof/>
        <w:szCs w:val="24"/>
        <w:rtl/>
      </w:rPr>
      <w:t>1</w:t>
    </w:r>
    <w:r>
      <w:rPr>
        <w:rFonts w:ascii="FrankRuehl" w:hAnsi="FrankRuehl" w:cs="FrankRuehl"/>
        <w:szCs w:val="24"/>
        <w:rtl/>
      </w:rPr>
      <w:fldChar w:fldCharType="end"/>
    </w:r>
  </w:p>
  <w:p w14:paraId="71EBC8D2" w14:textId="77777777" w:rsidR="005C1CF7" w:rsidRPr="001B761D" w:rsidRDefault="001B761D" w:rsidP="001B761D">
    <w:pPr>
      <w:pStyle w:val="a4"/>
      <w:pBdr>
        <w:top w:val="single" w:sz="4" w:space="1" w:color="auto"/>
        <w:between w:val="single" w:sz="4" w:space="0" w:color="auto"/>
      </w:pBdr>
      <w:spacing w:after="60" w:line="240" w:lineRule="auto"/>
      <w:jc w:val="center"/>
      <w:rPr>
        <w:rFonts w:ascii="FrankRuehl" w:hAnsi="FrankRuehl" w:cs="FrankRuehl" w:hint="cs"/>
        <w:color w:val="000000"/>
        <w:szCs w:val="24"/>
      </w:rPr>
    </w:pPr>
    <w:r w:rsidRPr="001B761D">
      <w:rPr>
        <w:rFonts w:ascii="FrankRuehl" w:hAnsi="FrankRuehl" w:cs="FrankRuehl" w:hint="cs"/>
        <w:color w:val="000000"/>
        <w:szCs w:val="24"/>
      </w:rPr>
      <w:pict w14:anchorId="7417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B5D0A" w14:textId="77777777" w:rsidR="001B7CE1" w:rsidRDefault="001B7CE1">
      <w:r>
        <w:separator/>
      </w:r>
    </w:p>
  </w:footnote>
  <w:footnote w:type="continuationSeparator" w:id="0">
    <w:p w14:paraId="04A98ABB" w14:textId="77777777" w:rsidR="001B7CE1" w:rsidRDefault="001B7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B9B95" w14:textId="77777777" w:rsidR="001B761D" w:rsidRPr="001B761D" w:rsidRDefault="001B761D" w:rsidP="001B761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1684-03-13</w:t>
    </w:r>
    <w:r>
      <w:rPr>
        <w:color w:val="000000"/>
        <w:sz w:val="22"/>
        <w:szCs w:val="22"/>
        <w:rtl/>
      </w:rPr>
      <w:tab/>
      <w:t xml:space="preserve"> מדינת ישראל נ' רון קאפח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A854E" w14:textId="77777777" w:rsidR="001B761D" w:rsidRPr="001B761D" w:rsidRDefault="001B761D" w:rsidP="001B761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1684-03-13</w:t>
    </w:r>
    <w:r>
      <w:rPr>
        <w:color w:val="000000"/>
        <w:sz w:val="22"/>
        <w:szCs w:val="22"/>
        <w:rtl/>
      </w:rPr>
      <w:tab/>
      <w:t xml:space="preserve"> מדינת ישראל נ' רון קאפח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 w15:restartNumberingAfterBreak="0">
    <w:nsid w:val="31EB39D9"/>
    <w:multiLevelType w:val="hybridMultilevel"/>
    <w:tmpl w:val="06B816AA"/>
    <w:lvl w:ilvl="0" w:tplc="77DE06C0">
      <w:start w:val="1"/>
      <w:numFmt w:val="bullet"/>
      <w:lvlText w:val="ת"/>
      <w:lvlJc w:val="left"/>
      <w:pPr>
        <w:tabs>
          <w:tab w:val="num" w:pos="720"/>
        </w:tabs>
        <w:ind w:left="720" w:hanging="7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A82280D"/>
    <w:multiLevelType w:val="hybridMultilevel"/>
    <w:tmpl w:val="4EA6BB12"/>
    <w:lvl w:ilvl="0" w:tplc="9B84910A">
      <w:start w:val="1"/>
      <w:numFmt w:val="bullet"/>
      <w:lvlText w:val="ש"/>
      <w:lvlJc w:val="left"/>
      <w:pPr>
        <w:tabs>
          <w:tab w:val="num" w:pos="720"/>
        </w:tabs>
        <w:ind w:left="720" w:hanging="7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895582672">
    <w:abstractNumId w:val="16"/>
  </w:num>
  <w:num w:numId="2" w16cid:durableId="680157997">
    <w:abstractNumId w:val="7"/>
  </w:num>
  <w:num w:numId="3" w16cid:durableId="282034125">
    <w:abstractNumId w:val="14"/>
  </w:num>
  <w:num w:numId="4" w16cid:durableId="951978899">
    <w:abstractNumId w:val="13"/>
  </w:num>
  <w:num w:numId="5" w16cid:durableId="962348054">
    <w:abstractNumId w:val="5"/>
  </w:num>
  <w:num w:numId="6" w16cid:durableId="1244727543">
    <w:abstractNumId w:val="8"/>
  </w:num>
  <w:num w:numId="7" w16cid:durableId="679895445">
    <w:abstractNumId w:val="18"/>
  </w:num>
  <w:num w:numId="8" w16cid:durableId="1839885129">
    <w:abstractNumId w:val="0"/>
  </w:num>
  <w:num w:numId="9" w16cid:durableId="371810793">
    <w:abstractNumId w:val="12"/>
  </w:num>
  <w:num w:numId="10" w16cid:durableId="1835339384">
    <w:abstractNumId w:val="10"/>
  </w:num>
  <w:num w:numId="11" w16cid:durableId="1312633854">
    <w:abstractNumId w:val="4"/>
  </w:num>
  <w:num w:numId="12" w16cid:durableId="1435203894">
    <w:abstractNumId w:val="17"/>
  </w:num>
  <w:num w:numId="13" w16cid:durableId="1443845004">
    <w:abstractNumId w:val="11"/>
  </w:num>
  <w:num w:numId="14" w16cid:durableId="1527792657">
    <w:abstractNumId w:val="3"/>
  </w:num>
  <w:num w:numId="15" w16cid:durableId="143277947">
    <w:abstractNumId w:val="15"/>
  </w:num>
  <w:num w:numId="16" w16cid:durableId="351803613">
    <w:abstractNumId w:val="1"/>
  </w:num>
  <w:num w:numId="17" w16cid:durableId="94330446">
    <w:abstractNumId w:val="9"/>
  </w:num>
  <w:num w:numId="18" w16cid:durableId="573586304">
    <w:abstractNumId w:val="6"/>
  </w:num>
  <w:num w:numId="19" w16cid:durableId="1388263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684-03-13"/>
    <w:docVar w:name="caseId" w:val="70916261"/>
    <w:docVar w:name="deriveClass" w:val="NGCS.Protocol.BL.Client.ProtocolBLClientCriminal"/>
    <w:docVar w:name="firstPageNumber" w:val="22"/>
    <w:docVar w:name="MyInfo" w:val="This document was extracted from Nevo's site"/>
    <w:docVar w:name="NGCS.caseTypeID" w:val="10048"/>
    <w:docVar w:name="NGCS.courtID" w:val="44"/>
    <w:docVar w:name="NGCS.isReservedAddressPlace" w:val="0"/>
    <w:docVar w:name="NGCS.isReservedVoucherPlace" w:val="0"/>
    <w:docVar w:name="NGCS.proceedingID" w:val="2"/>
    <w:docVar w:name="NGCS.TemplateCategoryID" w:val="14"/>
    <w:docVar w:name="NGCS.userUPN" w:val="ëåìí"/>
    <w:docVar w:name="privellegeId" w:val="1"/>
    <w:docVar w:name="protocolId" w:val="5387738"/>
    <w:docVar w:name="releaseSign" w:val="0"/>
    <w:docVar w:name="sittingDateTime" w:val="12/01/2015 12:00     "/>
    <w:docVar w:name="sittingId" w:val="78043979"/>
    <w:docVar w:name="sittingTypeId" w:val="2"/>
    <w:docVar w:name="WordClientAssemblyName" w:val="NGCS.Protocol.BL.Client"/>
  </w:docVars>
  <w:rsids>
    <w:rsidRoot w:val="00EB1D9D"/>
    <w:rsid w:val="000522B5"/>
    <w:rsid w:val="000555F0"/>
    <w:rsid w:val="000842E9"/>
    <w:rsid w:val="00085892"/>
    <w:rsid w:val="000D4C99"/>
    <w:rsid w:val="001057AF"/>
    <w:rsid w:val="0011224B"/>
    <w:rsid w:val="0015233A"/>
    <w:rsid w:val="00173E5B"/>
    <w:rsid w:val="00177C9E"/>
    <w:rsid w:val="0018748E"/>
    <w:rsid w:val="001B2469"/>
    <w:rsid w:val="001B761D"/>
    <w:rsid w:val="001B7CE1"/>
    <w:rsid w:val="001E28FA"/>
    <w:rsid w:val="001E5500"/>
    <w:rsid w:val="00240E7D"/>
    <w:rsid w:val="00245F44"/>
    <w:rsid w:val="00250907"/>
    <w:rsid w:val="002C418D"/>
    <w:rsid w:val="003272AF"/>
    <w:rsid w:val="003506AF"/>
    <w:rsid w:val="00352CFF"/>
    <w:rsid w:val="003867DA"/>
    <w:rsid w:val="00396EAD"/>
    <w:rsid w:val="003A56A9"/>
    <w:rsid w:val="003D247E"/>
    <w:rsid w:val="003F6EFC"/>
    <w:rsid w:val="0042370B"/>
    <w:rsid w:val="00436A19"/>
    <w:rsid w:val="00442148"/>
    <w:rsid w:val="0045751D"/>
    <w:rsid w:val="004741CD"/>
    <w:rsid w:val="0047628F"/>
    <w:rsid w:val="004844E1"/>
    <w:rsid w:val="004C6256"/>
    <w:rsid w:val="005172A7"/>
    <w:rsid w:val="0052075A"/>
    <w:rsid w:val="005234D2"/>
    <w:rsid w:val="00527B06"/>
    <w:rsid w:val="005441A5"/>
    <w:rsid w:val="00551705"/>
    <w:rsid w:val="005876E1"/>
    <w:rsid w:val="00591780"/>
    <w:rsid w:val="005A7BA1"/>
    <w:rsid w:val="005C1CF7"/>
    <w:rsid w:val="005D47FD"/>
    <w:rsid w:val="00600707"/>
    <w:rsid w:val="00622BFE"/>
    <w:rsid w:val="00640F91"/>
    <w:rsid w:val="00650AB5"/>
    <w:rsid w:val="00683895"/>
    <w:rsid w:val="006F09EE"/>
    <w:rsid w:val="007033B7"/>
    <w:rsid w:val="00734788"/>
    <w:rsid w:val="00735479"/>
    <w:rsid w:val="00770F7C"/>
    <w:rsid w:val="00776AEF"/>
    <w:rsid w:val="007D71BF"/>
    <w:rsid w:val="007E6A98"/>
    <w:rsid w:val="00856B36"/>
    <w:rsid w:val="008C4377"/>
    <w:rsid w:val="008D5752"/>
    <w:rsid w:val="00940D68"/>
    <w:rsid w:val="009737C8"/>
    <w:rsid w:val="00990BB7"/>
    <w:rsid w:val="009B0ADC"/>
    <w:rsid w:val="009B5B32"/>
    <w:rsid w:val="009E1FED"/>
    <w:rsid w:val="00A064ED"/>
    <w:rsid w:val="00A31982"/>
    <w:rsid w:val="00A35390"/>
    <w:rsid w:val="00A67D1A"/>
    <w:rsid w:val="00A713DD"/>
    <w:rsid w:val="00AD7A01"/>
    <w:rsid w:val="00AE72D5"/>
    <w:rsid w:val="00B16B00"/>
    <w:rsid w:val="00B64E44"/>
    <w:rsid w:val="00B81A42"/>
    <w:rsid w:val="00BE7153"/>
    <w:rsid w:val="00BF50B1"/>
    <w:rsid w:val="00C2736B"/>
    <w:rsid w:val="00C402EB"/>
    <w:rsid w:val="00C50277"/>
    <w:rsid w:val="00C62A2A"/>
    <w:rsid w:val="00C67FB6"/>
    <w:rsid w:val="00C826B9"/>
    <w:rsid w:val="00C87313"/>
    <w:rsid w:val="00CC4B20"/>
    <w:rsid w:val="00CD10C0"/>
    <w:rsid w:val="00CE46DF"/>
    <w:rsid w:val="00D06192"/>
    <w:rsid w:val="00D43688"/>
    <w:rsid w:val="00D71B85"/>
    <w:rsid w:val="00D72F47"/>
    <w:rsid w:val="00D75604"/>
    <w:rsid w:val="00E06ED4"/>
    <w:rsid w:val="00E164E0"/>
    <w:rsid w:val="00E37759"/>
    <w:rsid w:val="00E41E65"/>
    <w:rsid w:val="00E4581A"/>
    <w:rsid w:val="00E679BB"/>
    <w:rsid w:val="00EB1D9D"/>
    <w:rsid w:val="00EE4A64"/>
    <w:rsid w:val="00F16537"/>
    <w:rsid w:val="00F42DB9"/>
    <w:rsid w:val="00F91F7D"/>
    <w:rsid w:val="00FB00E4"/>
    <w:rsid w:val="00FC3566"/>
    <w:rsid w:val="00FF4E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EEC7C18"/>
  <w15:chartTrackingRefBased/>
  <w15:docId w15:val="{ADEA227C-619C-4D2B-A6B5-2CE0C27F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6AEF"/>
    <w:pPr>
      <w:bidi/>
      <w:spacing w:line="360" w:lineRule="auto"/>
      <w:jc w:val="both"/>
    </w:pPr>
    <w:rPr>
      <w:rFonts w:eastAsia="Times New Roman"/>
      <w:sz w:val="24"/>
      <w:szCs w:val="26"/>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paragraph" w:customStyle="1" w:styleId="12">
    <w:name w:val="רגיל + ‏12 נק'"/>
    <w:aliases w:val="מיושר לשני הצדדים,מרווח בין שורות:  שורה וחצי"/>
    <w:basedOn w:val="a"/>
    <w:rsid w:val="00734788"/>
    <w:pPr>
      <w:spacing w:line="240" w:lineRule="auto"/>
      <w:jc w:val="left"/>
    </w:pPr>
    <w:rPr>
      <w:rFonts w:ascii="Times New Roman" w:eastAsia="David" w:hAnsi="Times New Roman"/>
      <w:b/>
      <w:bCs/>
      <w:szCs w:val="24"/>
      <w:u w:val="single"/>
    </w:rPr>
  </w:style>
  <w:style w:type="paragraph" w:styleId="ab">
    <w:name w:val="Title"/>
    <w:basedOn w:val="a"/>
    <w:link w:val="ac"/>
    <w:qFormat/>
    <w:rsid w:val="00735479"/>
    <w:pPr>
      <w:jc w:val="center"/>
    </w:pPr>
    <w:rPr>
      <w:rFonts w:ascii="Times New Roman" w:eastAsia="David" w:hAnsi="Times New Roman"/>
      <w:b/>
      <w:bCs/>
      <w:sz w:val="20"/>
      <w:szCs w:val="24"/>
      <w:u w:val="single"/>
      <w:lang w:eastAsia="he-IL"/>
    </w:rPr>
  </w:style>
  <w:style w:type="character" w:customStyle="1" w:styleId="ac">
    <w:name w:val="כותרת טקסט תו"/>
    <w:link w:val="ab"/>
    <w:locked/>
    <w:rsid w:val="00735479"/>
    <w:rPr>
      <w:rFonts w:ascii="Times New Roman" w:hAnsi="Times New Roman" w:cs="Times New Roman"/>
      <w:b/>
      <w:bCs/>
      <w:snapToGrid w:val="0"/>
      <w:sz w:val="24"/>
      <w:szCs w:val="24"/>
      <w:u w:val="single"/>
      <w:lang w:val="x-none" w:eastAsia="he-IL" w:bidi="he-IL"/>
    </w:rPr>
  </w:style>
  <w:style w:type="character" w:styleId="Hyperlink">
    <w:name w:val="Hyperlink"/>
    <w:rsid w:val="001B76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1328</Words>
  <Characters>6643</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7956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2015-01-12T10:47:00Z</cp:lastPrinted>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1684</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רון קאפח</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20150112</vt:lpwstr>
  </property>
  <property fmtid="{D5CDD505-2E9C-101B-9397-08002B2CF9AE}" pid="14" name="TYPE_N_DATE">
    <vt:lpwstr>38020150112</vt:lpwstr>
  </property>
  <property fmtid="{D5CDD505-2E9C-101B-9397-08002B2CF9AE}" pid="15" name="LAWLISTTMP1">
    <vt:lpwstr>4216:2</vt:lpwstr>
  </property>
  <property fmtid="{D5CDD505-2E9C-101B-9397-08002B2CF9AE}" pid="16" name="WORDNUMPAGES">
    <vt:lpwstr>7</vt:lpwstr>
  </property>
  <property fmtid="{D5CDD505-2E9C-101B-9397-08002B2CF9AE}" pid="17" name="TYPE_ABS_DATE">
    <vt:lpwstr>380020150112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