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C3EDF" w:rsidRPr="00D15C89" w14:paraId="490008FF" w14:textId="77777777">
        <w:trPr>
          <w:trHeight w:hRule="exact" w:val="418"/>
          <w:jc w:val="center"/>
        </w:trPr>
        <w:tc>
          <w:tcPr>
            <w:tcW w:w="8721" w:type="dxa"/>
            <w:gridSpan w:val="2"/>
          </w:tcPr>
          <w:p w14:paraId="13268D1B" w14:textId="77777777" w:rsidR="003C3EDF" w:rsidRPr="00D15C89" w:rsidRDefault="00D15C89">
            <w:pPr>
              <w:pStyle w:val="a3"/>
              <w:jc w:val="center"/>
              <w:rPr>
                <w:rFonts w:ascii="Tahoma" w:hAnsi="Tahoma" w:cs="Tahoma"/>
                <w:color w:val="000080"/>
                <w:rtl/>
              </w:rPr>
            </w:pPr>
            <w:bookmarkStart w:id="0" w:name="LastJudge"/>
            <w:r w:rsidRPr="00D15C89">
              <w:rPr>
                <w:rFonts w:ascii="Tahoma" w:hAnsi="Tahoma" w:cs="Tahoma"/>
                <w:b/>
                <w:bCs/>
                <w:color w:val="000080"/>
                <w:rtl/>
              </w:rPr>
              <w:t>בית משפט השלום בתל אביב - יפו</w:t>
            </w:r>
          </w:p>
        </w:tc>
      </w:tr>
      <w:tr w:rsidR="003C3EDF" w:rsidRPr="00D15C89" w14:paraId="735448A6" w14:textId="77777777">
        <w:trPr>
          <w:trHeight w:val="337"/>
          <w:jc w:val="center"/>
        </w:trPr>
        <w:tc>
          <w:tcPr>
            <w:tcW w:w="5054" w:type="dxa"/>
          </w:tcPr>
          <w:p w14:paraId="2165E8DB" w14:textId="77777777" w:rsidR="003C3EDF" w:rsidRPr="00D15C89" w:rsidRDefault="00D15C89">
            <w:pPr>
              <w:rPr>
                <w:rFonts w:cs="FrankRuehl"/>
                <w:sz w:val="28"/>
                <w:szCs w:val="28"/>
                <w:rtl/>
              </w:rPr>
            </w:pPr>
            <w:r w:rsidRPr="00D15C89">
              <w:rPr>
                <w:rFonts w:cs="FrankRuehl"/>
                <w:sz w:val="28"/>
                <w:szCs w:val="28"/>
                <w:rtl/>
              </w:rPr>
              <w:t>ת"פ</w:t>
            </w:r>
            <w:r w:rsidRPr="00D15C89">
              <w:rPr>
                <w:rFonts w:cs="FrankRuehl" w:hint="cs"/>
                <w:sz w:val="28"/>
                <w:szCs w:val="28"/>
                <w:rtl/>
              </w:rPr>
              <w:t xml:space="preserve"> </w:t>
            </w:r>
            <w:r w:rsidRPr="00D15C89">
              <w:rPr>
                <w:rFonts w:cs="FrankRuehl"/>
                <w:sz w:val="28"/>
                <w:szCs w:val="28"/>
                <w:rtl/>
              </w:rPr>
              <w:t>45065-03-13</w:t>
            </w:r>
            <w:r w:rsidRPr="00D15C89">
              <w:rPr>
                <w:rFonts w:cs="FrankRuehl" w:hint="cs"/>
                <w:sz w:val="28"/>
                <w:szCs w:val="28"/>
                <w:rtl/>
              </w:rPr>
              <w:t xml:space="preserve"> </w:t>
            </w:r>
            <w:r w:rsidRPr="00D15C89">
              <w:rPr>
                <w:rFonts w:cs="FrankRuehl"/>
                <w:sz w:val="28"/>
                <w:szCs w:val="28"/>
                <w:rtl/>
              </w:rPr>
              <w:t>מדינת ישראל נ' לזר</w:t>
            </w:r>
          </w:p>
          <w:p w14:paraId="5DA2DCFE" w14:textId="77777777" w:rsidR="003C3EDF" w:rsidRPr="00D15C89" w:rsidRDefault="003C3EDF">
            <w:pPr>
              <w:pStyle w:val="a3"/>
              <w:rPr>
                <w:rFonts w:cs="FrankRuehl"/>
                <w:sz w:val="28"/>
                <w:szCs w:val="28"/>
                <w:rtl/>
              </w:rPr>
            </w:pPr>
          </w:p>
        </w:tc>
        <w:tc>
          <w:tcPr>
            <w:tcW w:w="3667" w:type="dxa"/>
          </w:tcPr>
          <w:p w14:paraId="4C04E865" w14:textId="77777777" w:rsidR="003C3EDF" w:rsidRPr="00D15C89" w:rsidRDefault="003C3EDF">
            <w:pPr>
              <w:pStyle w:val="a3"/>
              <w:jc w:val="right"/>
              <w:rPr>
                <w:rFonts w:cs="FrankRuehl"/>
                <w:sz w:val="28"/>
                <w:szCs w:val="28"/>
                <w:rtl/>
              </w:rPr>
            </w:pPr>
          </w:p>
        </w:tc>
      </w:tr>
    </w:tbl>
    <w:p w14:paraId="0373FFF8" w14:textId="77777777" w:rsidR="003C3EDF" w:rsidRPr="00D15C89" w:rsidRDefault="00D15C89">
      <w:pPr>
        <w:pStyle w:val="a3"/>
        <w:rPr>
          <w:rtl/>
        </w:rPr>
      </w:pPr>
      <w:r w:rsidRPr="00D15C89">
        <w:rPr>
          <w:rFonts w:hint="cs"/>
          <w:rtl/>
        </w:rPr>
        <w:t xml:space="preserve"> </w:t>
      </w:r>
    </w:p>
    <w:p w14:paraId="142F83B8" w14:textId="77777777" w:rsidR="003C3EDF" w:rsidRPr="00D15C89" w:rsidRDefault="003C3ED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C3EDF" w:rsidRPr="00D15C89" w14:paraId="340A9822" w14:textId="77777777">
        <w:trPr>
          <w:trHeight w:val="295"/>
          <w:jc w:val="center"/>
        </w:trPr>
        <w:tc>
          <w:tcPr>
            <w:tcW w:w="923" w:type="dxa"/>
            <w:tcBorders>
              <w:top w:val="nil"/>
              <w:left w:val="nil"/>
              <w:bottom w:val="nil"/>
              <w:right w:val="nil"/>
            </w:tcBorders>
          </w:tcPr>
          <w:p w14:paraId="7DDCED47" w14:textId="77777777" w:rsidR="003C3EDF" w:rsidRPr="00D15C89" w:rsidRDefault="00D15C89">
            <w:pPr>
              <w:jc w:val="both"/>
              <w:rPr>
                <w:rFonts w:ascii="Arial" w:hAnsi="Arial"/>
                <w:b/>
                <w:bCs/>
              </w:rPr>
            </w:pPr>
            <w:r w:rsidRPr="00D15C89">
              <w:rPr>
                <w:rFonts w:ascii="Arial" w:hAnsi="Arial" w:hint="cs"/>
                <w:b/>
                <w:bCs/>
                <w:rtl/>
              </w:rPr>
              <w:t>ב</w:t>
            </w:r>
            <w:r w:rsidRPr="00D15C89">
              <w:rPr>
                <w:rFonts w:ascii="Arial" w:hAnsi="Arial"/>
                <w:b/>
                <w:bCs/>
                <w:rtl/>
              </w:rPr>
              <w:t xml:space="preserve">פני </w:t>
            </w:r>
          </w:p>
        </w:tc>
        <w:tc>
          <w:tcPr>
            <w:tcW w:w="7897" w:type="dxa"/>
            <w:gridSpan w:val="2"/>
            <w:tcBorders>
              <w:top w:val="nil"/>
              <w:left w:val="nil"/>
              <w:bottom w:val="nil"/>
              <w:right w:val="nil"/>
            </w:tcBorders>
          </w:tcPr>
          <w:p w14:paraId="1F87A8EB" w14:textId="77777777" w:rsidR="003C3EDF" w:rsidRPr="00D15C89" w:rsidRDefault="00D15C89">
            <w:pPr>
              <w:rPr>
                <w:rFonts w:ascii="Arial" w:hAnsi="Arial"/>
                <w:b/>
                <w:bCs/>
                <w:rtl/>
              </w:rPr>
            </w:pPr>
            <w:r w:rsidRPr="00D15C89">
              <w:rPr>
                <w:rFonts w:ascii="Arial" w:hAnsi="Arial" w:hint="cs"/>
                <w:b/>
                <w:bCs/>
                <w:rtl/>
              </w:rPr>
              <w:t>כב' ה</w:t>
            </w:r>
            <w:r w:rsidRPr="00D15C89">
              <w:rPr>
                <w:rFonts w:hint="cs"/>
                <w:b/>
                <w:bCs/>
                <w:rtl/>
              </w:rPr>
              <w:t>שופט</w:t>
            </w:r>
            <w:r w:rsidRPr="00D15C89">
              <w:rPr>
                <w:rFonts w:ascii="Arial" w:hAnsi="Arial" w:hint="cs"/>
                <w:b/>
                <w:bCs/>
                <w:rtl/>
              </w:rPr>
              <w:t xml:space="preserve">  </w:t>
            </w:r>
            <w:r w:rsidRPr="00D15C89">
              <w:rPr>
                <w:rFonts w:hint="cs"/>
                <w:b/>
                <w:bCs/>
                <w:rtl/>
              </w:rPr>
              <w:t>עידו דרויאן</w:t>
            </w:r>
          </w:p>
          <w:p w14:paraId="3267F70B" w14:textId="77777777" w:rsidR="003C3EDF" w:rsidRPr="00D15C89" w:rsidRDefault="003C3EDF">
            <w:pPr>
              <w:rPr>
                <w:b/>
                <w:bCs/>
                <w:rtl/>
              </w:rPr>
            </w:pPr>
          </w:p>
          <w:p w14:paraId="597D3943" w14:textId="77777777" w:rsidR="003C3EDF" w:rsidRPr="00D15C89" w:rsidRDefault="003C3EDF">
            <w:pPr>
              <w:jc w:val="both"/>
              <w:rPr>
                <w:rFonts w:ascii="Arial" w:hAnsi="Arial"/>
                <w:b/>
                <w:bCs/>
              </w:rPr>
            </w:pPr>
          </w:p>
        </w:tc>
      </w:tr>
      <w:tr w:rsidR="003C3EDF" w:rsidRPr="00D15C89" w14:paraId="10911817" w14:textId="77777777">
        <w:trPr>
          <w:trHeight w:val="355"/>
          <w:jc w:val="center"/>
        </w:trPr>
        <w:tc>
          <w:tcPr>
            <w:tcW w:w="923" w:type="dxa"/>
            <w:tcBorders>
              <w:top w:val="nil"/>
              <w:left w:val="nil"/>
              <w:bottom w:val="nil"/>
              <w:right w:val="nil"/>
            </w:tcBorders>
          </w:tcPr>
          <w:p w14:paraId="157B0D32" w14:textId="77777777" w:rsidR="003C3EDF" w:rsidRPr="00D15C89" w:rsidRDefault="00D15C89">
            <w:pPr>
              <w:jc w:val="both"/>
              <w:rPr>
                <w:rFonts w:ascii="Arial" w:hAnsi="Arial"/>
                <w:b/>
                <w:bCs/>
              </w:rPr>
            </w:pPr>
            <w:bookmarkStart w:id="1" w:name="FirstAppellant"/>
            <w:r w:rsidRPr="00D15C89">
              <w:rPr>
                <w:rFonts w:ascii="Arial" w:hAnsi="Arial" w:hint="cs"/>
                <w:b/>
                <w:bCs/>
                <w:rtl/>
              </w:rPr>
              <w:t>בעניין:</w:t>
            </w:r>
          </w:p>
        </w:tc>
        <w:tc>
          <w:tcPr>
            <w:tcW w:w="4126" w:type="dxa"/>
            <w:tcBorders>
              <w:top w:val="nil"/>
              <w:left w:val="nil"/>
              <w:bottom w:val="nil"/>
              <w:right w:val="nil"/>
            </w:tcBorders>
          </w:tcPr>
          <w:p w14:paraId="2CB5FD86" w14:textId="77777777" w:rsidR="003C3EDF" w:rsidRPr="00D15C89" w:rsidRDefault="00D15C89">
            <w:pPr>
              <w:rPr>
                <w:b/>
                <w:bCs/>
              </w:rPr>
            </w:pPr>
            <w:r w:rsidRPr="00D15C89">
              <w:rPr>
                <w:rFonts w:hint="cs"/>
                <w:b/>
                <w:bCs/>
                <w:rtl/>
              </w:rPr>
              <w:t>מדינת ישראל</w:t>
            </w:r>
          </w:p>
        </w:tc>
        <w:tc>
          <w:tcPr>
            <w:tcW w:w="3771" w:type="dxa"/>
            <w:tcBorders>
              <w:top w:val="nil"/>
              <w:left w:val="nil"/>
              <w:bottom w:val="nil"/>
              <w:right w:val="nil"/>
            </w:tcBorders>
          </w:tcPr>
          <w:p w14:paraId="5CCBC6A9" w14:textId="77777777" w:rsidR="003C3EDF" w:rsidRPr="00D15C89" w:rsidRDefault="003C3EDF">
            <w:pPr>
              <w:jc w:val="both"/>
              <w:rPr>
                <w:rFonts w:ascii="Arial" w:hAnsi="Arial"/>
                <w:b/>
                <w:bCs/>
              </w:rPr>
            </w:pPr>
          </w:p>
        </w:tc>
      </w:tr>
      <w:tr w:rsidR="003C3EDF" w:rsidRPr="00D15C89" w14:paraId="17DD5930" w14:textId="77777777">
        <w:trPr>
          <w:trHeight w:val="355"/>
          <w:jc w:val="center"/>
        </w:trPr>
        <w:tc>
          <w:tcPr>
            <w:tcW w:w="923" w:type="dxa"/>
            <w:tcBorders>
              <w:top w:val="nil"/>
              <w:left w:val="nil"/>
              <w:bottom w:val="nil"/>
              <w:right w:val="nil"/>
            </w:tcBorders>
          </w:tcPr>
          <w:p w14:paraId="2955E3E7" w14:textId="77777777" w:rsidR="003C3EDF" w:rsidRPr="00D15C89" w:rsidRDefault="003C3EDF">
            <w:pPr>
              <w:jc w:val="both"/>
              <w:rPr>
                <w:rFonts w:ascii="Arial" w:hAnsi="Arial"/>
                <w:b/>
                <w:bCs/>
                <w:rtl/>
              </w:rPr>
            </w:pPr>
            <w:bookmarkStart w:id="2" w:name="FirstLawyer"/>
            <w:bookmarkEnd w:id="1"/>
          </w:p>
        </w:tc>
        <w:tc>
          <w:tcPr>
            <w:tcW w:w="4126" w:type="dxa"/>
            <w:tcBorders>
              <w:top w:val="nil"/>
              <w:left w:val="nil"/>
              <w:bottom w:val="nil"/>
              <w:right w:val="nil"/>
            </w:tcBorders>
          </w:tcPr>
          <w:p w14:paraId="5F14DB93" w14:textId="77777777" w:rsidR="003C3EDF" w:rsidRPr="00D15C89" w:rsidRDefault="00D15C89">
            <w:pPr>
              <w:jc w:val="both"/>
              <w:rPr>
                <w:rtl/>
              </w:rPr>
            </w:pPr>
            <w:r w:rsidRPr="00D15C89">
              <w:rPr>
                <w:rFonts w:hint="cs"/>
                <w:rtl/>
              </w:rPr>
              <w:t>ע"י ב"כ עו"ד נאוה זרנגר</w:t>
            </w:r>
          </w:p>
        </w:tc>
        <w:tc>
          <w:tcPr>
            <w:tcW w:w="3771" w:type="dxa"/>
            <w:tcBorders>
              <w:top w:val="nil"/>
              <w:left w:val="nil"/>
              <w:bottom w:val="nil"/>
              <w:right w:val="nil"/>
            </w:tcBorders>
          </w:tcPr>
          <w:p w14:paraId="3E387B42" w14:textId="77777777" w:rsidR="003C3EDF" w:rsidRPr="00D15C89" w:rsidRDefault="00D15C89">
            <w:pPr>
              <w:jc w:val="right"/>
              <w:rPr>
                <w:rFonts w:ascii="Arial" w:hAnsi="Arial"/>
                <w:b/>
                <w:bCs/>
                <w:rtl/>
              </w:rPr>
            </w:pPr>
            <w:r w:rsidRPr="00D15C89">
              <w:rPr>
                <w:rFonts w:ascii="Arial" w:hAnsi="Arial" w:hint="cs"/>
                <w:b/>
                <w:bCs/>
                <w:rtl/>
              </w:rPr>
              <w:t>ה</w:t>
            </w:r>
            <w:r w:rsidRPr="00D15C89">
              <w:rPr>
                <w:rFonts w:hint="cs"/>
                <w:b/>
                <w:bCs/>
                <w:rtl/>
              </w:rPr>
              <w:t>מאשימה</w:t>
            </w:r>
          </w:p>
        </w:tc>
      </w:tr>
      <w:bookmarkEnd w:id="2"/>
      <w:tr w:rsidR="003C3EDF" w:rsidRPr="00D15C89" w14:paraId="7FAE74BE" w14:textId="77777777">
        <w:trPr>
          <w:trHeight w:val="355"/>
          <w:jc w:val="center"/>
        </w:trPr>
        <w:tc>
          <w:tcPr>
            <w:tcW w:w="923" w:type="dxa"/>
            <w:tcBorders>
              <w:top w:val="nil"/>
              <w:left w:val="nil"/>
              <w:bottom w:val="nil"/>
              <w:right w:val="nil"/>
            </w:tcBorders>
          </w:tcPr>
          <w:p w14:paraId="21B3417C" w14:textId="77777777" w:rsidR="003C3EDF" w:rsidRPr="00D15C89" w:rsidRDefault="003C3EDF">
            <w:pPr>
              <w:jc w:val="both"/>
              <w:rPr>
                <w:rFonts w:ascii="Arial" w:hAnsi="Arial"/>
                <w:b/>
                <w:bCs/>
                <w:rtl/>
              </w:rPr>
            </w:pPr>
          </w:p>
        </w:tc>
        <w:tc>
          <w:tcPr>
            <w:tcW w:w="7897" w:type="dxa"/>
            <w:gridSpan w:val="2"/>
            <w:tcBorders>
              <w:top w:val="nil"/>
              <w:left w:val="nil"/>
              <w:bottom w:val="nil"/>
              <w:right w:val="nil"/>
            </w:tcBorders>
          </w:tcPr>
          <w:p w14:paraId="74E3EA9D" w14:textId="77777777" w:rsidR="003C3EDF" w:rsidRPr="00D15C89" w:rsidRDefault="003C3EDF">
            <w:pPr>
              <w:jc w:val="center"/>
              <w:rPr>
                <w:rFonts w:ascii="Arial" w:hAnsi="Arial"/>
                <w:b/>
                <w:bCs/>
                <w:rtl/>
              </w:rPr>
            </w:pPr>
          </w:p>
          <w:p w14:paraId="66AC8E8E" w14:textId="77777777" w:rsidR="003C3EDF" w:rsidRPr="00D15C89" w:rsidRDefault="00D15C89">
            <w:pPr>
              <w:jc w:val="center"/>
              <w:rPr>
                <w:rFonts w:ascii="Arial" w:hAnsi="Arial"/>
                <w:b/>
                <w:bCs/>
                <w:rtl/>
              </w:rPr>
            </w:pPr>
            <w:r w:rsidRPr="00D15C89">
              <w:rPr>
                <w:rFonts w:ascii="Arial" w:hAnsi="Arial"/>
                <w:b/>
                <w:bCs/>
                <w:rtl/>
              </w:rPr>
              <w:t>נגד</w:t>
            </w:r>
          </w:p>
          <w:p w14:paraId="04E5D1CE" w14:textId="77777777" w:rsidR="003C3EDF" w:rsidRPr="00D15C89" w:rsidRDefault="003C3EDF">
            <w:pPr>
              <w:jc w:val="both"/>
              <w:rPr>
                <w:rFonts w:ascii="Arial" w:hAnsi="Arial"/>
                <w:b/>
                <w:bCs/>
              </w:rPr>
            </w:pPr>
          </w:p>
        </w:tc>
      </w:tr>
      <w:tr w:rsidR="003C3EDF" w:rsidRPr="00D15C89" w14:paraId="6CB339DF" w14:textId="77777777">
        <w:trPr>
          <w:trHeight w:val="355"/>
          <w:jc w:val="center"/>
        </w:trPr>
        <w:tc>
          <w:tcPr>
            <w:tcW w:w="923" w:type="dxa"/>
            <w:tcBorders>
              <w:top w:val="nil"/>
              <w:left w:val="nil"/>
              <w:bottom w:val="nil"/>
              <w:right w:val="nil"/>
            </w:tcBorders>
          </w:tcPr>
          <w:p w14:paraId="62C1A3F8" w14:textId="77777777" w:rsidR="003C3EDF" w:rsidRPr="00D15C89" w:rsidRDefault="003C3EDF">
            <w:pPr>
              <w:rPr>
                <w:rFonts w:ascii="Arial" w:hAnsi="Arial"/>
                <w:b/>
                <w:bCs/>
                <w:rtl/>
              </w:rPr>
            </w:pPr>
          </w:p>
        </w:tc>
        <w:tc>
          <w:tcPr>
            <w:tcW w:w="4126" w:type="dxa"/>
            <w:tcBorders>
              <w:top w:val="nil"/>
              <w:left w:val="nil"/>
              <w:bottom w:val="nil"/>
              <w:right w:val="nil"/>
            </w:tcBorders>
          </w:tcPr>
          <w:p w14:paraId="39BC402E" w14:textId="77777777" w:rsidR="003C3EDF" w:rsidRPr="00D15C89" w:rsidRDefault="00D15C89">
            <w:pPr>
              <w:rPr>
                <w:b/>
                <w:bCs/>
                <w:rtl/>
              </w:rPr>
            </w:pPr>
            <w:r w:rsidRPr="00D15C89">
              <w:rPr>
                <w:rFonts w:hint="cs"/>
                <w:b/>
                <w:bCs/>
                <w:rtl/>
              </w:rPr>
              <w:t>מרון מרקו לזר</w:t>
            </w:r>
          </w:p>
        </w:tc>
        <w:tc>
          <w:tcPr>
            <w:tcW w:w="3771" w:type="dxa"/>
            <w:tcBorders>
              <w:top w:val="nil"/>
              <w:left w:val="nil"/>
              <w:bottom w:val="nil"/>
              <w:right w:val="nil"/>
            </w:tcBorders>
          </w:tcPr>
          <w:p w14:paraId="05F6EB72" w14:textId="77777777" w:rsidR="003C3EDF" w:rsidRPr="00D15C89" w:rsidRDefault="003C3EDF">
            <w:pPr>
              <w:jc w:val="right"/>
              <w:rPr>
                <w:rFonts w:ascii="Arial" w:hAnsi="Arial"/>
                <w:b/>
                <w:bCs/>
              </w:rPr>
            </w:pPr>
          </w:p>
        </w:tc>
      </w:tr>
      <w:tr w:rsidR="003C3EDF" w:rsidRPr="00D15C89" w14:paraId="557B582E" w14:textId="77777777">
        <w:trPr>
          <w:trHeight w:val="355"/>
          <w:jc w:val="center"/>
        </w:trPr>
        <w:tc>
          <w:tcPr>
            <w:tcW w:w="923" w:type="dxa"/>
            <w:tcBorders>
              <w:top w:val="nil"/>
              <w:left w:val="nil"/>
              <w:bottom w:val="nil"/>
              <w:right w:val="nil"/>
            </w:tcBorders>
          </w:tcPr>
          <w:p w14:paraId="32C00877" w14:textId="77777777" w:rsidR="003C3EDF" w:rsidRPr="00D15C89" w:rsidRDefault="003C3EDF">
            <w:pPr>
              <w:jc w:val="both"/>
              <w:rPr>
                <w:rFonts w:ascii="Arial" w:hAnsi="Arial"/>
                <w:b/>
                <w:bCs/>
                <w:rtl/>
              </w:rPr>
            </w:pPr>
          </w:p>
        </w:tc>
        <w:tc>
          <w:tcPr>
            <w:tcW w:w="4126" w:type="dxa"/>
            <w:tcBorders>
              <w:top w:val="nil"/>
              <w:left w:val="nil"/>
              <w:bottom w:val="nil"/>
              <w:right w:val="nil"/>
            </w:tcBorders>
          </w:tcPr>
          <w:p w14:paraId="0C1178CD" w14:textId="77777777" w:rsidR="003C3EDF" w:rsidRPr="00D15C89" w:rsidRDefault="00D15C89">
            <w:pPr>
              <w:jc w:val="both"/>
              <w:rPr>
                <w:rtl/>
              </w:rPr>
            </w:pPr>
            <w:r w:rsidRPr="00D15C89">
              <w:rPr>
                <w:rFonts w:hint="cs"/>
                <w:rtl/>
              </w:rPr>
              <w:t>ע"י ב"כ עו"ד לירן בקרמן</w:t>
            </w:r>
          </w:p>
        </w:tc>
        <w:tc>
          <w:tcPr>
            <w:tcW w:w="3771" w:type="dxa"/>
            <w:tcBorders>
              <w:top w:val="nil"/>
              <w:left w:val="nil"/>
              <w:bottom w:val="nil"/>
              <w:right w:val="nil"/>
            </w:tcBorders>
          </w:tcPr>
          <w:p w14:paraId="15541376" w14:textId="77777777" w:rsidR="003C3EDF" w:rsidRPr="00D15C89" w:rsidRDefault="00D15C89">
            <w:pPr>
              <w:jc w:val="right"/>
              <w:rPr>
                <w:rFonts w:ascii="Arial" w:hAnsi="Arial"/>
                <w:b/>
                <w:bCs/>
              </w:rPr>
            </w:pPr>
            <w:r w:rsidRPr="00D15C89">
              <w:rPr>
                <w:rFonts w:ascii="Arial" w:hAnsi="Arial" w:hint="cs"/>
                <w:b/>
                <w:bCs/>
                <w:rtl/>
              </w:rPr>
              <w:t>ה</w:t>
            </w:r>
            <w:r w:rsidRPr="00D15C89">
              <w:rPr>
                <w:rFonts w:hint="cs"/>
                <w:b/>
                <w:bCs/>
                <w:rtl/>
              </w:rPr>
              <w:t>נאשם</w:t>
            </w:r>
          </w:p>
        </w:tc>
      </w:tr>
    </w:tbl>
    <w:p w14:paraId="77F2AD08" w14:textId="77777777" w:rsidR="0068167A" w:rsidRDefault="0068167A">
      <w:pPr>
        <w:rPr>
          <w:rtl/>
        </w:rPr>
      </w:pPr>
      <w:bookmarkStart w:id="3" w:name="LawTable"/>
      <w:bookmarkEnd w:id="3"/>
    </w:p>
    <w:p w14:paraId="33E50152" w14:textId="77777777" w:rsidR="0068167A" w:rsidRPr="0068167A" w:rsidRDefault="0068167A" w:rsidP="0068167A">
      <w:pPr>
        <w:spacing w:after="120" w:line="240" w:lineRule="exact"/>
        <w:ind w:left="283" w:hanging="283"/>
        <w:jc w:val="both"/>
        <w:rPr>
          <w:rFonts w:ascii="FrankRuehl" w:hAnsi="FrankRuehl" w:cs="FrankRuehl"/>
          <w:rtl/>
        </w:rPr>
      </w:pPr>
    </w:p>
    <w:p w14:paraId="7370728A" w14:textId="77777777" w:rsidR="0068167A" w:rsidRPr="0068167A" w:rsidRDefault="0068167A" w:rsidP="0068167A">
      <w:pPr>
        <w:spacing w:after="120" w:line="240" w:lineRule="exact"/>
        <w:ind w:left="283" w:hanging="283"/>
        <w:jc w:val="both"/>
        <w:rPr>
          <w:rFonts w:ascii="FrankRuehl" w:hAnsi="FrankRuehl" w:cs="FrankRuehl"/>
          <w:rtl/>
        </w:rPr>
      </w:pPr>
      <w:r w:rsidRPr="0068167A">
        <w:rPr>
          <w:rFonts w:ascii="FrankRuehl" w:hAnsi="FrankRuehl" w:cs="FrankRuehl"/>
          <w:rtl/>
        </w:rPr>
        <w:t xml:space="preserve">חקיקה שאוזכרה: </w:t>
      </w:r>
    </w:p>
    <w:p w14:paraId="3BE70A79" w14:textId="77777777" w:rsidR="0068167A" w:rsidRPr="0068167A" w:rsidRDefault="0068167A" w:rsidP="0068167A">
      <w:pPr>
        <w:spacing w:after="120" w:line="240" w:lineRule="exact"/>
        <w:ind w:left="283" w:hanging="283"/>
        <w:jc w:val="both"/>
        <w:rPr>
          <w:rFonts w:ascii="FrankRuehl" w:hAnsi="FrankRuehl" w:cs="FrankRuehl"/>
          <w:color w:val="0000FF"/>
          <w:u w:val="single"/>
          <w:rtl/>
        </w:rPr>
      </w:pPr>
      <w:hyperlink r:id="rId7" w:history="1">
        <w:r w:rsidRPr="0068167A">
          <w:rPr>
            <w:rStyle w:val="Hyperlink"/>
            <w:rFonts w:ascii="FrankRuehl" w:hAnsi="FrankRuehl" w:cs="FrankRuehl"/>
            <w:rtl/>
          </w:rPr>
          <w:t>פקודת הסמים המסוכנים [נוסח חדש], תשל"ג-1973</w:t>
        </w:r>
      </w:hyperlink>
      <w:r w:rsidRPr="0068167A">
        <w:rPr>
          <w:rFonts w:ascii="FrankRuehl" w:hAnsi="FrankRuehl" w:cs="FrankRuehl"/>
          <w:color w:val="0000FF"/>
          <w:u w:val="single"/>
          <w:rtl/>
        </w:rPr>
        <w:t xml:space="preserve">: סע'  </w:t>
      </w:r>
      <w:hyperlink r:id="rId8" w:history="1">
        <w:r w:rsidRPr="0068167A">
          <w:rPr>
            <w:rStyle w:val="Hyperlink"/>
            <w:rFonts w:ascii="FrankRuehl" w:hAnsi="FrankRuehl" w:cs="FrankRuehl"/>
          </w:rPr>
          <w:t>7(</w:t>
        </w:r>
        <w:r w:rsidRPr="0068167A">
          <w:rPr>
            <w:rStyle w:val="Hyperlink"/>
            <w:rFonts w:ascii="FrankRuehl" w:hAnsi="FrankRuehl" w:cs="FrankRuehl"/>
            <w:rtl/>
          </w:rPr>
          <w:t>א</w:t>
        </w:r>
        <w:r w:rsidRPr="0068167A">
          <w:rPr>
            <w:rStyle w:val="Hyperlink"/>
            <w:rFonts w:ascii="FrankRuehl" w:hAnsi="FrankRuehl" w:cs="FrankRuehl"/>
          </w:rPr>
          <w:t>)</w:t>
        </w:r>
      </w:hyperlink>
      <w:r w:rsidRPr="0068167A">
        <w:rPr>
          <w:rFonts w:ascii="FrankRuehl" w:hAnsi="FrankRuehl" w:cs="FrankRuehl"/>
          <w:color w:val="0000FF"/>
          <w:u w:val="single"/>
          <w:rtl/>
        </w:rPr>
        <w:t xml:space="preserve">, </w:t>
      </w:r>
      <w:hyperlink r:id="rId9" w:history="1">
        <w:r w:rsidRPr="0068167A">
          <w:rPr>
            <w:rStyle w:val="Hyperlink"/>
            <w:rFonts w:ascii="FrankRuehl" w:hAnsi="FrankRuehl" w:cs="FrankRuehl"/>
          </w:rPr>
          <w:t>7(</w:t>
        </w:r>
        <w:r w:rsidRPr="0068167A">
          <w:rPr>
            <w:rStyle w:val="Hyperlink"/>
            <w:rFonts w:ascii="FrankRuehl" w:hAnsi="FrankRuehl" w:cs="FrankRuehl"/>
            <w:rtl/>
          </w:rPr>
          <w:t>ג</w:t>
        </w:r>
        <w:r w:rsidRPr="0068167A">
          <w:rPr>
            <w:rStyle w:val="Hyperlink"/>
            <w:rFonts w:ascii="FrankRuehl" w:hAnsi="FrankRuehl" w:cs="FrankRuehl"/>
          </w:rPr>
          <w:t>)</w:t>
        </w:r>
      </w:hyperlink>
    </w:p>
    <w:p w14:paraId="2989A4FE" w14:textId="77777777" w:rsidR="0068167A" w:rsidRPr="0068167A" w:rsidRDefault="0068167A" w:rsidP="0068167A">
      <w:pPr>
        <w:spacing w:after="120" w:line="240" w:lineRule="exact"/>
        <w:ind w:left="283" w:hanging="283"/>
        <w:jc w:val="both"/>
        <w:rPr>
          <w:rFonts w:ascii="FrankRuehl" w:hAnsi="FrankRuehl" w:cs="FrankRuehl"/>
          <w:color w:val="0000FF"/>
          <w:u w:val="single"/>
          <w:rtl/>
        </w:rPr>
      </w:pPr>
      <w:hyperlink r:id="rId10" w:history="1">
        <w:r w:rsidRPr="0068167A">
          <w:rPr>
            <w:rStyle w:val="Hyperlink"/>
            <w:rFonts w:ascii="FrankRuehl" w:hAnsi="FrankRuehl" w:cs="FrankRuehl"/>
            <w:rtl/>
          </w:rPr>
          <w:t>חוק העונשין, תשל"ז-1977</w:t>
        </w:r>
      </w:hyperlink>
      <w:r w:rsidRPr="0068167A">
        <w:rPr>
          <w:rFonts w:ascii="FrankRuehl" w:hAnsi="FrankRuehl" w:cs="FrankRuehl"/>
          <w:color w:val="0000FF"/>
          <w:u w:val="single"/>
          <w:rtl/>
        </w:rPr>
        <w:t xml:space="preserve">: סע'  </w:t>
      </w:r>
      <w:hyperlink r:id="rId11" w:history="1">
        <w:r w:rsidRPr="0068167A">
          <w:rPr>
            <w:rStyle w:val="Hyperlink"/>
            <w:rFonts w:ascii="FrankRuehl" w:hAnsi="FrankRuehl" w:cs="FrankRuehl"/>
          </w:rPr>
          <w:t>40</w:t>
        </w:r>
        <w:r w:rsidRPr="0068167A">
          <w:rPr>
            <w:rStyle w:val="Hyperlink"/>
            <w:rFonts w:ascii="FrankRuehl" w:hAnsi="FrankRuehl" w:cs="FrankRuehl"/>
            <w:rtl/>
          </w:rPr>
          <w:t>יב</w:t>
        </w:r>
      </w:hyperlink>
      <w:r w:rsidRPr="0068167A">
        <w:rPr>
          <w:rFonts w:ascii="FrankRuehl" w:hAnsi="FrankRuehl" w:cs="FrankRuehl"/>
          <w:color w:val="0000FF"/>
          <w:u w:val="single"/>
          <w:rtl/>
        </w:rPr>
        <w:t xml:space="preserve">, </w:t>
      </w:r>
      <w:hyperlink r:id="rId12" w:history="1">
        <w:r w:rsidRPr="0068167A">
          <w:rPr>
            <w:rStyle w:val="Hyperlink"/>
            <w:rFonts w:ascii="FrankRuehl" w:hAnsi="FrankRuehl" w:cs="FrankRuehl"/>
          </w:rPr>
          <w:t>413</w:t>
        </w:r>
      </w:hyperlink>
    </w:p>
    <w:p w14:paraId="208B605E" w14:textId="77777777" w:rsidR="0068167A" w:rsidRPr="0068167A" w:rsidRDefault="0068167A" w:rsidP="0068167A">
      <w:pPr>
        <w:spacing w:after="120" w:line="240" w:lineRule="exact"/>
        <w:ind w:left="283" w:hanging="283"/>
        <w:jc w:val="both"/>
        <w:rPr>
          <w:rFonts w:ascii="FrankRuehl" w:hAnsi="FrankRuehl" w:cs="FrankRuehl"/>
          <w:rtl/>
        </w:rPr>
      </w:pPr>
    </w:p>
    <w:p w14:paraId="1DFCC38D" w14:textId="77777777" w:rsidR="003C3EDF" w:rsidRPr="00D15C89" w:rsidRDefault="003C3EDF">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C3EDF" w14:paraId="14A5F1E3" w14:textId="77777777">
        <w:trPr>
          <w:trHeight w:val="355"/>
          <w:jc w:val="center"/>
        </w:trPr>
        <w:tc>
          <w:tcPr>
            <w:tcW w:w="8820" w:type="dxa"/>
            <w:tcBorders>
              <w:top w:val="nil"/>
              <w:left w:val="nil"/>
              <w:bottom w:val="nil"/>
              <w:right w:val="nil"/>
            </w:tcBorders>
          </w:tcPr>
          <w:p w14:paraId="04E6C40E" w14:textId="77777777" w:rsidR="00D15C89" w:rsidRPr="00D15C89" w:rsidRDefault="00D15C89" w:rsidP="00D15C89">
            <w:pPr>
              <w:jc w:val="center"/>
              <w:rPr>
                <w:rFonts w:ascii="Arial" w:hAnsi="Arial"/>
                <w:b/>
                <w:bCs/>
                <w:sz w:val="28"/>
                <w:szCs w:val="28"/>
                <w:u w:val="single"/>
                <w:rtl/>
              </w:rPr>
            </w:pPr>
            <w:bookmarkStart w:id="5" w:name="PsakDin" w:colFirst="0" w:colLast="0"/>
            <w:bookmarkEnd w:id="0"/>
            <w:r w:rsidRPr="00D15C89">
              <w:rPr>
                <w:rFonts w:ascii="Arial" w:hAnsi="Arial"/>
                <w:b/>
                <w:bCs/>
                <w:sz w:val="28"/>
                <w:szCs w:val="28"/>
                <w:u w:val="single"/>
                <w:rtl/>
              </w:rPr>
              <w:t>גזר דין</w:t>
            </w:r>
          </w:p>
          <w:p w14:paraId="23FBF9AC" w14:textId="77777777" w:rsidR="003C3EDF" w:rsidRPr="00D15C89" w:rsidRDefault="003C3EDF" w:rsidP="00D15C89">
            <w:pPr>
              <w:jc w:val="center"/>
              <w:rPr>
                <w:rFonts w:ascii="Arial" w:hAnsi="Arial"/>
                <w:bCs/>
                <w:sz w:val="28"/>
                <w:szCs w:val="28"/>
                <w:u w:val="single"/>
                <w:rtl/>
              </w:rPr>
            </w:pPr>
          </w:p>
        </w:tc>
      </w:tr>
      <w:bookmarkEnd w:id="5"/>
    </w:tbl>
    <w:p w14:paraId="3D3D3FFF" w14:textId="77777777" w:rsidR="003C3EDF" w:rsidRDefault="003C3EDF">
      <w:pPr>
        <w:spacing w:line="360" w:lineRule="auto"/>
        <w:jc w:val="both"/>
        <w:rPr>
          <w:rFonts w:ascii="Arial" w:hAnsi="Arial"/>
          <w:rtl/>
        </w:rPr>
      </w:pPr>
    </w:p>
    <w:p w14:paraId="71CCEBC1" w14:textId="77777777" w:rsidR="003C3EDF" w:rsidRDefault="00D15C89">
      <w:pPr>
        <w:spacing w:line="360" w:lineRule="auto"/>
        <w:jc w:val="both"/>
        <w:rPr>
          <w:rFonts w:ascii="Arial" w:hAnsi="Arial"/>
          <w:rtl/>
        </w:rPr>
      </w:pPr>
      <w:bookmarkStart w:id="6" w:name="ABSTRACT_START"/>
      <w:bookmarkEnd w:id="6"/>
      <w:r>
        <w:rPr>
          <w:rFonts w:ascii="Arial" w:hAnsi="Arial" w:hint="cs"/>
          <w:rtl/>
        </w:rPr>
        <w:t xml:space="preserve">ביום 2.7.14 הורשע הנאשם, לאחר הליך הוכחות שהתמצה בהגשת חומר ראיות מוסכם ועדות הנאשם, בעבירות אלו: </w:t>
      </w:r>
    </w:p>
    <w:p w14:paraId="5D7D4E50" w14:textId="77777777" w:rsidR="003C3EDF" w:rsidRDefault="00D15C89">
      <w:pPr>
        <w:spacing w:line="360" w:lineRule="auto"/>
        <w:ind w:left="720" w:hanging="720"/>
        <w:jc w:val="both"/>
        <w:rPr>
          <w:rFonts w:ascii="Arial" w:hAnsi="Arial"/>
          <w:rtl/>
        </w:rPr>
      </w:pPr>
      <w:r>
        <w:rPr>
          <w:rFonts w:ascii="Arial" w:hAnsi="Arial" w:hint="cs"/>
          <w:rtl/>
        </w:rPr>
        <w:t>א.</w:t>
      </w:r>
      <w:r>
        <w:rPr>
          <w:rFonts w:ascii="Arial" w:hAnsi="Arial" w:hint="cs"/>
          <w:rtl/>
        </w:rPr>
        <w:tab/>
        <w:t xml:space="preserve">החזקת סם מסוכן שלא לצריכה עצמית, לפי </w:t>
      </w:r>
      <w:hyperlink r:id="rId13" w:history="1">
        <w:r w:rsidR="0068167A" w:rsidRPr="0068167A">
          <w:rPr>
            <w:rStyle w:val="Hyperlink"/>
            <w:rFonts w:ascii="Arial" w:hAnsi="Arial" w:hint="eastAsia"/>
            <w:rtl/>
          </w:rPr>
          <w:t>סעיף</w:t>
        </w:r>
        <w:r w:rsidR="0068167A" w:rsidRPr="0068167A">
          <w:rPr>
            <w:rStyle w:val="Hyperlink"/>
            <w:rFonts w:ascii="Arial" w:hAnsi="Arial"/>
            <w:rtl/>
          </w:rPr>
          <w:t xml:space="preserve"> 7(א)</w:t>
        </w:r>
      </w:hyperlink>
      <w:r>
        <w:rPr>
          <w:rFonts w:ascii="Arial" w:hAnsi="Arial" w:hint="cs"/>
          <w:rtl/>
        </w:rPr>
        <w:t xml:space="preserve"> בצירוף </w:t>
      </w:r>
      <w:hyperlink r:id="rId14" w:history="1">
        <w:r w:rsidR="0068167A" w:rsidRPr="0068167A">
          <w:rPr>
            <w:rStyle w:val="Hyperlink"/>
            <w:rFonts w:ascii="Arial" w:hAnsi="Arial" w:hint="eastAsia"/>
            <w:rtl/>
          </w:rPr>
          <w:t>סעיף</w:t>
        </w:r>
        <w:r w:rsidR="0068167A" w:rsidRPr="0068167A">
          <w:rPr>
            <w:rStyle w:val="Hyperlink"/>
            <w:rFonts w:ascii="Arial" w:hAnsi="Arial"/>
            <w:rtl/>
          </w:rPr>
          <w:t xml:space="preserve"> 7(ג)</w:t>
        </w:r>
      </w:hyperlink>
      <w:r>
        <w:rPr>
          <w:rFonts w:ascii="Arial" w:hAnsi="Arial" w:hint="cs"/>
          <w:rtl/>
        </w:rPr>
        <w:t xml:space="preserve"> רישא ל</w:t>
      </w:r>
      <w:hyperlink r:id="rId15" w:history="1">
        <w:r w:rsidRPr="00D15C89">
          <w:rPr>
            <w:rFonts w:ascii="Arial" w:hAnsi="Arial"/>
            <w:color w:val="0000FF"/>
            <w:u w:val="single"/>
            <w:rtl/>
          </w:rPr>
          <w:t>פקודת הסמים המסוכנים</w:t>
        </w:r>
      </w:hyperlink>
      <w:r>
        <w:rPr>
          <w:rFonts w:ascii="Arial" w:hAnsi="Arial" w:hint="cs"/>
          <w:rtl/>
        </w:rPr>
        <w:t xml:space="preserve"> [נ"ח], תשל"ג-1973;</w:t>
      </w:r>
    </w:p>
    <w:p w14:paraId="2B322F00" w14:textId="77777777" w:rsidR="003C3EDF" w:rsidRDefault="00D15C89">
      <w:pPr>
        <w:spacing w:line="360" w:lineRule="auto"/>
        <w:ind w:left="720" w:hanging="720"/>
        <w:jc w:val="both"/>
        <w:rPr>
          <w:rFonts w:ascii="Arial" w:hAnsi="Arial"/>
          <w:rtl/>
        </w:rPr>
      </w:pPr>
      <w:bookmarkStart w:id="7" w:name="ABSTRACT_END"/>
      <w:bookmarkEnd w:id="7"/>
      <w:r>
        <w:rPr>
          <w:rFonts w:ascii="Arial" w:hAnsi="Arial" w:hint="cs"/>
          <w:rtl/>
        </w:rPr>
        <w:t xml:space="preserve">ב. </w:t>
      </w:r>
      <w:r>
        <w:rPr>
          <w:rFonts w:ascii="Arial" w:hAnsi="Arial" w:hint="cs"/>
          <w:rtl/>
        </w:rPr>
        <w:tab/>
        <w:t xml:space="preserve">החזקת נכס החשוד כגנוב, לפי </w:t>
      </w:r>
      <w:hyperlink r:id="rId16" w:history="1">
        <w:r w:rsidR="0068167A" w:rsidRPr="0068167A">
          <w:rPr>
            <w:rStyle w:val="Hyperlink"/>
            <w:rFonts w:ascii="Arial" w:hAnsi="Arial" w:hint="eastAsia"/>
            <w:rtl/>
          </w:rPr>
          <w:t>סעיף</w:t>
        </w:r>
        <w:r w:rsidR="0068167A" w:rsidRPr="0068167A">
          <w:rPr>
            <w:rStyle w:val="Hyperlink"/>
            <w:rFonts w:ascii="Arial" w:hAnsi="Arial"/>
            <w:rtl/>
          </w:rPr>
          <w:t xml:space="preserve"> 413</w:t>
        </w:r>
      </w:hyperlink>
      <w:r>
        <w:rPr>
          <w:rFonts w:ascii="Arial" w:hAnsi="Arial" w:hint="cs"/>
          <w:rtl/>
        </w:rPr>
        <w:t xml:space="preserve"> ל</w:t>
      </w:r>
      <w:hyperlink r:id="rId17" w:history="1">
        <w:r w:rsidRPr="00D15C89">
          <w:rPr>
            <w:rFonts w:ascii="Arial" w:hAnsi="Arial"/>
            <w:color w:val="0000FF"/>
            <w:u w:val="single"/>
            <w:rtl/>
          </w:rPr>
          <w:t>חוק העונשין</w:t>
        </w:r>
      </w:hyperlink>
      <w:r>
        <w:rPr>
          <w:rFonts w:ascii="Arial" w:hAnsi="Arial" w:hint="cs"/>
          <w:rtl/>
        </w:rPr>
        <w:t>, תשל"ז-1977.</w:t>
      </w:r>
    </w:p>
    <w:p w14:paraId="3F41E7F8" w14:textId="77777777" w:rsidR="003C3EDF" w:rsidRDefault="003C3EDF">
      <w:pPr>
        <w:spacing w:line="360" w:lineRule="auto"/>
        <w:jc w:val="both"/>
        <w:rPr>
          <w:rFonts w:ascii="Arial" w:hAnsi="Arial"/>
          <w:rtl/>
        </w:rPr>
      </w:pPr>
    </w:p>
    <w:p w14:paraId="5E6CEE2F" w14:textId="77777777" w:rsidR="003C3EDF" w:rsidRDefault="00D15C89">
      <w:pPr>
        <w:spacing w:line="360" w:lineRule="auto"/>
        <w:jc w:val="both"/>
        <w:rPr>
          <w:rFonts w:ascii="Arial" w:hAnsi="Arial"/>
          <w:rtl/>
        </w:rPr>
      </w:pPr>
      <w:r>
        <w:rPr>
          <w:rFonts w:ascii="Arial" w:hAnsi="Arial" w:hint="cs"/>
          <w:rtl/>
        </w:rPr>
        <w:t xml:space="preserve">בעניינו של הנאשם התקבל תסקיר שירות המבחן מיום 4.2.15. </w:t>
      </w:r>
    </w:p>
    <w:p w14:paraId="13FA59CB" w14:textId="77777777" w:rsidR="003C3EDF" w:rsidRDefault="003C3EDF">
      <w:pPr>
        <w:spacing w:line="360" w:lineRule="auto"/>
        <w:jc w:val="both"/>
        <w:rPr>
          <w:rtl/>
        </w:rPr>
      </w:pPr>
    </w:p>
    <w:p w14:paraId="065376A0" w14:textId="77777777" w:rsidR="003C3EDF" w:rsidRDefault="00D15C89">
      <w:pPr>
        <w:spacing w:line="360" w:lineRule="auto"/>
        <w:jc w:val="both"/>
        <w:rPr>
          <w:b/>
          <w:bCs/>
          <w:u w:val="single"/>
          <w:rtl/>
        </w:rPr>
      </w:pPr>
      <w:r>
        <w:rPr>
          <w:rFonts w:hint="cs"/>
          <w:b/>
          <w:bCs/>
          <w:u w:val="single"/>
          <w:rtl/>
        </w:rPr>
        <w:t>מעשי הנאשם:</w:t>
      </w:r>
    </w:p>
    <w:p w14:paraId="4AFA7C3D" w14:textId="77777777" w:rsidR="003C3EDF" w:rsidRDefault="00D15C89">
      <w:pPr>
        <w:pStyle w:val="a6"/>
        <w:numPr>
          <w:ilvl w:val="0"/>
          <w:numId w:val="1"/>
        </w:numPr>
        <w:spacing w:line="360" w:lineRule="auto"/>
        <w:jc w:val="both"/>
      </w:pPr>
      <w:r>
        <w:rPr>
          <w:rFonts w:hint="cs"/>
          <w:rtl/>
        </w:rPr>
        <w:t>בתקופה הרלוונטית החזיק הנאשם בקיוסק בתל-אביב.</w:t>
      </w:r>
    </w:p>
    <w:p w14:paraId="067D1F22" w14:textId="77777777" w:rsidR="003C3EDF" w:rsidRDefault="00D15C89">
      <w:pPr>
        <w:pStyle w:val="a6"/>
        <w:numPr>
          <w:ilvl w:val="0"/>
          <w:numId w:val="1"/>
        </w:numPr>
        <w:spacing w:line="360" w:lineRule="auto"/>
        <w:jc w:val="both"/>
      </w:pPr>
      <w:r>
        <w:rPr>
          <w:rFonts w:hint="cs"/>
          <w:rtl/>
        </w:rPr>
        <w:t xml:space="preserve">ביום 2.12.10, בפשיטה משטרתית, התגלה בקיוסק חשיש במשקל כולל של </w:t>
      </w:r>
      <w:smartTag w:uri="urn:schemas-microsoft-com:office:smarttags" w:element="metricconverter">
        <w:smartTagPr>
          <w:attr w:name="ProductID" w:val="950.10 גרם"/>
        </w:smartTagPr>
        <w:r>
          <w:rPr>
            <w:rFonts w:hint="cs"/>
            <w:rtl/>
          </w:rPr>
          <w:t>950.10 גרם</w:t>
        </w:r>
      </w:smartTag>
      <w:r>
        <w:rPr>
          <w:rFonts w:hint="cs"/>
          <w:rtl/>
        </w:rPr>
        <w:t xml:space="preserve"> נטו, מחולק לעשר 'פלטות' שהוסלקו במעטפת הפלסטיק של צנרת החשמל לאורך קיר הקיוסק. טענת הנאשם כי החזיק בסם לצריכה עצמית נדחתה, ונקבע כי החזיק בו שלא לצריכה עצמית.</w:t>
      </w:r>
    </w:p>
    <w:p w14:paraId="09200F35" w14:textId="77777777" w:rsidR="003C3EDF" w:rsidRDefault="00D15C89">
      <w:pPr>
        <w:pStyle w:val="a6"/>
        <w:numPr>
          <w:ilvl w:val="0"/>
          <w:numId w:val="1"/>
        </w:numPr>
        <w:spacing w:line="360" w:lineRule="auto"/>
        <w:jc w:val="both"/>
        <w:rPr>
          <w:rtl/>
        </w:rPr>
      </w:pPr>
      <w:r>
        <w:rPr>
          <w:rFonts w:hint="cs"/>
          <w:rtl/>
        </w:rPr>
        <w:lastRenderedPageBreak/>
        <w:t>בנוסף, התגלה בקיוסק רכוש החשוד כגנוב, שעיקרו פריטי לבוש של מותגים</w:t>
      </w:r>
      <w:r>
        <w:rPr>
          <w:rStyle w:val="a9"/>
          <w:rtl/>
        </w:rPr>
        <w:footnoteReference w:id="1"/>
      </w:r>
      <w:r>
        <w:rPr>
          <w:rFonts w:hint="cs"/>
          <w:rtl/>
        </w:rPr>
        <w:t xml:space="preserve"> </w:t>
      </w:r>
      <w:r>
        <w:rPr>
          <w:rtl/>
        </w:rPr>
        <w:t>–</w:t>
      </w:r>
      <w:r>
        <w:rPr>
          <w:rFonts w:hint="cs"/>
          <w:rtl/>
        </w:rPr>
        <w:t xml:space="preserve"> 48 חליפות "אדידס", 53 סריגים "טומי הילפיגר" ושלושה זוגות נעלי גברים.</w:t>
      </w:r>
    </w:p>
    <w:p w14:paraId="2DF40C0B" w14:textId="77777777" w:rsidR="003C3EDF" w:rsidRDefault="003C3EDF">
      <w:pPr>
        <w:spacing w:line="360" w:lineRule="auto"/>
        <w:jc w:val="both"/>
        <w:rPr>
          <w:rtl/>
        </w:rPr>
      </w:pPr>
    </w:p>
    <w:p w14:paraId="067EC6C9" w14:textId="77777777" w:rsidR="003C3EDF" w:rsidRDefault="00D15C89">
      <w:pPr>
        <w:spacing w:line="360" w:lineRule="auto"/>
        <w:jc w:val="both"/>
        <w:rPr>
          <w:b/>
          <w:bCs/>
          <w:u w:val="single"/>
          <w:rtl/>
        </w:rPr>
      </w:pPr>
      <w:r>
        <w:rPr>
          <w:rFonts w:hint="cs"/>
          <w:b/>
          <w:bCs/>
          <w:u w:val="single"/>
          <w:rtl/>
        </w:rPr>
        <w:t>נסיבות העבירה של החזקת סם מסוכן - מתחם העונש ההולם:</w:t>
      </w:r>
    </w:p>
    <w:p w14:paraId="489CB6C1" w14:textId="77777777" w:rsidR="003C3EDF" w:rsidRDefault="00D15C89">
      <w:pPr>
        <w:pStyle w:val="a6"/>
        <w:numPr>
          <w:ilvl w:val="0"/>
          <w:numId w:val="2"/>
        </w:numPr>
        <w:spacing w:line="360" w:lineRule="auto"/>
        <w:jc w:val="both"/>
      </w:pPr>
      <w:r>
        <w:rPr>
          <w:rtl/>
        </w:rPr>
        <w:t>הפסיקה חזרה וקבעה, בכל דרגות בתי המשפט, את כובד משקלם של הערכים החברתיים המוגנים בעבירות הסמים ואת חומרת הפגיעה בהם על ידי עברייני הסמים. מדובר בנגע האוכל בחברה בכל פה, משחית את הגוף ואת הנפש, ושולח גרורות בדמות עבירות אלימות ורכוש חמורות גם לאלו שאינם מעורבים בסחר בסם ובצריכתו. זאת, עוד טרם שנזכיר את האומללות הפוקדת את משפחות הצרכנים ואת השימוש ברווחי הסמים למימונם של ארגוני פשיעה ושל כל סוגי העבריינות הקשה.</w:t>
      </w:r>
    </w:p>
    <w:p w14:paraId="3F1BEA9F" w14:textId="77777777" w:rsidR="003C3EDF" w:rsidRDefault="00D15C89">
      <w:pPr>
        <w:pStyle w:val="a6"/>
        <w:numPr>
          <w:ilvl w:val="0"/>
          <w:numId w:val="2"/>
        </w:numPr>
        <w:spacing w:line="360" w:lineRule="auto"/>
        <w:jc w:val="both"/>
      </w:pPr>
      <w:r>
        <w:rPr>
          <w:rFonts w:hint="cs"/>
          <w:rtl/>
        </w:rPr>
        <w:t>במקרה דנן מדובר בסם 'קל' מחד גיסא, אך מאידך גיסא הכמות ניכרת ומקום המצאות הסם בקיוסק מעיד על זמינותו הפוטנציאלית להפצה. לפיכך יש לקבוע כי הנזק שנגרם הנו עצם הנעת גלגלי הסחר בסם (שהלא הנאשם רכש את הסם מאחר ובכך תרם למימון הפעילות העבריינית) ואילו הנזק הפוטנציאלי טמון באפשרות הפצת הסם, שנמנעה.</w:t>
      </w:r>
    </w:p>
    <w:p w14:paraId="2D04ADCE" w14:textId="77777777" w:rsidR="003C3EDF" w:rsidRDefault="00D15C89">
      <w:pPr>
        <w:pStyle w:val="a6"/>
        <w:numPr>
          <w:ilvl w:val="0"/>
          <w:numId w:val="2"/>
        </w:numPr>
        <w:spacing w:line="360" w:lineRule="auto"/>
        <w:jc w:val="both"/>
      </w:pPr>
      <w:r>
        <w:rPr>
          <w:rFonts w:hint="cs"/>
          <w:rtl/>
        </w:rPr>
        <w:t xml:space="preserve">העבירה בוצעה באופן מתוכנן, תוך הסלקה "מקצוענית" של הסם. </w:t>
      </w:r>
      <w:r>
        <w:rPr>
          <w:rtl/>
        </w:rPr>
        <w:t xml:space="preserve">לעניין "מקצוענות" הסלקתם של סמים כנסיבה המעידה על החזקה למטרת סחר, ראו </w:t>
      </w:r>
      <w:hyperlink r:id="rId18" w:history="1">
        <w:r w:rsidRPr="00D15C89">
          <w:rPr>
            <w:color w:val="0000FF"/>
            <w:u w:val="single"/>
            <w:rtl/>
          </w:rPr>
          <w:t>ע"פ 20374-11-13</w:t>
        </w:r>
      </w:hyperlink>
      <w:r>
        <w:rPr>
          <w:rtl/>
        </w:rPr>
        <w:t xml:space="preserve"> </w:t>
      </w:r>
      <w:r>
        <w:rPr>
          <w:b/>
          <w:bCs/>
          <w:rtl/>
        </w:rPr>
        <w:t>לוי נ' מ.י.</w:t>
      </w:r>
      <w:r>
        <w:rPr>
          <w:rtl/>
        </w:rPr>
        <w:t xml:space="preserve"> (2014), שאושר </w:t>
      </w:r>
      <w:r>
        <w:rPr>
          <w:rFonts w:hint="cs"/>
          <w:rtl/>
        </w:rPr>
        <w:t>ב</w:t>
      </w:r>
      <w:hyperlink r:id="rId19" w:history="1">
        <w:r w:rsidRPr="00D15C89">
          <w:rPr>
            <w:color w:val="0000FF"/>
            <w:u w:val="single"/>
            <w:rtl/>
          </w:rPr>
          <w:t>רע"פ 747/14</w:t>
        </w:r>
      </w:hyperlink>
      <w:r>
        <w:rPr>
          <w:rFonts w:hint="cs"/>
          <w:rtl/>
        </w:rPr>
        <w:t xml:space="preserve"> </w:t>
      </w:r>
      <w:r>
        <w:rPr>
          <w:b/>
          <w:bCs/>
          <w:rtl/>
        </w:rPr>
        <w:t>לוי נ' מ.י.</w:t>
      </w:r>
      <w:r>
        <w:rPr>
          <w:rtl/>
        </w:rPr>
        <w:t xml:space="preserve"> (2014)</w:t>
      </w:r>
      <w:r>
        <w:rPr>
          <w:rFonts w:hint="cs"/>
          <w:rtl/>
        </w:rPr>
        <w:t>.</w:t>
      </w:r>
    </w:p>
    <w:p w14:paraId="278C7BB9" w14:textId="77777777" w:rsidR="003C3EDF" w:rsidRDefault="00D15C89">
      <w:pPr>
        <w:pStyle w:val="a6"/>
        <w:numPr>
          <w:ilvl w:val="0"/>
          <w:numId w:val="2"/>
        </w:numPr>
        <w:spacing w:line="360" w:lineRule="auto"/>
        <w:jc w:val="both"/>
      </w:pPr>
      <w:r>
        <w:rPr>
          <w:rFonts w:hint="cs"/>
          <w:rtl/>
        </w:rPr>
        <w:t>משנדחו הסבריו של הנאשם ובאין הסבר אחר, יש לקבוע כי העבירה נעשתה למטרת בצע, כלומר רווחים עתידיים מהסם.</w:t>
      </w:r>
    </w:p>
    <w:p w14:paraId="53733169" w14:textId="77777777" w:rsidR="003C3EDF" w:rsidRDefault="00D15C89">
      <w:pPr>
        <w:pStyle w:val="a6"/>
        <w:numPr>
          <w:ilvl w:val="0"/>
          <w:numId w:val="2"/>
        </w:numPr>
        <w:spacing w:line="360" w:lineRule="auto"/>
        <w:jc w:val="both"/>
      </w:pPr>
      <w:r>
        <w:rPr>
          <w:rFonts w:hint="cs"/>
          <w:rtl/>
        </w:rPr>
        <w:t xml:space="preserve">הענישה המקובלת מקדמת-דנא בעבירות החזקת קנביס לסוגיו שלא לצריכה עצמית, בכמויות הקרובות לקילוגרם אחד (אחד המרבה ואחד הממעיט), הנה של מאסר בפועל על-דרך של כליאה-ממש לתקופות משמעותיות. כך למשל, בגין החזקת במשקל </w:t>
      </w:r>
      <w:smartTag w:uri="urn:schemas-microsoft-com:office:smarttags" w:element="metricconverter">
        <w:smartTagPr>
          <w:attr w:name="ProductID" w:val="584 גרם"/>
        </w:smartTagPr>
        <w:r>
          <w:rPr>
            <w:rFonts w:hint="cs"/>
            <w:rtl/>
          </w:rPr>
          <w:t>584 גרם</w:t>
        </w:r>
      </w:smartTag>
      <w:r>
        <w:rPr>
          <w:rFonts w:hint="cs"/>
          <w:rtl/>
        </w:rPr>
        <w:t xml:space="preserve"> חשיש בנסיבות קרובות לסחר, נדון נאשם צעיר, בעל עבר פלילי, שהודה בעבירה ל-15 חודשי מאסר בפועל וענישה נלווית (</w:t>
      </w:r>
      <w:hyperlink r:id="rId20" w:history="1">
        <w:r w:rsidRPr="00D15C89">
          <w:rPr>
            <w:color w:val="0000FF"/>
            <w:u w:val="single"/>
            <w:rtl/>
          </w:rPr>
          <w:t>ת"פ (מחוזי חיפה) 27305-01-12</w:t>
        </w:r>
      </w:hyperlink>
      <w:r>
        <w:rPr>
          <w:rFonts w:hint="cs"/>
          <w:rtl/>
        </w:rPr>
        <w:t xml:space="preserve"> </w:t>
      </w:r>
      <w:r>
        <w:rPr>
          <w:rFonts w:hint="cs"/>
          <w:b/>
          <w:bCs/>
          <w:rtl/>
        </w:rPr>
        <w:t>מ.י. נ' אברומד</w:t>
      </w:r>
      <w:r>
        <w:rPr>
          <w:rFonts w:hint="cs"/>
          <w:rtl/>
        </w:rPr>
        <w:t xml:space="preserve"> (2012)); בגין אחזקת כקילו חשיש נדון נאשם ללא עבר פלילי ועם נסיבות חיים קשות ל-7 חודשי מאסר בפועל (</w:t>
      </w:r>
      <w:hyperlink r:id="rId21" w:history="1">
        <w:r w:rsidRPr="00D15C89">
          <w:rPr>
            <w:color w:val="0000FF"/>
            <w:u w:val="single"/>
            <w:rtl/>
          </w:rPr>
          <w:t>ת"פ (שלום פ"ת) 3616/06</w:t>
        </w:r>
      </w:hyperlink>
      <w:r>
        <w:rPr>
          <w:rFonts w:hint="cs"/>
          <w:rtl/>
        </w:rPr>
        <w:t xml:space="preserve"> </w:t>
      </w:r>
      <w:r>
        <w:rPr>
          <w:rFonts w:hint="cs"/>
          <w:b/>
          <w:bCs/>
          <w:rtl/>
        </w:rPr>
        <w:t>מ.י. נ' כהן</w:t>
      </w:r>
      <w:r>
        <w:rPr>
          <w:rFonts w:hint="cs"/>
          <w:rtl/>
        </w:rPr>
        <w:t xml:space="preserve"> (2007)). הענישה המקובלת תואמת אפוא למדיניות הראויה. </w:t>
      </w:r>
    </w:p>
    <w:p w14:paraId="053B74BF" w14:textId="77777777" w:rsidR="003C3EDF" w:rsidRDefault="00D15C89">
      <w:pPr>
        <w:pStyle w:val="a6"/>
        <w:numPr>
          <w:ilvl w:val="0"/>
          <w:numId w:val="2"/>
        </w:numPr>
        <w:spacing w:line="360" w:lineRule="auto"/>
        <w:jc w:val="both"/>
      </w:pPr>
      <w:r>
        <w:rPr>
          <w:rFonts w:hint="cs"/>
          <w:rtl/>
        </w:rPr>
        <w:t>במקרה דנן, בו הוחזק הסם מחולק ל"פלטות" בקיוסק, בנסיבות המתוארות, יש לדבוק במדיניות הנוהגת ולקבוע מתחם עונש הולם שינוע בין שבעה ל-18 חודשי מאסר בפועל, כעונש עיקרי.</w:t>
      </w:r>
    </w:p>
    <w:p w14:paraId="54FA7091" w14:textId="77777777" w:rsidR="003C3EDF" w:rsidRDefault="003C3EDF">
      <w:pPr>
        <w:spacing w:line="360" w:lineRule="auto"/>
        <w:jc w:val="both"/>
        <w:rPr>
          <w:rtl/>
        </w:rPr>
      </w:pPr>
    </w:p>
    <w:p w14:paraId="26BD58D2" w14:textId="77777777" w:rsidR="003C3EDF" w:rsidRDefault="00D15C89">
      <w:pPr>
        <w:spacing w:line="360" w:lineRule="auto"/>
        <w:jc w:val="both"/>
        <w:rPr>
          <w:b/>
          <w:bCs/>
          <w:u w:val="single"/>
          <w:rtl/>
        </w:rPr>
      </w:pPr>
      <w:r>
        <w:rPr>
          <w:rFonts w:hint="cs"/>
          <w:b/>
          <w:bCs/>
          <w:u w:val="single"/>
          <w:rtl/>
        </w:rPr>
        <w:t xml:space="preserve">נסיבות העבירה של החזקת נכס החשוד כגנוב </w:t>
      </w:r>
      <w:r>
        <w:rPr>
          <w:b/>
          <w:bCs/>
          <w:u w:val="single"/>
          <w:rtl/>
        </w:rPr>
        <w:t>–</w:t>
      </w:r>
      <w:r>
        <w:rPr>
          <w:rFonts w:hint="cs"/>
          <w:b/>
          <w:bCs/>
          <w:u w:val="single"/>
          <w:rtl/>
        </w:rPr>
        <w:t xml:space="preserve"> מתחם העונש ההולם:</w:t>
      </w:r>
    </w:p>
    <w:p w14:paraId="49054A94" w14:textId="77777777" w:rsidR="003C3EDF" w:rsidRDefault="00D15C89">
      <w:pPr>
        <w:spacing w:line="360" w:lineRule="auto"/>
        <w:jc w:val="both"/>
        <w:rPr>
          <w:rtl/>
        </w:rPr>
      </w:pPr>
      <w:r>
        <w:rPr>
          <w:rFonts w:hint="cs"/>
          <w:rtl/>
        </w:rPr>
        <w:t xml:space="preserve">בנסיבות העניין </w:t>
      </w:r>
      <w:r>
        <w:rPr>
          <w:rtl/>
        </w:rPr>
        <w:t>–</w:t>
      </w:r>
      <w:r>
        <w:rPr>
          <w:rFonts w:hint="cs"/>
          <w:rtl/>
        </w:rPr>
        <w:t xml:space="preserve"> החזקת רכוש חשוד בכמות לא-גדולה ובשווי לא-רב (שהלא מדובר בזיופי מותגים), והגם שלמטרות מכירה </w:t>
      </w:r>
      <w:r>
        <w:rPr>
          <w:rtl/>
        </w:rPr>
        <w:t>–</w:t>
      </w:r>
      <w:r>
        <w:rPr>
          <w:rFonts w:hint="cs"/>
          <w:rtl/>
        </w:rPr>
        <w:t xml:space="preserve"> ראוי לאחוז במתחם המקובל שעיקרו מאסר מותנה, בצירוף </w:t>
      </w:r>
      <w:r>
        <w:rPr>
          <w:rFonts w:hint="cs"/>
          <w:rtl/>
        </w:rPr>
        <w:lastRenderedPageBreak/>
        <w:t>קנס או בלעדיו. הצדדים עצמם לא טענו בעניין זה, שאכן לא ישפיע על העונש פרט לעבירות התנאי שיוטל.</w:t>
      </w:r>
    </w:p>
    <w:p w14:paraId="6B0AE4E2" w14:textId="77777777" w:rsidR="003C3EDF" w:rsidRDefault="003C3EDF">
      <w:pPr>
        <w:spacing w:line="360" w:lineRule="auto"/>
        <w:jc w:val="both"/>
        <w:rPr>
          <w:rtl/>
        </w:rPr>
      </w:pPr>
    </w:p>
    <w:p w14:paraId="1BFB9921" w14:textId="77777777" w:rsidR="003C3EDF" w:rsidRDefault="00D15C89">
      <w:pPr>
        <w:spacing w:line="360" w:lineRule="auto"/>
        <w:jc w:val="both"/>
        <w:rPr>
          <w:b/>
          <w:bCs/>
          <w:u w:val="single"/>
          <w:rtl/>
        </w:rPr>
      </w:pPr>
      <w:r>
        <w:rPr>
          <w:rFonts w:hint="cs"/>
          <w:b/>
          <w:bCs/>
          <w:u w:val="single"/>
          <w:rtl/>
        </w:rPr>
        <w:t>טעמי שיקום לא יביאו לחריגת העונש מהמתחם שנקבע לעבירת הסמים:</w:t>
      </w:r>
    </w:p>
    <w:p w14:paraId="1E2E578A" w14:textId="77777777" w:rsidR="003C3EDF" w:rsidRDefault="00D15C89">
      <w:pPr>
        <w:pStyle w:val="a6"/>
        <w:numPr>
          <w:ilvl w:val="0"/>
          <w:numId w:val="3"/>
        </w:numPr>
        <w:spacing w:line="360" w:lineRule="auto"/>
        <w:jc w:val="both"/>
      </w:pPr>
      <w:r>
        <w:rPr>
          <w:rFonts w:hint="cs"/>
          <w:rtl/>
        </w:rPr>
        <w:t xml:space="preserve">הנאשם, יליד 1979, כבן 35 כיום, נשוי ואב לשלושה ילדים, כשאשתו בהריון. הנאשם סגר זה-מכבר את הקיוסק שניהל וכיום הוא מתפרנס כשליח בחברת שליחויות. </w:t>
      </w:r>
    </w:p>
    <w:p w14:paraId="72E106B9" w14:textId="77777777" w:rsidR="003C3EDF" w:rsidRDefault="00D15C89">
      <w:pPr>
        <w:pStyle w:val="a6"/>
        <w:numPr>
          <w:ilvl w:val="0"/>
          <w:numId w:val="3"/>
        </w:numPr>
        <w:spacing w:line="360" w:lineRule="auto"/>
        <w:jc w:val="both"/>
      </w:pPr>
      <w:r>
        <w:rPr>
          <w:rFonts w:hint="cs"/>
          <w:rtl/>
        </w:rPr>
        <w:t xml:space="preserve">לחובת הנאשם עבר פלילי שעיקרו אינו רלוונטי לענייננו, והוא רחוק למדי בזמן </w:t>
      </w:r>
      <w:r>
        <w:rPr>
          <w:rtl/>
        </w:rPr>
        <w:t>–</w:t>
      </w:r>
      <w:r>
        <w:rPr>
          <w:rFonts w:hint="cs"/>
          <w:rtl/>
        </w:rPr>
        <w:t xml:space="preserve"> שתי עבירות של החזקת מקום להימורים בשנים 20006 ו-2007, עבירה של החזקת אגרופן או סכין שלא למטרה כשרה בשנת 2010, ועבירה על פקודת זכויות יוצרים בשנת 2011.</w:t>
      </w:r>
    </w:p>
    <w:p w14:paraId="3DCBCCE3" w14:textId="77777777" w:rsidR="003C3EDF" w:rsidRDefault="00D15C89">
      <w:pPr>
        <w:pStyle w:val="a6"/>
        <w:numPr>
          <w:ilvl w:val="0"/>
          <w:numId w:val="3"/>
        </w:numPr>
        <w:spacing w:line="360" w:lineRule="auto"/>
        <w:jc w:val="both"/>
      </w:pPr>
      <w:r>
        <w:rPr>
          <w:rFonts w:hint="cs"/>
          <w:rtl/>
        </w:rPr>
        <w:t>מתסקיר שירות המבחן ומדברי הנאשם עלו הנתונים הבאים:</w:t>
      </w:r>
    </w:p>
    <w:p w14:paraId="4E7FE6AC" w14:textId="77777777" w:rsidR="003C3EDF" w:rsidRDefault="00D15C89">
      <w:pPr>
        <w:spacing w:line="360" w:lineRule="auto"/>
        <w:ind w:left="360"/>
        <w:jc w:val="both"/>
        <w:rPr>
          <w:rtl/>
        </w:rPr>
      </w:pPr>
      <w:r>
        <w:rPr>
          <w:rFonts w:hint="cs"/>
          <w:rtl/>
        </w:rPr>
        <w:t>מוצא הנאשם ממשפחה בה חווה אלימות קשה מצד אביו כלפי אמו, שהובילה לבריחתם למקלט לנשים מוכות ולגירושין. האם נישאה בשנית והנאשם רואה בבעלה השני את אביו. הנאשם סיים 12 שנות לימוד בפנימייה צבאית ושירות צבאי מלא, ולאחר מכן פתח את הקיוסק, אותו סגר עקב התנהלות כושלת שהותירה אותו עם חובות כבדים. מאז עובד הנאשם כשליח. אשת הנאשם עובדת אף-היא, ותרומתה לפרנסת המשפחה ניכרת.</w:t>
      </w:r>
    </w:p>
    <w:p w14:paraId="1BC135E5" w14:textId="77777777" w:rsidR="003C3EDF" w:rsidRDefault="00D15C89">
      <w:pPr>
        <w:spacing w:line="360" w:lineRule="auto"/>
        <w:ind w:left="360"/>
        <w:jc w:val="both"/>
        <w:rPr>
          <w:rtl/>
        </w:rPr>
      </w:pPr>
      <w:r>
        <w:rPr>
          <w:rFonts w:hint="cs"/>
          <w:rtl/>
        </w:rPr>
        <w:t xml:space="preserve">הנאשם </w:t>
      </w:r>
      <w:r>
        <w:rPr>
          <w:rtl/>
        </w:rPr>
        <w:t>–</w:t>
      </w:r>
      <w:r>
        <w:rPr>
          <w:rFonts w:hint="cs"/>
          <w:rtl/>
        </w:rPr>
        <w:t xml:space="preserve"> שאוחז בטענתו כי החזיק את הסם לצריכתו-שלו </w:t>
      </w:r>
      <w:r>
        <w:rPr>
          <w:rtl/>
        </w:rPr>
        <w:t>–</w:t>
      </w:r>
      <w:r>
        <w:rPr>
          <w:rFonts w:hint="cs"/>
          <w:rtl/>
        </w:rPr>
        <w:t xml:space="preserve"> תלה את החזקת הסם בתקופה משברית שהובילה אותו לעבירה: בשנת 2010 נאלצה אשתו לעבור לידה של עובר מת ("לידה שקטה"), אירוע טראומטי שעורר רגשות קשים, שהנאשם התמודד איתם לדבריו על-דרך הקהייתם בחשיש ואלכוהול. משבר זה, יחד עם קשיי התפקוד של הנאשם, גררו את כל המשפחה למשבר, שחייב טיפול פסיכולוגי ואחר בילדים, אותו הם מקבלים כיום. בשנת 2011 נולד לבני הזוג ילד בריא ואשת הנאשם נמצאת עתה בהריון בסיכון, המעורר בבני הזוג חרדות קשות לנוכח ההיסטוריה הרפואית של האישה. </w:t>
      </w:r>
    </w:p>
    <w:p w14:paraId="5E3D4AC3" w14:textId="77777777" w:rsidR="003C3EDF" w:rsidRDefault="00D15C89">
      <w:pPr>
        <w:spacing w:line="360" w:lineRule="auto"/>
        <w:ind w:left="360"/>
        <w:jc w:val="both"/>
      </w:pPr>
      <w:r>
        <w:rPr>
          <w:rFonts w:hint="cs"/>
          <w:rtl/>
        </w:rPr>
        <w:t>כיום הצליחו הנאשם ומשפחתו להתייצב כלכלית ותפקודית.</w:t>
      </w:r>
    </w:p>
    <w:p w14:paraId="7069F9FF" w14:textId="77777777" w:rsidR="003C3EDF" w:rsidRDefault="00D15C89">
      <w:pPr>
        <w:pStyle w:val="a6"/>
        <w:numPr>
          <w:ilvl w:val="0"/>
          <w:numId w:val="3"/>
        </w:numPr>
        <w:spacing w:line="360" w:lineRule="auto"/>
        <w:jc w:val="both"/>
      </w:pPr>
      <w:r>
        <w:rPr>
          <w:rFonts w:hint="cs"/>
          <w:rtl/>
        </w:rPr>
        <w:t>בבדיקות סמים נמצא הנאשם נקי והוא והשירות אינם סבורים כי הוא נזקק לטיפול או מעקב.</w:t>
      </w:r>
    </w:p>
    <w:p w14:paraId="2CA89FB4" w14:textId="77777777" w:rsidR="003C3EDF" w:rsidRDefault="00D15C89">
      <w:pPr>
        <w:pStyle w:val="a6"/>
        <w:numPr>
          <w:ilvl w:val="0"/>
          <w:numId w:val="3"/>
        </w:numPr>
        <w:spacing w:line="360" w:lineRule="auto"/>
        <w:jc w:val="both"/>
      </w:pPr>
      <w:r>
        <w:rPr>
          <w:rFonts w:hint="cs"/>
          <w:rtl/>
        </w:rPr>
        <w:t>שירות המבחן אינו מתעלם מפעולת הנאשם "בדרכים בעייתיות" במהלך השנים כדי להצליח כלכלית, אך מציין שהנאשם תפקד כהלכה לאורך השנים וכיום מצבו יציב ומתפקד. בנוסף, לדעת השירות, הנאשם נטל אחריות על מעשי העבירה. לפיכך ממליץ שירות המבחן להימנע מעונש מאסר, אף-לא על-דרך עבודות שירות, כדי שלא להסתכן ברגרסיה של הנאשם ומשפחתו, ומציע אפיק טיפולי של של"צ לצד מאסר מותנה.</w:t>
      </w:r>
    </w:p>
    <w:p w14:paraId="5C037DCD" w14:textId="77777777" w:rsidR="003C3EDF" w:rsidRDefault="00D15C89">
      <w:pPr>
        <w:pStyle w:val="a6"/>
        <w:numPr>
          <w:ilvl w:val="0"/>
          <w:numId w:val="3"/>
        </w:numPr>
        <w:spacing w:line="360" w:lineRule="auto"/>
        <w:jc w:val="both"/>
      </w:pPr>
      <w:r>
        <w:rPr>
          <w:rFonts w:hint="cs"/>
          <w:rtl/>
        </w:rPr>
        <w:t xml:space="preserve">לא מצאתי כי באמור לעיל יש כדי להצדיק חריגה ממתחם העונש הראוי. נראה ששירות המבחן כיוון עצמו לפי דברי הנאשם, בכל הנוגע לנסיבות העבירות, הסיבה לביצוען ונטילת האחריות, אך דברים אלו של הנאשם נדחו בהכרעת הדין, שהיא הבסיס העובדתי לשלב זה של גזירת הדין: הנאשם </w:t>
      </w:r>
      <w:r>
        <w:rPr>
          <w:rFonts w:hint="cs"/>
          <w:i/>
          <w:iCs/>
          <w:rtl/>
        </w:rPr>
        <w:t>לא</w:t>
      </w:r>
      <w:r>
        <w:rPr>
          <w:rFonts w:hint="cs"/>
          <w:rtl/>
        </w:rPr>
        <w:t xml:space="preserve"> נטל אחריות מלאה על מעשיו, הסיבה להחזקת הסם </w:t>
      </w:r>
      <w:r>
        <w:rPr>
          <w:rFonts w:hint="cs"/>
          <w:i/>
          <w:iCs/>
          <w:rtl/>
        </w:rPr>
        <w:t>לא</w:t>
      </w:r>
      <w:r>
        <w:rPr>
          <w:rFonts w:hint="cs"/>
          <w:rtl/>
        </w:rPr>
        <w:t xml:space="preserve"> היתה שימוש אינטנסיבי עקב משבר, ונסיבות העבירות </w:t>
      </w:r>
      <w:r>
        <w:rPr>
          <w:rFonts w:hint="cs"/>
          <w:i/>
          <w:iCs/>
          <w:rtl/>
        </w:rPr>
        <w:t>לא</w:t>
      </w:r>
      <w:r>
        <w:rPr>
          <w:rFonts w:hint="cs"/>
          <w:rtl/>
        </w:rPr>
        <w:t xml:space="preserve"> תואמות כלל וכלל את טענות הנאשם. לפיכך, על-אף הערך הרב שבנתונים העובדתיים שהביא השירות, לא ניתן לייחס ערך דומה להמלצותיו. </w:t>
      </w:r>
    </w:p>
    <w:p w14:paraId="0CFE1145" w14:textId="77777777" w:rsidR="003C3EDF" w:rsidRDefault="00D15C89">
      <w:pPr>
        <w:pStyle w:val="a6"/>
        <w:numPr>
          <w:ilvl w:val="0"/>
          <w:numId w:val="3"/>
        </w:numPr>
        <w:spacing w:line="360" w:lineRule="auto"/>
        <w:jc w:val="both"/>
      </w:pPr>
      <w:r>
        <w:rPr>
          <w:rFonts w:hint="cs"/>
          <w:rtl/>
        </w:rPr>
        <w:t xml:space="preserve">למעלה מן הצורך אומר, שדעתי כדעת הסניגור המלומד לעניין "שיקום פסיבי", כלומר </w:t>
      </w:r>
      <w:r>
        <w:rPr>
          <w:rtl/>
        </w:rPr>
        <w:t>–</w:t>
      </w:r>
      <w:r>
        <w:rPr>
          <w:rFonts w:hint="cs"/>
          <w:rtl/>
        </w:rPr>
        <w:t xml:space="preserve"> שיקום עצמי של הנאשם הנעשה על דרך שיבה לחיים נורמטיביים לאחר ביצועה של עבירה, ללא הסתייעות בשירותי התָקון והרווחה. לדעה זו סימוכין ב</w:t>
      </w:r>
      <w:hyperlink r:id="rId22" w:history="1">
        <w:r w:rsidRPr="00D15C89">
          <w:rPr>
            <w:color w:val="0000FF"/>
            <w:u w:val="single"/>
            <w:rtl/>
          </w:rPr>
          <w:t>רע"פ 1441/14</w:t>
        </w:r>
      </w:hyperlink>
      <w:r>
        <w:rPr>
          <w:rtl/>
        </w:rPr>
        <w:t xml:space="preserve"> </w:t>
      </w:r>
      <w:r>
        <w:rPr>
          <w:b/>
          <w:bCs/>
          <w:rtl/>
        </w:rPr>
        <w:t xml:space="preserve">חמיס נ' מ.י. </w:t>
      </w:r>
      <w:r>
        <w:rPr>
          <w:rtl/>
        </w:rPr>
        <w:t>(2014)</w:t>
      </w:r>
      <w:r>
        <w:rPr>
          <w:rFonts w:hint="cs"/>
          <w:rtl/>
        </w:rPr>
        <w:t xml:space="preserve"> בו נסמך בית המשפט העליון על שינוי אורח חייו לטובה של נאשם, מבלי שהיה בפניו תסקיר, והצדיק בכך חריגה ממתחם העונש ההולם. אלא, שמקרה מסוג זה אמור להיות חריג, ושמא חריג שבחריגים, ובוודאי אינו הולם את ענייננו </w:t>
      </w:r>
      <w:r>
        <w:rPr>
          <w:rtl/>
        </w:rPr>
        <w:t>–</w:t>
      </w:r>
      <w:r>
        <w:rPr>
          <w:rFonts w:hint="cs"/>
          <w:rtl/>
        </w:rPr>
        <w:t xml:space="preserve"> הנאשם, שלא נטל אחריות מלאה על מעשיו, אינו מבקש שינוי ותיקון אלא את המשך חייו כשהיו, תוך מזעור הנזק לחייו שצפוי לו בהליך הפלילי.</w:t>
      </w:r>
    </w:p>
    <w:p w14:paraId="09E937D8" w14:textId="77777777" w:rsidR="003C3EDF" w:rsidRDefault="003C3EDF">
      <w:pPr>
        <w:spacing w:line="360" w:lineRule="auto"/>
        <w:jc w:val="both"/>
        <w:rPr>
          <w:rtl/>
        </w:rPr>
      </w:pPr>
    </w:p>
    <w:p w14:paraId="531020A6" w14:textId="77777777" w:rsidR="003C3EDF" w:rsidRDefault="00D15C89">
      <w:pPr>
        <w:spacing w:line="360" w:lineRule="auto"/>
        <w:jc w:val="both"/>
        <w:rPr>
          <w:b/>
          <w:bCs/>
          <w:u w:val="single"/>
          <w:rtl/>
        </w:rPr>
      </w:pPr>
      <w:r>
        <w:rPr>
          <w:rFonts w:hint="cs"/>
          <w:b/>
          <w:bCs/>
          <w:u w:val="single"/>
          <w:rtl/>
        </w:rPr>
        <w:t xml:space="preserve">נסיבות שאינן קשורות בעבירה </w:t>
      </w:r>
      <w:r>
        <w:rPr>
          <w:b/>
          <w:bCs/>
          <w:u w:val="single"/>
          <w:rtl/>
        </w:rPr>
        <w:t>–</w:t>
      </w:r>
      <w:r>
        <w:rPr>
          <w:rFonts w:hint="cs"/>
          <w:b/>
          <w:bCs/>
          <w:u w:val="single"/>
          <w:rtl/>
        </w:rPr>
        <w:t xml:space="preserve"> קביעת העונש במתחם:</w:t>
      </w:r>
    </w:p>
    <w:p w14:paraId="2CC16F93" w14:textId="77777777" w:rsidR="003C3EDF" w:rsidRDefault="00D15C89">
      <w:pPr>
        <w:pStyle w:val="a6"/>
        <w:numPr>
          <w:ilvl w:val="0"/>
          <w:numId w:val="4"/>
        </w:numPr>
        <w:spacing w:line="360" w:lineRule="auto"/>
        <w:jc w:val="both"/>
      </w:pPr>
      <w:r>
        <w:rPr>
          <w:rFonts w:hint="cs"/>
          <w:rtl/>
        </w:rPr>
        <w:t>פגיעת העונש במשפחתו של הנאשם תהא קשה ומרה במיוחד, בהתחשב בלידה הצפויה, בטראומה המשפחתית שבעבר, ובצורך המיוחד של הילדים באביהם.</w:t>
      </w:r>
    </w:p>
    <w:p w14:paraId="13E22A21" w14:textId="77777777" w:rsidR="003C3EDF" w:rsidRDefault="00D15C89">
      <w:pPr>
        <w:pStyle w:val="a6"/>
        <w:numPr>
          <w:ilvl w:val="0"/>
          <w:numId w:val="4"/>
        </w:numPr>
        <w:spacing w:line="360" w:lineRule="auto"/>
        <w:jc w:val="both"/>
      </w:pPr>
      <w:r>
        <w:rPr>
          <w:rFonts w:hint="cs"/>
          <w:rtl/>
        </w:rPr>
        <w:t>פגיעת העונש בנאשם עצמו תהא קשה, כרגיל במאסר ראשון.</w:t>
      </w:r>
    </w:p>
    <w:p w14:paraId="6676F1A7" w14:textId="77777777" w:rsidR="003C3EDF" w:rsidRDefault="00D15C89">
      <w:pPr>
        <w:pStyle w:val="a6"/>
        <w:numPr>
          <w:ilvl w:val="0"/>
          <w:numId w:val="4"/>
        </w:numPr>
        <w:spacing w:line="360" w:lineRule="auto"/>
        <w:jc w:val="both"/>
      </w:pPr>
      <w:r>
        <w:rPr>
          <w:rFonts w:hint="cs"/>
          <w:rtl/>
        </w:rPr>
        <w:t>נטילת האחריות של הנאשם היתה מוגבלת, וקשה לייחס לה ערך רב: הנאשם הודה בעצם החזקת הסמים והרכוש שנתפסו ממילא בקיוסק,  אך לא נטל אחריות על החזקת הסמים שלא לצריכה עצמית ועל היות הרכוש חשוד כגנוב.</w:t>
      </w:r>
    </w:p>
    <w:p w14:paraId="7C218050" w14:textId="77777777" w:rsidR="003C3EDF" w:rsidRDefault="00D15C89">
      <w:pPr>
        <w:pStyle w:val="a6"/>
        <w:numPr>
          <w:ilvl w:val="0"/>
          <w:numId w:val="4"/>
        </w:numPr>
        <w:spacing w:line="360" w:lineRule="auto"/>
        <w:jc w:val="both"/>
      </w:pPr>
      <w:r>
        <w:rPr>
          <w:rFonts w:hint="cs"/>
          <w:rtl/>
        </w:rPr>
        <w:t>משקל ממשי לזכות הנאשם יינתן לאלו:</w:t>
      </w:r>
    </w:p>
    <w:p w14:paraId="2C446570" w14:textId="77777777" w:rsidR="003C3EDF" w:rsidRDefault="00D15C89">
      <w:pPr>
        <w:pStyle w:val="a6"/>
        <w:numPr>
          <w:ilvl w:val="1"/>
          <w:numId w:val="4"/>
        </w:numPr>
        <w:spacing w:line="360" w:lineRule="auto"/>
        <w:jc w:val="both"/>
      </w:pPr>
      <w:r>
        <w:rPr>
          <w:rFonts w:hint="cs"/>
          <w:rtl/>
        </w:rPr>
        <w:t>אורח חייו הנורמטיבי-ברגיל (כשלעבר הפלילי הזניח לא יינתן משקל ממשי);</w:t>
      </w:r>
    </w:p>
    <w:p w14:paraId="56F45493" w14:textId="77777777" w:rsidR="003C3EDF" w:rsidRDefault="00D15C89">
      <w:pPr>
        <w:pStyle w:val="a6"/>
        <w:numPr>
          <w:ilvl w:val="1"/>
          <w:numId w:val="4"/>
        </w:numPr>
        <w:spacing w:line="360" w:lineRule="auto"/>
        <w:jc w:val="both"/>
      </w:pPr>
      <w:r>
        <w:rPr>
          <w:rFonts w:hint="cs"/>
          <w:rtl/>
        </w:rPr>
        <w:t>נסיבות ילדותו הקשות שהובילו לחשיפתו לאורח חיים עברייני (כמסקנת שירות המבחן), עניין שקרוב-לוודאי השפיע על נכונותו לבצע עבירות;</w:t>
      </w:r>
    </w:p>
    <w:p w14:paraId="765D71E7" w14:textId="77777777" w:rsidR="003C3EDF" w:rsidRDefault="00D15C89">
      <w:pPr>
        <w:pStyle w:val="a6"/>
        <w:numPr>
          <w:ilvl w:val="1"/>
          <w:numId w:val="4"/>
        </w:numPr>
        <w:spacing w:line="360" w:lineRule="auto"/>
        <w:jc w:val="both"/>
      </w:pPr>
      <w:r>
        <w:rPr>
          <w:rFonts w:hint="cs"/>
          <w:rtl/>
        </w:rPr>
        <w:t xml:space="preserve">חלוף הזמן </w:t>
      </w:r>
      <w:r>
        <w:rPr>
          <w:rtl/>
        </w:rPr>
        <w:t>–</w:t>
      </w:r>
      <w:r>
        <w:rPr>
          <w:rFonts w:hint="cs"/>
          <w:rtl/>
        </w:rPr>
        <w:t xml:space="preserve"> למעלה מארבע שנים, כשכתב האישום הוגש במארס 2013 בגין העבירות שבוצעו בדצמבר 2012;</w:t>
      </w:r>
    </w:p>
    <w:p w14:paraId="79E79756" w14:textId="77777777" w:rsidR="003C3EDF" w:rsidRDefault="00D15C89">
      <w:pPr>
        <w:pStyle w:val="a6"/>
        <w:numPr>
          <w:ilvl w:val="1"/>
          <w:numId w:val="4"/>
        </w:numPr>
        <w:spacing w:line="360" w:lineRule="auto"/>
        <w:jc w:val="both"/>
      </w:pPr>
      <w:r>
        <w:rPr>
          <w:rFonts w:hint="cs"/>
          <w:rtl/>
        </w:rPr>
        <w:t xml:space="preserve">אופן ניהול ההליך, שחסך זמן שיפוטי יקר ומשאבים ציבוריים נוספים (אראה בכך "נסיבה נוספת" לה אתן משקל לפי </w:t>
      </w:r>
      <w:hyperlink r:id="rId23" w:history="1">
        <w:r w:rsidR="0068167A" w:rsidRPr="0068167A">
          <w:rPr>
            <w:rStyle w:val="Hyperlink"/>
            <w:rFonts w:hint="eastAsia"/>
            <w:rtl/>
          </w:rPr>
          <w:t>סעיף</w:t>
        </w:r>
        <w:r w:rsidR="0068167A" w:rsidRPr="0068167A">
          <w:rPr>
            <w:rStyle w:val="Hyperlink"/>
            <w:rtl/>
          </w:rPr>
          <w:t xml:space="preserve"> 40יב</w:t>
        </w:r>
      </w:hyperlink>
      <w:r>
        <w:rPr>
          <w:rFonts w:hint="cs"/>
          <w:rtl/>
        </w:rPr>
        <w:t xml:space="preserve"> לחוק);</w:t>
      </w:r>
    </w:p>
    <w:p w14:paraId="44A5B827" w14:textId="77777777" w:rsidR="003C3EDF" w:rsidRDefault="00D15C89">
      <w:pPr>
        <w:pStyle w:val="a6"/>
        <w:numPr>
          <w:ilvl w:val="0"/>
          <w:numId w:val="4"/>
        </w:numPr>
        <w:spacing w:line="360" w:lineRule="auto"/>
        <w:jc w:val="both"/>
      </w:pPr>
      <w:r>
        <w:rPr>
          <w:rFonts w:hint="cs"/>
          <w:rtl/>
        </w:rPr>
        <w:t>לנוכח כל אלו, ייקבע עונשו של הנאשם בתחתיתם של מתחמי העונש ההולמים.</w:t>
      </w:r>
    </w:p>
    <w:p w14:paraId="24967807" w14:textId="77777777" w:rsidR="003C3EDF" w:rsidRDefault="00D15C89">
      <w:pPr>
        <w:pStyle w:val="a6"/>
        <w:numPr>
          <w:ilvl w:val="0"/>
          <w:numId w:val="4"/>
        </w:numPr>
        <w:spacing w:line="360" w:lineRule="auto"/>
        <w:jc w:val="both"/>
      </w:pPr>
      <w:r>
        <w:rPr>
          <w:rFonts w:hint="cs"/>
          <w:rtl/>
        </w:rPr>
        <w:t>באשר לקנס: הכלל הוא שעל עבירות סמים יש לענוש גם ענישה כספית, תוך התחשבות מעטה במצבו של הנאשם. אין זה כלל חלוט, ויש לתת את הדעת על מצבו של הנאשם דנן ומצבה הרגיש של משפחתו. לפיכך, אמנע מהטלת קנס במקרה זה.</w:t>
      </w:r>
    </w:p>
    <w:p w14:paraId="3B875F70" w14:textId="77777777" w:rsidR="003C3EDF" w:rsidRDefault="00D15C89">
      <w:pPr>
        <w:pStyle w:val="a6"/>
        <w:numPr>
          <w:ilvl w:val="0"/>
          <w:numId w:val="4"/>
        </w:numPr>
        <w:spacing w:line="360" w:lineRule="auto"/>
        <w:jc w:val="both"/>
      </w:pPr>
      <w:r>
        <w:rPr>
          <w:rFonts w:hint="cs"/>
          <w:rtl/>
        </w:rPr>
        <w:t>באשר לפסילה מלנהוג: הנאשם נמצא נקי מסמים, ופסילתו מלנהוג תקשה על שיקומו לאחר שחרורו. לפיכך אחרוג מהכלל ואמנע מהטלת פסילה בפועל.</w:t>
      </w:r>
    </w:p>
    <w:p w14:paraId="53651CAF" w14:textId="77777777" w:rsidR="003C3EDF" w:rsidRDefault="00D15C89">
      <w:pPr>
        <w:bidi w:val="0"/>
        <w:rPr>
          <w:rtl/>
        </w:rPr>
      </w:pPr>
      <w:r>
        <w:rPr>
          <w:rtl/>
        </w:rPr>
        <w:br w:type="page"/>
      </w:r>
    </w:p>
    <w:p w14:paraId="690A4CF9" w14:textId="77777777" w:rsidR="003C3EDF" w:rsidRDefault="00D15C89">
      <w:pPr>
        <w:spacing w:line="360" w:lineRule="auto"/>
        <w:jc w:val="both"/>
        <w:rPr>
          <w:b/>
          <w:bCs/>
          <w:u w:val="single"/>
          <w:rtl/>
        </w:rPr>
      </w:pPr>
      <w:r>
        <w:rPr>
          <w:rFonts w:hint="cs"/>
          <w:b/>
          <w:bCs/>
          <w:u w:val="single"/>
          <w:rtl/>
        </w:rPr>
        <w:t>סוף-דבר, אני גוזר על הנאשם את העונשים הבאים:</w:t>
      </w:r>
    </w:p>
    <w:p w14:paraId="4B37DFC5" w14:textId="77777777" w:rsidR="003C3EDF" w:rsidRDefault="003C3EDF">
      <w:pPr>
        <w:spacing w:line="360" w:lineRule="auto"/>
        <w:jc w:val="both"/>
        <w:rPr>
          <w:rtl/>
        </w:rPr>
      </w:pPr>
    </w:p>
    <w:p w14:paraId="39907750" w14:textId="77777777" w:rsidR="003C3EDF" w:rsidRDefault="00D15C89">
      <w:pPr>
        <w:spacing w:line="360" w:lineRule="auto"/>
        <w:jc w:val="both"/>
        <w:rPr>
          <w:rtl/>
        </w:rPr>
      </w:pPr>
      <w:r>
        <w:rPr>
          <w:rFonts w:hint="cs"/>
          <w:rtl/>
        </w:rPr>
        <w:t>א.</w:t>
      </w:r>
      <w:r>
        <w:rPr>
          <w:rFonts w:hint="cs"/>
          <w:rtl/>
        </w:rPr>
        <w:tab/>
        <w:t xml:space="preserve">שבעה חודשי מאסר בפועל, בניכוי שני ימי מעצרו (2.12.10 </w:t>
      </w:r>
      <w:r>
        <w:rPr>
          <w:rtl/>
        </w:rPr>
        <w:t>–</w:t>
      </w:r>
      <w:r>
        <w:rPr>
          <w:rFonts w:hint="cs"/>
          <w:rtl/>
        </w:rPr>
        <w:t xml:space="preserve"> 3.12.10).</w:t>
      </w:r>
    </w:p>
    <w:p w14:paraId="763DFD5E" w14:textId="77777777" w:rsidR="003C3EDF" w:rsidRDefault="003C3EDF">
      <w:pPr>
        <w:spacing w:line="360" w:lineRule="auto"/>
        <w:jc w:val="both"/>
        <w:rPr>
          <w:rtl/>
        </w:rPr>
      </w:pPr>
    </w:p>
    <w:p w14:paraId="432E0006" w14:textId="77777777" w:rsidR="003C3EDF" w:rsidRDefault="00D15C89">
      <w:pPr>
        <w:spacing w:line="360" w:lineRule="auto"/>
        <w:ind w:left="720" w:hanging="720"/>
        <w:jc w:val="both"/>
        <w:rPr>
          <w:rtl/>
        </w:rPr>
      </w:pPr>
      <w:r>
        <w:rPr>
          <w:rFonts w:hint="cs"/>
          <w:rtl/>
        </w:rPr>
        <w:t>ב.</w:t>
      </w:r>
      <w:r>
        <w:rPr>
          <w:rFonts w:hint="cs"/>
          <w:rtl/>
        </w:rPr>
        <w:tab/>
        <w:t>שישה חודשי מאסר על-תנאי למשך שנתיים מיום שחרורו, שלא יעבור עבירת סמים שהנה פשע.</w:t>
      </w:r>
    </w:p>
    <w:p w14:paraId="56C3D034" w14:textId="77777777" w:rsidR="003C3EDF" w:rsidRDefault="003C3EDF">
      <w:pPr>
        <w:spacing w:line="360" w:lineRule="auto"/>
        <w:jc w:val="both"/>
        <w:rPr>
          <w:rtl/>
        </w:rPr>
      </w:pPr>
    </w:p>
    <w:p w14:paraId="3117358E" w14:textId="77777777" w:rsidR="003C3EDF" w:rsidRDefault="00D15C89">
      <w:pPr>
        <w:spacing w:line="360" w:lineRule="auto"/>
        <w:ind w:left="720" w:hanging="720"/>
        <w:jc w:val="both"/>
        <w:rPr>
          <w:rtl/>
        </w:rPr>
      </w:pPr>
      <w:r>
        <w:rPr>
          <w:rFonts w:hint="cs"/>
          <w:rtl/>
        </w:rPr>
        <w:t>ג.</w:t>
      </w:r>
      <w:r>
        <w:rPr>
          <w:rFonts w:hint="cs"/>
          <w:rtl/>
        </w:rPr>
        <w:tab/>
        <w:t>חודשיים מאסר על-תנאי למשך שנתיים מיום שחרורו, שלא יעבור עבירת סמים שהנה עוון, או עבירת רכוש מכל סוג.</w:t>
      </w:r>
    </w:p>
    <w:p w14:paraId="626E5A2E" w14:textId="77777777" w:rsidR="003C3EDF" w:rsidRDefault="003C3EDF">
      <w:pPr>
        <w:spacing w:line="360" w:lineRule="auto"/>
        <w:ind w:left="720" w:hanging="720"/>
        <w:jc w:val="both"/>
        <w:rPr>
          <w:rtl/>
        </w:rPr>
      </w:pPr>
    </w:p>
    <w:p w14:paraId="3E868F7F" w14:textId="77777777" w:rsidR="003C3EDF" w:rsidRDefault="00D15C89">
      <w:pPr>
        <w:spacing w:line="360" w:lineRule="auto"/>
        <w:ind w:left="720" w:hanging="720"/>
        <w:jc w:val="both"/>
        <w:rPr>
          <w:rtl/>
        </w:rPr>
      </w:pPr>
      <w:r>
        <w:rPr>
          <w:rFonts w:hint="cs"/>
          <w:rtl/>
        </w:rPr>
        <w:t>ד.</w:t>
      </w:r>
      <w:r>
        <w:rPr>
          <w:rFonts w:hint="cs"/>
          <w:rtl/>
        </w:rPr>
        <w:tab/>
        <w:t>התחייבות בסך 3,000 ₪ למשך שנתיים מיום שחרורו, שלא יעבור עבירת סמים או עבירת רכוש מכל סוג. לא תיחתם ההתחייבות, ייאסר הנאשם למשך חודש ימים.</w:t>
      </w:r>
    </w:p>
    <w:p w14:paraId="4B3BCD7C" w14:textId="77777777" w:rsidR="003C3EDF" w:rsidRDefault="003C3EDF">
      <w:pPr>
        <w:spacing w:line="360" w:lineRule="auto"/>
        <w:ind w:left="720" w:hanging="720"/>
        <w:jc w:val="both"/>
        <w:rPr>
          <w:rtl/>
        </w:rPr>
      </w:pPr>
    </w:p>
    <w:p w14:paraId="5046D96D" w14:textId="77777777" w:rsidR="003C3EDF" w:rsidRDefault="00D15C89">
      <w:pPr>
        <w:spacing w:line="360" w:lineRule="auto"/>
        <w:ind w:left="720" w:hanging="720"/>
        <w:jc w:val="both"/>
        <w:rPr>
          <w:rtl/>
        </w:rPr>
      </w:pPr>
      <w:r>
        <w:rPr>
          <w:rFonts w:hint="cs"/>
          <w:rtl/>
        </w:rPr>
        <w:t>ה.</w:t>
      </w:r>
      <w:r>
        <w:rPr>
          <w:rFonts w:hint="cs"/>
          <w:rtl/>
        </w:rPr>
        <w:tab/>
        <w:t>פסילה על-תנאי בת שנה מלנהוג או לקבל רישיון נהיגה, למשך שנתיים מיום שחרורו.</w:t>
      </w:r>
    </w:p>
    <w:p w14:paraId="490FFA19" w14:textId="77777777" w:rsidR="003C3EDF" w:rsidRDefault="003C3EDF">
      <w:pPr>
        <w:spacing w:line="360" w:lineRule="auto"/>
        <w:ind w:left="720" w:hanging="720"/>
        <w:jc w:val="both"/>
        <w:rPr>
          <w:rtl/>
        </w:rPr>
      </w:pPr>
    </w:p>
    <w:p w14:paraId="04FA6036" w14:textId="77777777" w:rsidR="003C3EDF" w:rsidRDefault="00D15C89">
      <w:pPr>
        <w:spacing w:line="360" w:lineRule="auto"/>
        <w:ind w:left="720" w:hanging="720"/>
        <w:jc w:val="both"/>
        <w:rPr>
          <w:b/>
          <w:bCs/>
          <w:u w:val="single"/>
          <w:rtl/>
        </w:rPr>
      </w:pPr>
      <w:r>
        <w:rPr>
          <w:rFonts w:hint="cs"/>
          <w:b/>
          <w:bCs/>
          <w:u w:val="single"/>
          <w:rtl/>
        </w:rPr>
        <w:t>הוראות נלוות:</w:t>
      </w:r>
    </w:p>
    <w:p w14:paraId="1449A3E7" w14:textId="77777777" w:rsidR="003C3EDF" w:rsidRDefault="00D15C89">
      <w:pPr>
        <w:spacing w:line="360" w:lineRule="auto"/>
        <w:ind w:left="720" w:hanging="720"/>
        <w:jc w:val="both"/>
        <w:rPr>
          <w:rtl/>
        </w:rPr>
      </w:pPr>
      <w:r>
        <w:rPr>
          <w:rFonts w:hint="cs"/>
          <w:rtl/>
        </w:rPr>
        <w:t>א.</w:t>
      </w:r>
      <w:r>
        <w:rPr>
          <w:rFonts w:hint="cs"/>
          <w:rtl/>
        </w:rPr>
        <w:tab/>
        <w:t>מוצגים: סמים ופריטי ביגוד (שהם עותקים מפרים) יושמדו. יתר מוצגים פרט לכסף יועברו להכרעה פרטנית של קצין משטרה;</w:t>
      </w:r>
    </w:p>
    <w:p w14:paraId="682195CE" w14:textId="77777777" w:rsidR="003C3EDF" w:rsidRDefault="00D15C89">
      <w:pPr>
        <w:spacing w:line="360" w:lineRule="auto"/>
        <w:ind w:left="720" w:hanging="720"/>
        <w:jc w:val="both"/>
        <w:rPr>
          <w:rtl/>
        </w:rPr>
      </w:pPr>
      <w:r>
        <w:rPr>
          <w:rFonts w:hint="cs"/>
          <w:rtl/>
        </w:rPr>
        <w:t>ב.</w:t>
      </w:r>
      <w:r>
        <w:rPr>
          <w:rFonts w:hint="cs"/>
          <w:rtl/>
        </w:rPr>
        <w:tab/>
        <w:t>עותק גזר הדין יישלח לידיעת שירות המבחן;</w:t>
      </w:r>
    </w:p>
    <w:p w14:paraId="6B7CE536" w14:textId="77777777" w:rsidR="003C3EDF" w:rsidRDefault="003C3EDF">
      <w:pPr>
        <w:spacing w:line="360" w:lineRule="auto"/>
        <w:ind w:left="720" w:hanging="720"/>
        <w:jc w:val="both"/>
        <w:rPr>
          <w:rtl/>
        </w:rPr>
      </w:pPr>
    </w:p>
    <w:p w14:paraId="31723F9B" w14:textId="77777777" w:rsidR="003C3EDF" w:rsidRDefault="00D15C89">
      <w:pPr>
        <w:spacing w:line="360" w:lineRule="auto"/>
        <w:jc w:val="both"/>
        <w:rPr>
          <w:rtl/>
        </w:rPr>
      </w:pPr>
      <w:r>
        <w:rPr>
          <w:rtl/>
        </w:rPr>
        <w:t xml:space="preserve">זכות ערעור תוך 45 יום מהיום.  </w:t>
      </w:r>
    </w:p>
    <w:p w14:paraId="06FEE1DF" w14:textId="77777777" w:rsidR="003C3EDF" w:rsidRPr="00D15C89" w:rsidRDefault="00D15C89">
      <w:pPr>
        <w:spacing w:line="360" w:lineRule="auto"/>
        <w:jc w:val="both"/>
        <w:rPr>
          <w:color w:val="FFFFFF"/>
          <w:sz w:val="2"/>
          <w:szCs w:val="2"/>
          <w:rtl/>
        </w:rPr>
      </w:pPr>
      <w:r w:rsidRPr="00D15C89">
        <w:rPr>
          <w:color w:val="FFFFFF"/>
          <w:sz w:val="2"/>
          <w:szCs w:val="2"/>
          <w:rtl/>
        </w:rPr>
        <w:t>5129371</w:t>
      </w:r>
    </w:p>
    <w:p w14:paraId="7B2BE334" w14:textId="77777777" w:rsidR="003C3EDF" w:rsidRDefault="00D15C89">
      <w:pPr>
        <w:rPr>
          <w:rtl/>
        </w:rPr>
      </w:pPr>
      <w:r w:rsidRPr="00D15C89">
        <w:rPr>
          <w:rFonts w:ascii="Arial" w:hAnsi="Arial"/>
          <w:color w:val="FFFFFF"/>
          <w:sz w:val="2"/>
          <w:szCs w:val="2"/>
          <w:rtl/>
        </w:rPr>
        <w:t>54678313</w:t>
      </w:r>
      <w:r>
        <w:rPr>
          <w:rFonts w:ascii="Arial" w:hAnsi="Arial"/>
          <w:rtl/>
        </w:rPr>
        <w:t xml:space="preserve">ניתן היום,  י"א בניסן תשע"ה, 31 למארס 2015, במעמד הצדדים. </w:t>
      </w:r>
    </w:p>
    <w:p w14:paraId="5DB82EC3" w14:textId="77777777" w:rsidR="003C3EDF" w:rsidRDefault="00D15C8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DE6C5D4" w14:textId="77777777" w:rsidR="003C3EDF" w:rsidRDefault="003C3EDF">
      <w:pPr>
        <w:jc w:val="center"/>
        <w:rPr>
          <w:rFonts w:ascii="Arial" w:hAnsi="Arial"/>
          <w:rtl/>
        </w:rPr>
      </w:pPr>
    </w:p>
    <w:p w14:paraId="194051CD" w14:textId="77777777" w:rsidR="003C3EDF" w:rsidRDefault="00897426">
      <w:pPr>
        <w:rPr>
          <w:rFonts w:hint="cs"/>
          <w:rtl/>
        </w:rPr>
      </w:pPr>
      <w:r>
        <w:rPr>
          <w:rFonts w:hint="cs"/>
        </w:rPr>
        <w:t xml:space="preserve"> </w:t>
      </w:r>
    </w:p>
    <w:p w14:paraId="538EDBA5" w14:textId="77777777" w:rsidR="003C3EDF" w:rsidRDefault="003C3EDF">
      <w:pPr>
        <w:pStyle w:val="a3"/>
        <w:jc w:val="center"/>
        <w:rPr>
          <w:rtl/>
        </w:rPr>
      </w:pPr>
    </w:p>
    <w:p w14:paraId="2A8D2F4C" w14:textId="77777777" w:rsidR="00D15C89" w:rsidRPr="00D15C89" w:rsidRDefault="00D15C89" w:rsidP="00D15C89">
      <w:pPr>
        <w:keepNext/>
        <w:rPr>
          <w:rFonts w:ascii="David" w:hAnsi="David"/>
          <w:color w:val="000000"/>
          <w:sz w:val="22"/>
          <w:szCs w:val="22"/>
          <w:rtl/>
        </w:rPr>
      </w:pPr>
    </w:p>
    <w:p w14:paraId="055C2EBC" w14:textId="77777777" w:rsidR="00D15C89" w:rsidRPr="00D15C89" w:rsidRDefault="00D15C89" w:rsidP="00D15C89">
      <w:pPr>
        <w:keepNext/>
        <w:rPr>
          <w:rFonts w:ascii="David" w:hAnsi="David"/>
          <w:color w:val="000000"/>
          <w:sz w:val="22"/>
          <w:szCs w:val="22"/>
          <w:rtl/>
        </w:rPr>
      </w:pPr>
      <w:r w:rsidRPr="00D15C89">
        <w:rPr>
          <w:rFonts w:ascii="David" w:hAnsi="David"/>
          <w:color w:val="000000"/>
          <w:sz w:val="22"/>
          <w:szCs w:val="22"/>
          <w:rtl/>
        </w:rPr>
        <w:t>עידו דרויאן 54678313</w:t>
      </w:r>
    </w:p>
    <w:p w14:paraId="3C7997A5" w14:textId="77777777" w:rsidR="00D15C89" w:rsidRDefault="00D15C89" w:rsidP="00D15C89">
      <w:r w:rsidRPr="00D15C89">
        <w:rPr>
          <w:color w:val="000000"/>
          <w:rtl/>
        </w:rPr>
        <w:t>נוסח מסמך זה כפוף לשינויי ניסוח ועריכה</w:t>
      </w:r>
    </w:p>
    <w:p w14:paraId="1FBB7B5F" w14:textId="77777777" w:rsidR="00D15C89" w:rsidRDefault="00D15C89" w:rsidP="00D15C89">
      <w:pPr>
        <w:rPr>
          <w:rtl/>
        </w:rPr>
      </w:pPr>
    </w:p>
    <w:p w14:paraId="7678AA99" w14:textId="77777777" w:rsidR="00D15C89" w:rsidRDefault="00D15C89" w:rsidP="00D15C89">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0E35AD8A" w14:textId="77777777" w:rsidR="003C3EDF" w:rsidRPr="00D15C89" w:rsidRDefault="000C0BB3" w:rsidP="00D15C89">
      <w:pPr>
        <w:jc w:val="center"/>
        <w:rPr>
          <w:color w:val="0000FF"/>
          <w:u w:val="single"/>
        </w:rPr>
      </w:pPr>
      <w:r>
        <w:rPr>
          <w:rFonts w:hint="cs"/>
          <w:color w:val="0000FF"/>
          <w:u w:val="single"/>
          <w:rtl/>
        </w:rPr>
        <w:t xml:space="preserve">  </w:t>
      </w:r>
    </w:p>
    <w:sectPr w:rsidR="003C3EDF" w:rsidRPr="00D15C89" w:rsidSect="00D15C89">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94127" w14:textId="77777777" w:rsidR="001A2873" w:rsidRDefault="001A2873">
      <w:pPr>
        <w:rPr>
          <w:rFonts w:cs="Arial"/>
          <w:szCs w:val="20"/>
        </w:rPr>
      </w:pPr>
      <w:r>
        <w:separator/>
      </w:r>
    </w:p>
  </w:endnote>
  <w:endnote w:type="continuationSeparator" w:id="0">
    <w:p w14:paraId="0E2DB454" w14:textId="77777777" w:rsidR="001A2873" w:rsidRDefault="001A287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ABCCE" w14:textId="77777777" w:rsidR="00B1012A" w:rsidRDefault="00B1012A" w:rsidP="00D15C8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D1A24F9" w14:textId="77777777" w:rsidR="00B1012A" w:rsidRPr="00D15C89" w:rsidRDefault="00B1012A" w:rsidP="00D15C89">
    <w:pPr>
      <w:pStyle w:val="a4"/>
      <w:pBdr>
        <w:top w:val="single" w:sz="4" w:space="1" w:color="auto"/>
        <w:between w:val="single" w:sz="4" w:space="0" w:color="auto"/>
      </w:pBdr>
      <w:spacing w:after="60"/>
      <w:jc w:val="center"/>
      <w:rPr>
        <w:rFonts w:ascii="FrankRuehl" w:hAnsi="FrankRuehl" w:cs="FrankRuehl"/>
        <w:color w:val="000000"/>
      </w:rPr>
    </w:pPr>
    <w:r w:rsidRPr="00D15C8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53894" w14:textId="77777777" w:rsidR="00B1012A" w:rsidRDefault="00B1012A" w:rsidP="00D15C8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D1812">
      <w:rPr>
        <w:rFonts w:ascii="FrankRuehl" w:hAnsi="FrankRuehl" w:cs="FrankRuehl"/>
        <w:noProof/>
        <w:rtl/>
      </w:rPr>
      <w:t>1</w:t>
    </w:r>
    <w:r>
      <w:rPr>
        <w:rFonts w:ascii="FrankRuehl" w:hAnsi="FrankRuehl" w:cs="FrankRuehl"/>
        <w:rtl/>
      </w:rPr>
      <w:fldChar w:fldCharType="end"/>
    </w:r>
  </w:p>
  <w:p w14:paraId="3F68825F" w14:textId="77777777" w:rsidR="00B1012A" w:rsidRPr="00D15C89" w:rsidRDefault="00B1012A" w:rsidP="00D15C89">
    <w:pPr>
      <w:pStyle w:val="a4"/>
      <w:pBdr>
        <w:top w:val="single" w:sz="4" w:space="1" w:color="auto"/>
        <w:between w:val="single" w:sz="4" w:space="0" w:color="auto"/>
      </w:pBdr>
      <w:spacing w:after="60"/>
      <w:jc w:val="center"/>
      <w:rPr>
        <w:rFonts w:ascii="FrankRuehl" w:hAnsi="FrankRuehl" w:cs="FrankRuehl"/>
        <w:color w:val="000000"/>
      </w:rPr>
    </w:pPr>
    <w:r w:rsidRPr="00D15C89">
      <w:rPr>
        <w:rFonts w:ascii="FrankRuehl" w:hAnsi="FrankRuehl" w:cs="FrankRuehl"/>
        <w:color w:val="000000"/>
      </w:rPr>
      <w:pict w14:anchorId="1740F9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C6DD7" w14:textId="77777777" w:rsidR="001A2873" w:rsidRDefault="001A2873">
      <w:pPr>
        <w:rPr>
          <w:rFonts w:cs="Arial"/>
          <w:szCs w:val="20"/>
        </w:rPr>
      </w:pPr>
      <w:r>
        <w:separator/>
      </w:r>
    </w:p>
  </w:footnote>
  <w:footnote w:type="continuationSeparator" w:id="0">
    <w:p w14:paraId="45F5C3EE" w14:textId="77777777" w:rsidR="001A2873" w:rsidRDefault="001A2873">
      <w:pPr>
        <w:rPr>
          <w:rFonts w:cs="Arial"/>
          <w:szCs w:val="20"/>
        </w:rPr>
      </w:pPr>
      <w:r>
        <w:continuationSeparator/>
      </w:r>
    </w:p>
  </w:footnote>
  <w:footnote w:id="1">
    <w:p w14:paraId="32B464A9" w14:textId="77777777" w:rsidR="00B1012A" w:rsidRDefault="00B1012A">
      <w:pPr>
        <w:pStyle w:val="a7"/>
        <w:rPr>
          <w:rtl/>
        </w:rPr>
      </w:pPr>
      <w:r>
        <w:rPr>
          <w:rStyle w:val="a9"/>
        </w:rPr>
        <w:footnoteRef/>
      </w:r>
      <w:r>
        <w:rPr>
          <w:rtl/>
        </w:rPr>
        <w:t xml:space="preserve"> </w:t>
      </w:r>
      <w:r>
        <w:rPr>
          <w:rFonts w:hint="cs"/>
          <w:rtl/>
        </w:rPr>
        <w:tab/>
        <w:t xml:space="preserve">בטיעוני התביעה לעונש נאמר שמדובר למעשה בעותקים מפרים, או בפשטות </w:t>
      </w:r>
      <w:r>
        <w:rPr>
          <w:rtl/>
        </w:rPr>
        <w:t>–</w:t>
      </w:r>
      <w:r>
        <w:rPr>
          <w:rFonts w:hint="cs"/>
          <w:rtl/>
        </w:rPr>
        <w:t xml:space="preserve"> זיופים;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A9BD9" w14:textId="77777777" w:rsidR="00B1012A" w:rsidRPr="00D15C89" w:rsidRDefault="00B1012A" w:rsidP="00D15C8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45065-03-13</w:t>
    </w:r>
    <w:r>
      <w:rPr>
        <w:rFonts w:ascii="David" w:hAnsi="David"/>
        <w:color w:val="000000"/>
        <w:sz w:val="22"/>
        <w:szCs w:val="22"/>
        <w:rtl/>
      </w:rPr>
      <w:tab/>
      <w:t xml:space="preserve"> מדינת ישראל נ' מרון מרקו לזר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9E024" w14:textId="77777777" w:rsidR="00B1012A" w:rsidRPr="00D15C89" w:rsidRDefault="00B1012A" w:rsidP="00D15C8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45065-03-13</w:t>
    </w:r>
    <w:r>
      <w:rPr>
        <w:rFonts w:ascii="David" w:hAnsi="David"/>
        <w:color w:val="000000"/>
        <w:sz w:val="22"/>
        <w:szCs w:val="22"/>
        <w:rtl/>
      </w:rPr>
      <w:tab/>
      <w:t xml:space="preserve"> מדינת ישראל נ' מרון מרקו לזר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63741B"/>
    <w:multiLevelType w:val="hybridMultilevel"/>
    <w:tmpl w:val="229414D8"/>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1C16B6"/>
    <w:multiLevelType w:val="hybridMultilevel"/>
    <w:tmpl w:val="02EA12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124609D"/>
    <w:multiLevelType w:val="hybridMultilevel"/>
    <w:tmpl w:val="690C4F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9285F4E"/>
    <w:multiLevelType w:val="hybridMultilevel"/>
    <w:tmpl w:val="1E4A6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05171496">
    <w:abstractNumId w:val="3"/>
  </w:num>
  <w:num w:numId="2" w16cid:durableId="1052341125">
    <w:abstractNumId w:val="1"/>
  </w:num>
  <w:num w:numId="3" w16cid:durableId="48964236">
    <w:abstractNumId w:val="2"/>
  </w:num>
  <w:num w:numId="4" w16cid:durableId="2126540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C3EDF"/>
    <w:rsid w:val="000C0BB3"/>
    <w:rsid w:val="00136C85"/>
    <w:rsid w:val="001A2873"/>
    <w:rsid w:val="003C3EDF"/>
    <w:rsid w:val="00575941"/>
    <w:rsid w:val="0068167A"/>
    <w:rsid w:val="007D1812"/>
    <w:rsid w:val="0088507B"/>
    <w:rsid w:val="00897426"/>
    <w:rsid w:val="00AE7172"/>
    <w:rsid w:val="00B1012A"/>
    <w:rsid w:val="00B54B88"/>
    <w:rsid w:val="00CE3EE8"/>
    <w:rsid w:val="00D15C89"/>
    <w:rsid w:val="00F41A48"/>
    <w:rsid w:val="00FB70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6AFF0698"/>
  <w15:chartTrackingRefBased/>
  <w15:docId w15:val="{4B0EE084-775B-43D7-AF8B-3BF3EDA74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C3ED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C3EDF"/>
    <w:pPr>
      <w:tabs>
        <w:tab w:val="center" w:pos="4153"/>
        <w:tab w:val="right" w:pos="8306"/>
      </w:tabs>
    </w:pPr>
  </w:style>
  <w:style w:type="paragraph" w:styleId="a4">
    <w:name w:val="footer"/>
    <w:basedOn w:val="a"/>
    <w:rsid w:val="003C3EDF"/>
    <w:pPr>
      <w:tabs>
        <w:tab w:val="center" w:pos="4153"/>
        <w:tab w:val="right" w:pos="8306"/>
      </w:tabs>
    </w:pPr>
  </w:style>
  <w:style w:type="character" w:styleId="a5">
    <w:name w:val="page number"/>
    <w:basedOn w:val="a0"/>
    <w:rsid w:val="003C3EDF"/>
  </w:style>
  <w:style w:type="paragraph" w:styleId="a6">
    <w:name w:val="List Paragraph"/>
    <w:basedOn w:val="a"/>
    <w:qFormat/>
    <w:rsid w:val="003C3EDF"/>
    <w:pPr>
      <w:ind w:left="720"/>
      <w:contextualSpacing/>
    </w:pPr>
  </w:style>
  <w:style w:type="paragraph" w:styleId="a7">
    <w:name w:val="footnote text"/>
    <w:basedOn w:val="a"/>
    <w:link w:val="a8"/>
    <w:rsid w:val="003C3EDF"/>
    <w:rPr>
      <w:sz w:val="20"/>
      <w:szCs w:val="20"/>
    </w:rPr>
  </w:style>
  <w:style w:type="character" w:customStyle="1" w:styleId="a8">
    <w:name w:val="טקסט הערת שוליים תו"/>
    <w:link w:val="a7"/>
    <w:rsid w:val="003C3EDF"/>
    <w:rPr>
      <w:rFonts w:cs="David"/>
      <w:lang w:val="en-US" w:eastAsia="en-US" w:bidi="he-IL"/>
    </w:rPr>
  </w:style>
  <w:style w:type="character" w:styleId="a9">
    <w:name w:val="footnote reference"/>
    <w:rsid w:val="003C3EDF"/>
    <w:rPr>
      <w:vertAlign w:val="superscript"/>
    </w:rPr>
  </w:style>
  <w:style w:type="character" w:styleId="Hyperlink">
    <w:name w:val="Hyperlink"/>
    <w:rsid w:val="00D15C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a" TargetMode="External"/><Relationship Id="rId18" Type="http://schemas.openxmlformats.org/officeDocument/2006/relationships/hyperlink" Target="http://www.nevo.co.il/case/10459248"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1520832"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13" TargetMode="External"/><Relationship Id="rId17" Type="http://schemas.openxmlformats.org/officeDocument/2006/relationships/hyperlink" Target="http://www.nevo.co.il/law/70301"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0301/413" TargetMode="External"/><Relationship Id="rId20" Type="http://schemas.openxmlformats.org/officeDocument/2006/relationships/hyperlink" Target="http://www.nevo.co.il/case/4877484"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b"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70301/40jb" TargetMode="External"/><Relationship Id="rId28"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11279208"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12930657"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1538</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9211</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458763</vt:i4>
      </vt:variant>
      <vt:variant>
        <vt:i4>48</vt:i4>
      </vt:variant>
      <vt:variant>
        <vt:i4>0</vt:i4>
      </vt:variant>
      <vt:variant>
        <vt:i4>5</vt:i4>
      </vt:variant>
      <vt:variant>
        <vt:lpwstr>http://www.nevo.co.il/law/70301/40jb</vt:lpwstr>
      </vt:variant>
      <vt:variant>
        <vt:lpwstr/>
      </vt:variant>
      <vt:variant>
        <vt:i4>3997811</vt:i4>
      </vt:variant>
      <vt:variant>
        <vt:i4>45</vt:i4>
      </vt:variant>
      <vt:variant>
        <vt:i4>0</vt:i4>
      </vt:variant>
      <vt:variant>
        <vt:i4>5</vt:i4>
      </vt:variant>
      <vt:variant>
        <vt:lpwstr>http://www.nevo.co.il/case/12930657</vt:lpwstr>
      </vt:variant>
      <vt:variant>
        <vt:lpwstr/>
      </vt:variant>
      <vt:variant>
        <vt:i4>3735666</vt:i4>
      </vt:variant>
      <vt:variant>
        <vt:i4>42</vt:i4>
      </vt:variant>
      <vt:variant>
        <vt:i4>0</vt:i4>
      </vt:variant>
      <vt:variant>
        <vt:i4>5</vt:i4>
      </vt:variant>
      <vt:variant>
        <vt:lpwstr>http://www.nevo.co.il/case/1520832</vt:lpwstr>
      </vt:variant>
      <vt:variant>
        <vt:lpwstr/>
      </vt:variant>
      <vt:variant>
        <vt:i4>3342451</vt:i4>
      </vt:variant>
      <vt:variant>
        <vt:i4>39</vt:i4>
      </vt:variant>
      <vt:variant>
        <vt:i4>0</vt:i4>
      </vt:variant>
      <vt:variant>
        <vt:i4>5</vt:i4>
      </vt:variant>
      <vt:variant>
        <vt:lpwstr>http://www.nevo.co.il/case/4877484</vt:lpwstr>
      </vt:variant>
      <vt:variant>
        <vt:lpwstr/>
      </vt:variant>
      <vt:variant>
        <vt:i4>3801200</vt:i4>
      </vt:variant>
      <vt:variant>
        <vt:i4>36</vt:i4>
      </vt:variant>
      <vt:variant>
        <vt:i4>0</vt:i4>
      </vt:variant>
      <vt:variant>
        <vt:i4>5</vt:i4>
      </vt:variant>
      <vt:variant>
        <vt:lpwstr>http://www.nevo.co.il/case/11279208</vt:lpwstr>
      </vt:variant>
      <vt:variant>
        <vt:lpwstr/>
      </vt:variant>
      <vt:variant>
        <vt:i4>3670131</vt:i4>
      </vt:variant>
      <vt:variant>
        <vt:i4>33</vt:i4>
      </vt:variant>
      <vt:variant>
        <vt:i4>0</vt:i4>
      </vt:variant>
      <vt:variant>
        <vt:i4>5</vt:i4>
      </vt:variant>
      <vt:variant>
        <vt:lpwstr>http://www.nevo.co.il/case/10459248</vt:lpwstr>
      </vt:variant>
      <vt:variant>
        <vt:lpwstr/>
      </vt:variant>
      <vt:variant>
        <vt:i4>7995492</vt:i4>
      </vt:variant>
      <vt:variant>
        <vt:i4>30</vt:i4>
      </vt:variant>
      <vt:variant>
        <vt:i4>0</vt:i4>
      </vt:variant>
      <vt:variant>
        <vt:i4>5</vt:i4>
      </vt:variant>
      <vt:variant>
        <vt:lpwstr>http://www.nevo.co.il/law/70301</vt:lpwstr>
      </vt:variant>
      <vt:variant>
        <vt:lpwstr/>
      </vt:variant>
      <vt:variant>
        <vt:i4>6553697</vt:i4>
      </vt:variant>
      <vt:variant>
        <vt:i4>27</vt:i4>
      </vt:variant>
      <vt:variant>
        <vt:i4>0</vt:i4>
      </vt:variant>
      <vt:variant>
        <vt:i4>5</vt:i4>
      </vt:variant>
      <vt:variant>
        <vt:lpwstr>http://www.nevo.co.il/law/70301/413</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6553697</vt:i4>
      </vt:variant>
      <vt:variant>
        <vt:i4>15</vt:i4>
      </vt:variant>
      <vt:variant>
        <vt:i4>0</vt:i4>
      </vt:variant>
      <vt:variant>
        <vt:i4>5</vt:i4>
      </vt:variant>
      <vt:variant>
        <vt:lpwstr>http://www.nevo.co.il/law/70301/413</vt:lpwstr>
      </vt:variant>
      <vt:variant>
        <vt:lpwstr/>
      </vt:variant>
      <vt:variant>
        <vt:i4>458763</vt:i4>
      </vt:variant>
      <vt:variant>
        <vt:i4>12</vt:i4>
      </vt:variant>
      <vt:variant>
        <vt:i4>0</vt:i4>
      </vt:variant>
      <vt:variant>
        <vt:i4>5</vt:i4>
      </vt:variant>
      <vt:variant>
        <vt:lpwstr>http://www.nevo.co.il/law/70301/40jb</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2025-04-22T21:59:00Z</dcterms:created>
  <dcterms:modified xsi:type="dcterms:W3CDTF">2025-04-22T21:59:00Z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45065</vt:lpwstr>
  </property>
  <property fmtid="{D5CDD505-2E9C-101B-9397-08002B2CF9AE}" pid="6" name="NEWPARTB">
    <vt:lpwstr>03</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מרון מרקו לזר</vt:lpwstr>
  </property>
  <property fmtid="{D5CDD505-2E9C-101B-9397-08002B2CF9AE}" pid="10" name="LAWYER">
    <vt:lpwstr>נאוה זרנגר;לירן בקרמן</vt:lpwstr>
  </property>
  <property fmtid="{D5CDD505-2E9C-101B-9397-08002B2CF9AE}" pid="11" name="JUDGE">
    <vt:lpwstr>עידו דרויאן</vt:lpwstr>
  </property>
  <property fmtid="{D5CDD505-2E9C-101B-9397-08002B2CF9AE}" pid="12" name="CITY">
    <vt:lpwstr>ת"א</vt:lpwstr>
  </property>
  <property fmtid="{D5CDD505-2E9C-101B-9397-08002B2CF9AE}" pid="13" name="TYPE_N_DATE">
    <vt:lpwstr>38020150331</vt:lpwstr>
  </property>
  <property fmtid="{D5CDD505-2E9C-101B-9397-08002B2CF9AE}" pid="14" name="CASESLISTTMP1">
    <vt:lpwstr>10459248;11279208;4877484;1520832;12930657</vt:lpwstr>
  </property>
  <property fmtid="{D5CDD505-2E9C-101B-9397-08002B2CF9AE}" pid="15" name="CASENOTES1">
    <vt:lpwstr>ProcID=235&amp;PartA=3616&amp;PartC=06</vt:lpwstr>
  </property>
  <property fmtid="{D5CDD505-2E9C-101B-9397-08002B2CF9AE}" pid="16" name="WORDNUMPAGES">
    <vt:lpwstr>5</vt:lpwstr>
  </property>
  <property fmtid="{D5CDD505-2E9C-101B-9397-08002B2CF9AE}" pid="17" name="ISABSTRACT">
    <vt:lpwstr>Y</vt:lpwstr>
  </property>
  <property fmtid="{D5CDD505-2E9C-101B-9397-08002B2CF9AE}" pid="18" name="LAWLISTTMP1">
    <vt:lpwstr>4216/007.a:2;007.c:2</vt:lpwstr>
  </property>
  <property fmtid="{D5CDD505-2E9C-101B-9397-08002B2CF9AE}" pid="19" name="LAWLISTTMP2">
    <vt:lpwstr>70301/413:2;40jb:2</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DATE">
    <vt:lpwstr>20150331</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TYPE_ABS_DATE">
    <vt:lpwstr>380020150331</vt:lpwstr>
  </property>
</Properties>
</file>