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0080A" w:rsidRPr="00B33022" w14:paraId="47AA9B0D" w14:textId="77777777">
        <w:trPr>
          <w:trHeight w:hRule="exact" w:val="418"/>
          <w:jc w:val="center"/>
        </w:trPr>
        <w:tc>
          <w:tcPr>
            <w:tcW w:w="8721" w:type="dxa"/>
            <w:gridSpan w:val="2"/>
          </w:tcPr>
          <w:p w14:paraId="64DE853E" w14:textId="77777777" w:rsidR="0000080A" w:rsidRPr="00B33022" w:rsidRDefault="00B33022">
            <w:pPr>
              <w:pStyle w:val="a3"/>
              <w:jc w:val="center"/>
              <w:rPr>
                <w:rFonts w:ascii="Tahoma" w:hAnsi="Tahoma" w:cs="Tahoma"/>
                <w:color w:val="000080"/>
                <w:rtl/>
              </w:rPr>
            </w:pPr>
            <w:bookmarkStart w:id="0" w:name="LastJudge"/>
            <w:r w:rsidRPr="00B33022">
              <w:rPr>
                <w:rFonts w:ascii="Tahoma" w:hAnsi="Tahoma" w:cs="Tahoma"/>
                <w:b/>
                <w:bCs/>
                <w:color w:val="000080"/>
                <w:rtl/>
              </w:rPr>
              <w:t>בית משפט השלום בתל אביב - יפו</w:t>
            </w:r>
          </w:p>
        </w:tc>
      </w:tr>
      <w:tr w:rsidR="0000080A" w:rsidRPr="00B33022" w14:paraId="4FDDB53B" w14:textId="77777777">
        <w:trPr>
          <w:trHeight w:val="337"/>
          <w:jc w:val="center"/>
        </w:trPr>
        <w:tc>
          <w:tcPr>
            <w:tcW w:w="5057" w:type="dxa"/>
          </w:tcPr>
          <w:p w14:paraId="770B2167" w14:textId="77777777" w:rsidR="0000080A" w:rsidRPr="00B33022" w:rsidRDefault="00B33022">
            <w:pPr>
              <w:rPr>
                <w:rFonts w:cs="FrankRuehl"/>
                <w:sz w:val="28"/>
                <w:szCs w:val="28"/>
                <w:rtl/>
              </w:rPr>
            </w:pPr>
            <w:r w:rsidRPr="00B33022">
              <w:rPr>
                <w:rFonts w:cs="FrankRuehl"/>
                <w:sz w:val="28"/>
                <w:szCs w:val="28"/>
                <w:rtl/>
              </w:rPr>
              <w:t>ת"פ</w:t>
            </w:r>
            <w:r w:rsidRPr="00B33022">
              <w:rPr>
                <w:rFonts w:cs="FrankRuehl" w:hint="cs"/>
                <w:sz w:val="28"/>
                <w:szCs w:val="28"/>
                <w:rtl/>
              </w:rPr>
              <w:t xml:space="preserve"> </w:t>
            </w:r>
            <w:r w:rsidRPr="00B33022">
              <w:rPr>
                <w:rFonts w:cs="FrankRuehl"/>
                <w:sz w:val="28"/>
                <w:szCs w:val="28"/>
                <w:rtl/>
              </w:rPr>
              <w:t>45791-03-13</w:t>
            </w:r>
            <w:r w:rsidRPr="00B33022">
              <w:rPr>
                <w:rFonts w:cs="FrankRuehl" w:hint="cs"/>
                <w:sz w:val="28"/>
                <w:szCs w:val="28"/>
                <w:rtl/>
              </w:rPr>
              <w:t xml:space="preserve"> </w:t>
            </w:r>
            <w:r w:rsidRPr="00B33022">
              <w:rPr>
                <w:rFonts w:cs="FrankRuehl"/>
                <w:sz w:val="28"/>
                <w:szCs w:val="28"/>
                <w:rtl/>
              </w:rPr>
              <w:t>מדינת ישראל נ' קרנץ(עציר)</w:t>
            </w:r>
          </w:p>
          <w:p w14:paraId="010D6AE7" w14:textId="77777777" w:rsidR="0000080A" w:rsidRPr="00B33022" w:rsidRDefault="0000080A">
            <w:pPr>
              <w:pStyle w:val="a3"/>
              <w:rPr>
                <w:rFonts w:cs="FrankRuehl"/>
                <w:sz w:val="28"/>
                <w:szCs w:val="28"/>
                <w:rtl/>
              </w:rPr>
            </w:pPr>
          </w:p>
        </w:tc>
        <w:tc>
          <w:tcPr>
            <w:tcW w:w="3664" w:type="dxa"/>
          </w:tcPr>
          <w:p w14:paraId="7ACAC468" w14:textId="77777777" w:rsidR="0000080A" w:rsidRPr="00B33022" w:rsidRDefault="0000080A">
            <w:pPr>
              <w:pStyle w:val="a3"/>
              <w:jc w:val="right"/>
              <w:rPr>
                <w:rFonts w:cs="FrankRuehl"/>
                <w:sz w:val="28"/>
                <w:szCs w:val="28"/>
                <w:rtl/>
              </w:rPr>
            </w:pPr>
          </w:p>
        </w:tc>
      </w:tr>
    </w:tbl>
    <w:p w14:paraId="077E6996" w14:textId="77777777" w:rsidR="0000080A" w:rsidRPr="00B33022" w:rsidRDefault="00B33022">
      <w:pPr>
        <w:pStyle w:val="a3"/>
        <w:rPr>
          <w:rtl/>
        </w:rPr>
      </w:pPr>
      <w:r w:rsidRPr="00B3302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0080A" w:rsidRPr="00B33022" w14:paraId="4C94D6A9" w14:textId="77777777">
        <w:trPr>
          <w:trHeight w:val="295"/>
          <w:jc w:val="center"/>
        </w:trPr>
        <w:tc>
          <w:tcPr>
            <w:tcW w:w="923" w:type="dxa"/>
            <w:tcBorders>
              <w:top w:val="nil"/>
              <w:left w:val="nil"/>
              <w:bottom w:val="nil"/>
              <w:right w:val="nil"/>
            </w:tcBorders>
          </w:tcPr>
          <w:p w14:paraId="17A5481B" w14:textId="77777777" w:rsidR="0000080A" w:rsidRPr="00B33022" w:rsidRDefault="00B33022">
            <w:pPr>
              <w:jc w:val="both"/>
              <w:rPr>
                <w:rFonts w:ascii="Arial" w:hAnsi="Arial"/>
                <w:b/>
                <w:bCs/>
                <w:sz w:val="26"/>
                <w:szCs w:val="26"/>
              </w:rPr>
            </w:pPr>
            <w:r w:rsidRPr="00B33022">
              <w:rPr>
                <w:rFonts w:ascii="Arial" w:hAnsi="Arial" w:hint="cs"/>
                <w:b/>
                <w:bCs/>
                <w:sz w:val="26"/>
                <w:szCs w:val="26"/>
                <w:rtl/>
              </w:rPr>
              <w:t>ב</w:t>
            </w:r>
            <w:r w:rsidRPr="00B33022">
              <w:rPr>
                <w:rFonts w:ascii="Arial" w:hAnsi="Arial"/>
                <w:b/>
                <w:bCs/>
                <w:sz w:val="26"/>
                <w:szCs w:val="26"/>
                <w:rtl/>
              </w:rPr>
              <w:t xml:space="preserve">פני </w:t>
            </w:r>
          </w:p>
        </w:tc>
        <w:tc>
          <w:tcPr>
            <w:tcW w:w="7897" w:type="dxa"/>
            <w:gridSpan w:val="2"/>
            <w:tcBorders>
              <w:top w:val="nil"/>
              <w:left w:val="nil"/>
              <w:bottom w:val="nil"/>
              <w:right w:val="nil"/>
            </w:tcBorders>
          </w:tcPr>
          <w:p w14:paraId="3ACBF885" w14:textId="77777777" w:rsidR="0000080A" w:rsidRPr="00B33022" w:rsidRDefault="00B33022">
            <w:pPr>
              <w:rPr>
                <w:rFonts w:ascii="Arial" w:hAnsi="Arial"/>
                <w:b/>
                <w:bCs/>
                <w:sz w:val="26"/>
                <w:szCs w:val="26"/>
                <w:rtl/>
              </w:rPr>
            </w:pPr>
            <w:r w:rsidRPr="00B33022">
              <w:rPr>
                <w:rFonts w:ascii="Arial" w:hAnsi="Arial" w:hint="cs"/>
                <w:b/>
                <w:bCs/>
                <w:sz w:val="26"/>
                <w:szCs w:val="26"/>
                <w:rtl/>
              </w:rPr>
              <w:t>כב' ה</w:t>
            </w:r>
            <w:r w:rsidRPr="00B33022">
              <w:rPr>
                <w:rFonts w:hint="cs"/>
                <w:b/>
                <w:bCs/>
                <w:sz w:val="26"/>
                <w:szCs w:val="26"/>
                <w:rtl/>
              </w:rPr>
              <w:t>שופט</w:t>
            </w:r>
            <w:r w:rsidRPr="00B33022">
              <w:rPr>
                <w:rFonts w:ascii="Arial" w:hAnsi="Arial" w:hint="cs"/>
                <w:b/>
                <w:bCs/>
                <w:sz w:val="26"/>
                <w:szCs w:val="26"/>
                <w:rtl/>
              </w:rPr>
              <w:t xml:space="preserve">  </w:t>
            </w:r>
            <w:r w:rsidRPr="00B33022">
              <w:rPr>
                <w:rFonts w:hint="cs"/>
                <w:b/>
                <w:bCs/>
                <w:sz w:val="26"/>
                <w:szCs w:val="26"/>
                <w:rtl/>
              </w:rPr>
              <w:t>ד"ר שאול אבינור</w:t>
            </w:r>
          </w:p>
          <w:p w14:paraId="3E09CF72" w14:textId="77777777" w:rsidR="0000080A" w:rsidRPr="00B33022" w:rsidRDefault="0000080A">
            <w:pPr>
              <w:rPr>
                <w:b/>
                <w:bCs/>
                <w:sz w:val="26"/>
                <w:szCs w:val="26"/>
                <w:rtl/>
              </w:rPr>
            </w:pPr>
          </w:p>
          <w:p w14:paraId="19682D0C" w14:textId="77777777" w:rsidR="0000080A" w:rsidRPr="00B33022" w:rsidRDefault="0000080A">
            <w:pPr>
              <w:jc w:val="both"/>
              <w:rPr>
                <w:rFonts w:ascii="Arial" w:hAnsi="Arial"/>
                <w:b/>
                <w:bCs/>
                <w:sz w:val="26"/>
                <w:szCs w:val="26"/>
              </w:rPr>
            </w:pPr>
          </w:p>
        </w:tc>
      </w:tr>
      <w:tr w:rsidR="0000080A" w:rsidRPr="00B33022" w14:paraId="5E9F09B5" w14:textId="77777777">
        <w:trPr>
          <w:trHeight w:val="355"/>
          <w:jc w:val="center"/>
        </w:trPr>
        <w:tc>
          <w:tcPr>
            <w:tcW w:w="923" w:type="dxa"/>
            <w:tcBorders>
              <w:top w:val="nil"/>
              <w:left w:val="nil"/>
              <w:bottom w:val="nil"/>
              <w:right w:val="nil"/>
            </w:tcBorders>
          </w:tcPr>
          <w:p w14:paraId="04FBFF2B" w14:textId="77777777" w:rsidR="0000080A" w:rsidRPr="00B33022" w:rsidRDefault="00B33022">
            <w:pPr>
              <w:jc w:val="both"/>
              <w:rPr>
                <w:rFonts w:ascii="Arial" w:hAnsi="Arial"/>
                <w:b/>
                <w:bCs/>
                <w:sz w:val="26"/>
                <w:szCs w:val="26"/>
              </w:rPr>
            </w:pPr>
            <w:bookmarkStart w:id="1" w:name="FirstAppellant"/>
            <w:r w:rsidRPr="00B33022">
              <w:rPr>
                <w:rFonts w:ascii="Arial" w:hAnsi="Arial" w:hint="cs"/>
                <w:b/>
                <w:bCs/>
                <w:sz w:val="26"/>
                <w:szCs w:val="26"/>
                <w:rtl/>
              </w:rPr>
              <w:t>בעניין:</w:t>
            </w:r>
          </w:p>
        </w:tc>
        <w:tc>
          <w:tcPr>
            <w:tcW w:w="4126" w:type="dxa"/>
            <w:tcBorders>
              <w:top w:val="nil"/>
              <w:left w:val="nil"/>
              <w:bottom w:val="nil"/>
              <w:right w:val="nil"/>
            </w:tcBorders>
          </w:tcPr>
          <w:p w14:paraId="5278CC11" w14:textId="77777777" w:rsidR="0000080A" w:rsidRPr="00B33022" w:rsidRDefault="00B33022">
            <w:pPr>
              <w:rPr>
                <w:b/>
                <w:bCs/>
                <w:sz w:val="26"/>
                <w:szCs w:val="26"/>
              </w:rPr>
            </w:pPr>
            <w:r w:rsidRPr="00B33022">
              <w:rPr>
                <w:rFonts w:hint="cs"/>
                <w:b/>
                <w:bCs/>
                <w:sz w:val="26"/>
                <w:szCs w:val="26"/>
                <w:rtl/>
              </w:rPr>
              <w:t>מדינת ישראל</w:t>
            </w:r>
          </w:p>
        </w:tc>
        <w:tc>
          <w:tcPr>
            <w:tcW w:w="3771" w:type="dxa"/>
            <w:tcBorders>
              <w:top w:val="nil"/>
              <w:left w:val="nil"/>
              <w:bottom w:val="nil"/>
              <w:right w:val="nil"/>
            </w:tcBorders>
          </w:tcPr>
          <w:p w14:paraId="7F3991E5" w14:textId="77777777" w:rsidR="0000080A" w:rsidRPr="00B33022" w:rsidRDefault="0000080A">
            <w:pPr>
              <w:jc w:val="both"/>
              <w:rPr>
                <w:rFonts w:ascii="Arial" w:hAnsi="Arial"/>
                <w:b/>
                <w:bCs/>
                <w:sz w:val="26"/>
                <w:szCs w:val="26"/>
              </w:rPr>
            </w:pPr>
          </w:p>
        </w:tc>
      </w:tr>
      <w:tr w:rsidR="0000080A" w:rsidRPr="00B33022" w14:paraId="3F144B47" w14:textId="77777777">
        <w:trPr>
          <w:trHeight w:val="355"/>
          <w:jc w:val="center"/>
        </w:trPr>
        <w:tc>
          <w:tcPr>
            <w:tcW w:w="923" w:type="dxa"/>
            <w:tcBorders>
              <w:top w:val="nil"/>
              <w:left w:val="nil"/>
              <w:bottom w:val="nil"/>
              <w:right w:val="nil"/>
            </w:tcBorders>
          </w:tcPr>
          <w:p w14:paraId="164446FD" w14:textId="77777777" w:rsidR="0000080A" w:rsidRPr="00B33022" w:rsidRDefault="0000080A">
            <w:pPr>
              <w:jc w:val="both"/>
              <w:rPr>
                <w:rFonts w:ascii="Arial" w:hAnsi="Arial"/>
                <w:b/>
                <w:bCs/>
                <w:sz w:val="26"/>
                <w:szCs w:val="26"/>
                <w:rtl/>
              </w:rPr>
            </w:pPr>
            <w:bookmarkStart w:id="2" w:name="FirstLawyer"/>
            <w:bookmarkEnd w:id="1"/>
          </w:p>
        </w:tc>
        <w:tc>
          <w:tcPr>
            <w:tcW w:w="4126" w:type="dxa"/>
            <w:tcBorders>
              <w:top w:val="nil"/>
              <w:left w:val="nil"/>
              <w:bottom w:val="nil"/>
              <w:right w:val="nil"/>
            </w:tcBorders>
          </w:tcPr>
          <w:p w14:paraId="54641068" w14:textId="77777777" w:rsidR="0000080A" w:rsidRPr="00B33022" w:rsidRDefault="00B33022">
            <w:pPr>
              <w:jc w:val="both"/>
              <w:rPr>
                <w:b/>
                <w:bCs/>
                <w:sz w:val="26"/>
                <w:szCs w:val="26"/>
                <w:rtl/>
              </w:rPr>
            </w:pPr>
            <w:r w:rsidRPr="00B33022">
              <w:rPr>
                <w:rFonts w:hint="cs"/>
                <w:b/>
                <w:bCs/>
                <w:sz w:val="26"/>
                <w:szCs w:val="26"/>
                <w:rtl/>
              </w:rPr>
              <w:t xml:space="preserve">ע"י ב"כ עו"ד רותם חזן </w:t>
            </w:r>
          </w:p>
        </w:tc>
        <w:tc>
          <w:tcPr>
            <w:tcW w:w="3771" w:type="dxa"/>
            <w:tcBorders>
              <w:top w:val="nil"/>
              <w:left w:val="nil"/>
              <w:bottom w:val="nil"/>
              <w:right w:val="nil"/>
            </w:tcBorders>
          </w:tcPr>
          <w:p w14:paraId="1DD63DF9" w14:textId="77777777" w:rsidR="0000080A" w:rsidRPr="00B33022" w:rsidRDefault="00B33022">
            <w:pPr>
              <w:jc w:val="right"/>
              <w:rPr>
                <w:rFonts w:ascii="Arial" w:hAnsi="Arial"/>
                <w:b/>
                <w:bCs/>
                <w:sz w:val="26"/>
                <w:szCs w:val="26"/>
                <w:rtl/>
              </w:rPr>
            </w:pPr>
            <w:r w:rsidRPr="00B33022">
              <w:rPr>
                <w:rFonts w:ascii="Arial" w:hAnsi="Arial" w:hint="cs"/>
                <w:b/>
                <w:bCs/>
                <w:sz w:val="26"/>
                <w:szCs w:val="26"/>
                <w:rtl/>
              </w:rPr>
              <w:t>ה</w:t>
            </w:r>
            <w:r w:rsidRPr="00B33022">
              <w:rPr>
                <w:rFonts w:hint="cs"/>
                <w:b/>
                <w:bCs/>
                <w:sz w:val="26"/>
                <w:szCs w:val="26"/>
                <w:rtl/>
              </w:rPr>
              <w:t>מאשימה</w:t>
            </w:r>
          </w:p>
        </w:tc>
      </w:tr>
      <w:bookmarkEnd w:id="2"/>
      <w:tr w:rsidR="0000080A" w:rsidRPr="00B33022" w14:paraId="3EC22FDE" w14:textId="77777777">
        <w:trPr>
          <w:trHeight w:val="355"/>
          <w:jc w:val="center"/>
        </w:trPr>
        <w:tc>
          <w:tcPr>
            <w:tcW w:w="923" w:type="dxa"/>
            <w:tcBorders>
              <w:top w:val="nil"/>
              <w:left w:val="nil"/>
              <w:bottom w:val="nil"/>
              <w:right w:val="nil"/>
            </w:tcBorders>
          </w:tcPr>
          <w:p w14:paraId="0898CA1F" w14:textId="77777777" w:rsidR="0000080A" w:rsidRPr="00B33022" w:rsidRDefault="0000080A">
            <w:pPr>
              <w:jc w:val="both"/>
              <w:rPr>
                <w:rFonts w:ascii="Arial" w:hAnsi="Arial"/>
                <w:b/>
                <w:bCs/>
                <w:sz w:val="26"/>
                <w:szCs w:val="26"/>
                <w:rtl/>
              </w:rPr>
            </w:pPr>
          </w:p>
        </w:tc>
        <w:tc>
          <w:tcPr>
            <w:tcW w:w="7897" w:type="dxa"/>
            <w:gridSpan w:val="2"/>
            <w:tcBorders>
              <w:top w:val="nil"/>
              <w:left w:val="nil"/>
              <w:bottom w:val="nil"/>
              <w:right w:val="nil"/>
            </w:tcBorders>
          </w:tcPr>
          <w:p w14:paraId="688ECD3E" w14:textId="77777777" w:rsidR="0000080A" w:rsidRPr="00B33022" w:rsidRDefault="0000080A">
            <w:pPr>
              <w:jc w:val="center"/>
              <w:rPr>
                <w:rFonts w:ascii="Arial" w:hAnsi="Arial"/>
                <w:b/>
                <w:bCs/>
                <w:sz w:val="26"/>
                <w:szCs w:val="26"/>
                <w:rtl/>
              </w:rPr>
            </w:pPr>
          </w:p>
          <w:p w14:paraId="4964B663" w14:textId="77777777" w:rsidR="0000080A" w:rsidRPr="00B33022" w:rsidRDefault="0000080A">
            <w:pPr>
              <w:jc w:val="center"/>
              <w:rPr>
                <w:rFonts w:ascii="Arial" w:hAnsi="Arial"/>
                <w:b/>
                <w:bCs/>
                <w:sz w:val="26"/>
                <w:szCs w:val="26"/>
                <w:rtl/>
              </w:rPr>
            </w:pPr>
          </w:p>
          <w:p w14:paraId="37B5DF43" w14:textId="77777777" w:rsidR="0000080A" w:rsidRPr="00B33022" w:rsidRDefault="00B33022">
            <w:pPr>
              <w:jc w:val="center"/>
              <w:rPr>
                <w:rFonts w:ascii="Arial" w:hAnsi="Arial"/>
                <w:b/>
                <w:bCs/>
                <w:sz w:val="26"/>
                <w:szCs w:val="26"/>
                <w:rtl/>
              </w:rPr>
            </w:pPr>
            <w:r w:rsidRPr="00B33022">
              <w:rPr>
                <w:rFonts w:ascii="Arial" w:hAnsi="Arial"/>
                <w:b/>
                <w:bCs/>
                <w:sz w:val="26"/>
                <w:szCs w:val="26"/>
                <w:rtl/>
              </w:rPr>
              <w:t>נגד</w:t>
            </w:r>
          </w:p>
          <w:p w14:paraId="5742EB60" w14:textId="77777777" w:rsidR="0000080A" w:rsidRPr="00B33022" w:rsidRDefault="0000080A">
            <w:pPr>
              <w:jc w:val="both"/>
              <w:rPr>
                <w:rFonts w:ascii="Arial" w:hAnsi="Arial"/>
                <w:b/>
                <w:bCs/>
                <w:sz w:val="26"/>
                <w:szCs w:val="26"/>
                <w:rtl/>
              </w:rPr>
            </w:pPr>
          </w:p>
          <w:p w14:paraId="3D4C9A24" w14:textId="77777777" w:rsidR="0000080A" w:rsidRPr="00B33022" w:rsidRDefault="0000080A">
            <w:pPr>
              <w:jc w:val="both"/>
              <w:rPr>
                <w:rFonts w:ascii="Arial" w:hAnsi="Arial"/>
                <w:b/>
                <w:bCs/>
                <w:sz w:val="26"/>
                <w:szCs w:val="26"/>
              </w:rPr>
            </w:pPr>
          </w:p>
        </w:tc>
      </w:tr>
      <w:tr w:rsidR="0000080A" w:rsidRPr="00B33022" w14:paraId="3CA10463" w14:textId="77777777">
        <w:trPr>
          <w:trHeight w:val="355"/>
          <w:jc w:val="center"/>
        </w:trPr>
        <w:tc>
          <w:tcPr>
            <w:tcW w:w="923" w:type="dxa"/>
            <w:tcBorders>
              <w:top w:val="nil"/>
              <w:left w:val="nil"/>
              <w:bottom w:val="nil"/>
              <w:right w:val="nil"/>
            </w:tcBorders>
          </w:tcPr>
          <w:p w14:paraId="3AB33ADB" w14:textId="77777777" w:rsidR="0000080A" w:rsidRPr="00B33022" w:rsidRDefault="0000080A">
            <w:pPr>
              <w:rPr>
                <w:rFonts w:ascii="Arial" w:hAnsi="Arial"/>
                <w:b/>
                <w:bCs/>
                <w:sz w:val="26"/>
                <w:szCs w:val="26"/>
                <w:rtl/>
              </w:rPr>
            </w:pPr>
          </w:p>
        </w:tc>
        <w:tc>
          <w:tcPr>
            <w:tcW w:w="4126" w:type="dxa"/>
            <w:tcBorders>
              <w:top w:val="nil"/>
              <w:left w:val="nil"/>
              <w:bottom w:val="nil"/>
              <w:right w:val="nil"/>
            </w:tcBorders>
          </w:tcPr>
          <w:p w14:paraId="08E5A9EC" w14:textId="77777777" w:rsidR="0000080A" w:rsidRPr="00B33022" w:rsidRDefault="00B33022">
            <w:pPr>
              <w:rPr>
                <w:b/>
                <w:bCs/>
                <w:sz w:val="26"/>
                <w:szCs w:val="26"/>
                <w:rtl/>
              </w:rPr>
            </w:pPr>
            <w:r w:rsidRPr="00B33022">
              <w:rPr>
                <w:rFonts w:hint="cs"/>
                <w:b/>
                <w:bCs/>
                <w:sz w:val="26"/>
                <w:szCs w:val="26"/>
                <w:rtl/>
              </w:rPr>
              <w:t>מיכאל קרנץ (עציר)</w:t>
            </w:r>
          </w:p>
        </w:tc>
        <w:tc>
          <w:tcPr>
            <w:tcW w:w="3771" w:type="dxa"/>
            <w:tcBorders>
              <w:top w:val="nil"/>
              <w:left w:val="nil"/>
              <w:bottom w:val="nil"/>
              <w:right w:val="nil"/>
            </w:tcBorders>
          </w:tcPr>
          <w:p w14:paraId="6DB46559" w14:textId="77777777" w:rsidR="0000080A" w:rsidRPr="00B33022" w:rsidRDefault="0000080A">
            <w:pPr>
              <w:jc w:val="right"/>
              <w:rPr>
                <w:rFonts w:ascii="Arial" w:hAnsi="Arial"/>
                <w:b/>
                <w:bCs/>
                <w:sz w:val="26"/>
                <w:szCs w:val="26"/>
              </w:rPr>
            </w:pPr>
          </w:p>
        </w:tc>
      </w:tr>
      <w:tr w:rsidR="0000080A" w:rsidRPr="00B33022" w14:paraId="645C8F40" w14:textId="77777777">
        <w:trPr>
          <w:trHeight w:val="355"/>
          <w:jc w:val="center"/>
        </w:trPr>
        <w:tc>
          <w:tcPr>
            <w:tcW w:w="923" w:type="dxa"/>
            <w:tcBorders>
              <w:top w:val="nil"/>
              <w:left w:val="nil"/>
              <w:bottom w:val="nil"/>
              <w:right w:val="nil"/>
            </w:tcBorders>
          </w:tcPr>
          <w:p w14:paraId="083229F4" w14:textId="77777777" w:rsidR="0000080A" w:rsidRPr="00B33022" w:rsidRDefault="0000080A">
            <w:pPr>
              <w:jc w:val="both"/>
              <w:rPr>
                <w:rFonts w:ascii="Arial" w:hAnsi="Arial"/>
                <w:b/>
                <w:bCs/>
                <w:sz w:val="26"/>
                <w:szCs w:val="26"/>
                <w:rtl/>
              </w:rPr>
            </w:pPr>
          </w:p>
        </w:tc>
        <w:tc>
          <w:tcPr>
            <w:tcW w:w="4126" w:type="dxa"/>
            <w:tcBorders>
              <w:top w:val="nil"/>
              <w:left w:val="nil"/>
              <w:bottom w:val="nil"/>
              <w:right w:val="nil"/>
            </w:tcBorders>
          </w:tcPr>
          <w:p w14:paraId="07801CE8" w14:textId="77777777" w:rsidR="0000080A" w:rsidRPr="00B33022" w:rsidRDefault="00B33022">
            <w:pPr>
              <w:jc w:val="both"/>
              <w:rPr>
                <w:b/>
                <w:bCs/>
                <w:sz w:val="26"/>
                <w:szCs w:val="26"/>
                <w:rtl/>
              </w:rPr>
            </w:pPr>
            <w:r w:rsidRPr="00B33022">
              <w:rPr>
                <w:rFonts w:hint="cs"/>
                <w:b/>
                <w:bCs/>
                <w:sz w:val="26"/>
                <w:szCs w:val="26"/>
                <w:rtl/>
              </w:rPr>
              <w:t xml:space="preserve">ע"י עו"ד לנג </w:t>
            </w:r>
          </w:p>
        </w:tc>
        <w:tc>
          <w:tcPr>
            <w:tcW w:w="3771" w:type="dxa"/>
            <w:tcBorders>
              <w:top w:val="nil"/>
              <w:left w:val="nil"/>
              <w:bottom w:val="nil"/>
              <w:right w:val="nil"/>
            </w:tcBorders>
          </w:tcPr>
          <w:p w14:paraId="58E1AAA6" w14:textId="77777777" w:rsidR="0000080A" w:rsidRPr="00B33022" w:rsidRDefault="00B33022">
            <w:pPr>
              <w:jc w:val="right"/>
              <w:rPr>
                <w:rFonts w:ascii="Arial" w:hAnsi="Arial"/>
                <w:b/>
                <w:bCs/>
                <w:sz w:val="26"/>
                <w:szCs w:val="26"/>
              </w:rPr>
            </w:pPr>
            <w:r w:rsidRPr="00B33022">
              <w:rPr>
                <w:rFonts w:ascii="Arial" w:hAnsi="Arial" w:hint="cs"/>
                <w:b/>
                <w:bCs/>
                <w:sz w:val="26"/>
                <w:szCs w:val="26"/>
                <w:rtl/>
              </w:rPr>
              <w:t>ה</w:t>
            </w:r>
            <w:r w:rsidRPr="00B33022">
              <w:rPr>
                <w:rFonts w:hint="cs"/>
                <w:b/>
                <w:bCs/>
                <w:sz w:val="26"/>
                <w:szCs w:val="26"/>
                <w:rtl/>
              </w:rPr>
              <w:t>נאשם</w:t>
            </w:r>
          </w:p>
        </w:tc>
      </w:tr>
    </w:tbl>
    <w:p w14:paraId="4DF06822" w14:textId="77777777" w:rsidR="00955361" w:rsidRDefault="00955361">
      <w:pPr>
        <w:rPr>
          <w:rtl/>
        </w:rPr>
      </w:pPr>
      <w:bookmarkStart w:id="3" w:name="LawTable"/>
      <w:bookmarkEnd w:id="3"/>
    </w:p>
    <w:p w14:paraId="1AD7D10C" w14:textId="77777777" w:rsidR="00955361" w:rsidRPr="00955361" w:rsidRDefault="00955361" w:rsidP="00955361">
      <w:pPr>
        <w:spacing w:after="120" w:line="240" w:lineRule="exact"/>
        <w:ind w:left="283" w:hanging="283"/>
        <w:jc w:val="both"/>
        <w:rPr>
          <w:rFonts w:ascii="FrankRuehl" w:hAnsi="FrankRuehl" w:cs="FrankRuehl"/>
          <w:rtl/>
        </w:rPr>
      </w:pPr>
    </w:p>
    <w:p w14:paraId="647B7407" w14:textId="77777777" w:rsidR="00955361" w:rsidRPr="00955361" w:rsidRDefault="00955361" w:rsidP="00955361">
      <w:pPr>
        <w:spacing w:after="120" w:line="240" w:lineRule="exact"/>
        <w:ind w:left="283" w:hanging="283"/>
        <w:jc w:val="both"/>
        <w:rPr>
          <w:rFonts w:ascii="FrankRuehl" w:hAnsi="FrankRuehl" w:cs="FrankRuehl"/>
          <w:rtl/>
        </w:rPr>
      </w:pPr>
      <w:r w:rsidRPr="00955361">
        <w:rPr>
          <w:rFonts w:ascii="FrankRuehl" w:hAnsi="FrankRuehl" w:cs="FrankRuehl"/>
          <w:rtl/>
        </w:rPr>
        <w:t xml:space="preserve">חקיקה שאוזכרה: </w:t>
      </w:r>
    </w:p>
    <w:p w14:paraId="6F1F12FF" w14:textId="77777777" w:rsidR="00955361" w:rsidRPr="00955361" w:rsidRDefault="00955361" w:rsidP="00955361">
      <w:pPr>
        <w:spacing w:after="120" w:line="240" w:lineRule="exact"/>
        <w:ind w:left="283" w:hanging="283"/>
        <w:jc w:val="both"/>
        <w:rPr>
          <w:rFonts w:ascii="FrankRuehl" w:hAnsi="FrankRuehl" w:cs="FrankRuehl"/>
          <w:rtl/>
        </w:rPr>
      </w:pPr>
      <w:hyperlink r:id="rId7" w:history="1">
        <w:r w:rsidRPr="00955361">
          <w:rPr>
            <w:rFonts w:ascii="FrankRuehl" w:hAnsi="FrankRuehl" w:cs="FrankRuehl"/>
            <w:color w:val="0000FF"/>
            <w:u w:val="single"/>
            <w:rtl/>
          </w:rPr>
          <w:t>חוק העונשין, תשל"ז-1977</w:t>
        </w:r>
      </w:hyperlink>
      <w:r w:rsidRPr="00955361">
        <w:rPr>
          <w:rFonts w:ascii="FrankRuehl" w:hAnsi="FrankRuehl" w:cs="FrankRuehl"/>
          <w:rtl/>
        </w:rPr>
        <w:t xml:space="preserve">: סע'  </w:t>
      </w:r>
      <w:hyperlink r:id="rId8" w:history="1">
        <w:r w:rsidRPr="00955361">
          <w:rPr>
            <w:rFonts w:ascii="FrankRuehl" w:hAnsi="FrankRuehl" w:cs="FrankRuehl"/>
            <w:color w:val="0000FF"/>
            <w:u w:val="single"/>
            <w:rtl/>
          </w:rPr>
          <w:t>40ג(א)</w:t>
        </w:r>
      </w:hyperlink>
      <w:r w:rsidRPr="00955361">
        <w:rPr>
          <w:rFonts w:ascii="FrankRuehl" w:hAnsi="FrankRuehl" w:cs="FrankRuehl"/>
          <w:rtl/>
        </w:rPr>
        <w:t xml:space="preserve">, </w:t>
      </w:r>
      <w:hyperlink r:id="rId9" w:history="1">
        <w:r w:rsidRPr="00955361">
          <w:rPr>
            <w:rFonts w:ascii="FrankRuehl" w:hAnsi="FrankRuehl" w:cs="FrankRuehl"/>
            <w:color w:val="0000FF"/>
            <w:u w:val="single"/>
            <w:rtl/>
          </w:rPr>
          <w:t>40ג(ב)</w:t>
        </w:r>
      </w:hyperlink>
      <w:r w:rsidRPr="00955361">
        <w:rPr>
          <w:rFonts w:ascii="FrankRuehl" w:hAnsi="FrankRuehl" w:cs="FrankRuehl"/>
          <w:rtl/>
        </w:rPr>
        <w:t xml:space="preserve">, </w:t>
      </w:r>
      <w:hyperlink r:id="rId10" w:history="1">
        <w:r w:rsidRPr="00955361">
          <w:rPr>
            <w:rFonts w:ascii="FrankRuehl" w:hAnsi="FrankRuehl" w:cs="FrankRuehl"/>
            <w:color w:val="0000FF"/>
            <w:u w:val="single"/>
            <w:rtl/>
          </w:rPr>
          <w:t>40ט</w:t>
        </w:r>
      </w:hyperlink>
      <w:r w:rsidRPr="00955361">
        <w:rPr>
          <w:rFonts w:ascii="FrankRuehl" w:hAnsi="FrankRuehl" w:cs="FrankRuehl"/>
          <w:rtl/>
        </w:rPr>
        <w:t xml:space="preserve">, </w:t>
      </w:r>
      <w:hyperlink r:id="rId11" w:history="1">
        <w:r w:rsidRPr="00955361">
          <w:rPr>
            <w:rFonts w:ascii="FrankRuehl" w:hAnsi="FrankRuehl" w:cs="FrankRuehl"/>
            <w:color w:val="0000FF"/>
            <w:u w:val="single"/>
            <w:rtl/>
          </w:rPr>
          <w:t>192</w:t>
        </w:r>
      </w:hyperlink>
      <w:r w:rsidRPr="00955361">
        <w:rPr>
          <w:rFonts w:ascii="FrankRuehl" w:hAnsi="FrankRuehl" w:cs="FrankRuehl"/>
          <w:rtl/>
        </w:rPr>
        <w:t xml:space="preserve">, </w:t>
      </w:r>
      <w:hyperlink r:id="rId12" w:history="1">
        <w:r w:rsidRPr="00955361">
          <w:rPr>
            <w:rFonts w:ascii="FrankRuehl" w:hAnsi="FrankRuehl" w:cs="FrankRuehl"/>
            <w:color w:val="0000FF"/>
            <w:u w:val="single"/>
            <w:rtl/>
          </w:rPr>
          <w:t>275</w:t>
        </w:r>
      </w:hyperlink>
      <w:r w:rsidRPr="00955361">
        <w:rPr>
          <w:rFonts w:ascii="FrankRuehl" w:hAnsi="FrankRuehl" w:cs="FrankRuehl"/>
          <w:rtl/>
        </w:rPr>
        <w:t xml:space="preserve">, </w:t>
      </w:r>
      <w:hyperlink r:id="rId13" w:history="1">
        <w:r w:rsidRPr="00955361">
          <w:rPr>
            <w:rFonts w:ascii="FrankRuehl" w:hAnsi="FrankRuehl" w:cs="FrankRuehl"/>
            <w:color w:val="0000FF"/>
            <w:u w:val="single"/>
            <w:rtl/>
          </w:rPr>
          <w:t>40יא</w:t>
        </w:r>
      </w:hyperlink>
    </w:p>
    <w:p w14:paraId="1628B467" w14:textId="77777777" w:rsidR="00955361" w:rsidRPr="00955361" w:rsidRDefault="00955361" w:rsidP="00955361">
      <w:pPr>
        <w:spacing w:after="120" w:line="240" w:lineRule="exact"/>
        <w:ind w:left="283" w:hanging="283"/>
        <w:jc w:val="both"/>
        <w:rPr>
          <w:rFonts w:ascii="FrankRuehl" w:hAnsi="FrankRuehl" w:cs="FrankRuehl"/>
          <w:rtl/>
        </w:rPr>
      </w:pPr>
      <w:hyperlink r:id="rId14" w:history="1">
        <w:r w:rsidRPr="00955361">
          <w:rPr>
            <w:rFonts w:ascii="FrankRuehl" w:hAnsi="FrankRuehl" w:cs="FrankRuehl"/>
            <w:color w:val="0000FF"/>
            <w:u w:val="single"/>
            <w:rtl/>
          </w:rPr>
          <w:t>פקודת הסמים המסוכנים [נוסח חדש], תשל"ג-1973</w:t>
        </w:r>
      </w:hyperlink>
      <w:r w:rsidRPr="00955361">
        <w:rPr>
          <w:rFonts w:ascii="FrankRuehl" w:hAnsi="FrankRuehl" w:cs="FrankRuehl"/>
          <w:rtl/>
        </w:rPr>
        <w:t xml:space="preserve">: סע'  </w:t>
      </w:r>
      <w:hyperlink r:id="rId15" w:history="1">
        <w:r w:rsidRPr="00955361">
          <w:rPr>
            <w:rFonts w:ascii="FrankRuehl" w:hAnsi="FrankRuehl" w:cs="FrankRuehl"/>
            <w:color w:val="0000FF"/>
            <w:u w:val="single"/>
            <w:rtl/>
          </w:rPr>
          <w:t>7(א)</w:t>
        </w:r>
      </w:hyperlink>
      <w:r w:rsidRPr="00955361">
        <w:rPr>
          <w:rFonts w:ascii="FrankRuehl" w:hAnsi="FrankRuehl" w:cs="FrankRuehl"/>
          <w:rtl/>
        </w:rPr>
        <w:t xml:space="preserve">, </w:t>
      </w:r>
      <w:hyperlink r:id="rId16" w:history="1">
        <w:r w:rsidRPr="00955361">
          <w:rPr>
            <w:rFonts w:ascii="FrankRuehl" w:hAnsi="FrankRuehl" w:cs="FrankRuehl"/>
            <w:color w:val="0000FF"/>
            <w:u w:val="single"/>
            <w:rtl/>
          </w:rPr>
          <w:t>7(ג)</w:t>
        </w:r>
      </w:hyperlink>
    </w:p>
    <w:p w14:paraId="329D9F52" w14:textId="77777777" w:rsidR="00955361" w:rsidRPr="00955361" w:rsidRDefault="00955361" w:rsidP="00955361">
      <w:pPr>
        <w:spacing w:after="120" w:line="240" w:lineRule="exact"/>
        <w:ind w:left="283" w:hanging="283"/>
        <w:jc w:val="both"/>
        <w:rPr>
          <w:rFonts w:ascii="FrankRuehl" w:hAnsi="FrankRuehl" w:cs="FrankRuehl"/>
          <w:rtl/>
        </w:rPr>
      </w:pPr>
    </w:p>
    <w:p w14:paraId="63F5E6B3" w14:textId="77777777" w:rsidR="00955361" w:rsidRPr="00955361" w:rsidRDefault="00955361">
      <w:pPr>
        <w:rPr>
          <w:rtl/>
        </w:rPr>
      </w:pPr>
      <w:bookmarkStart w:id="4" w:name="LawTable_End"/>
      <w:bookmarkEnd w:id="4"/>
    </w:p>
    <w:p w14:paraId="6BA06007" w14:textId="77777777" w:rsidR="00B01265" w:rsidRPr="00B01265" w:rsidRDefault="00B01265">
      <w:pPr>
        <w:rPr>
          <w:rtl/>
        </w:rPr>
      </w:pPr>
    </w:p>
    <w:p w14:paraId="0290E82E" w14:textId="77777777" w:rsidR="00305071" w:rsidRPr="00305071" w:rsidRDefault="00305071">
      <w:pPr>
        <w:rPr>
          <w:rtl/>
        </w:rPr>
      </w:pPr>
    </w:p>
    <w:p w14:paraId="0C27D51A" w14:textId="77777777" w:rsidR="0000080A" w:rsidRPr="00B33022" w:rsidRDefault="0000080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80A" w14:paraId="5CFDDAF6" w14:textId="77777777">
        <w:trPr>
          <w:trHeight w:val="355"/>
          <w:jc w:val="center"/>
        </w:trPr>
        <w:tc>
          <w:tcPr>
            <w:tcW w:w="8820" w:type="dxa"/>
            <w:tcBorders>
              <w:top w:val="nil"/>
              <w:left w:val="nil"/>
              <w:bottom w:val="nil"/>
              <w:right w:val="nil"/>
            </w:tcBorders>
          </w:tcPr>
          <w:p w14:paraId="6F26F640" w14:textId="77777777" w:rsidR="00B33022" w:rsidRPr="00B33022" w:rsidRDefault="00B33022" w:rsidP="00B33022">
            <w:pPr>
              <w:jc w:val="center"/>
              <w:rPr>
                <w:rFonts w:ascii="Arial" w:hAnsi="Arial"/>
                <w:b/>
                <w:bCs/>
                <w:sz w:val="36"/>
                <w:szCs w:val="36"/>
                <w:u w:val="single"/>
                <w:rtl/>
              </w:rPr>
            </w:pPr>
            <w:bookmarkStart w:id="5" w:name="PsakDin" w:colFirst="0" w:colLast="0"/>
            <w:bookmarkEnd w:id="0"/>
            <w:r w:rsidRPr="00B33022">
              <w:rPr>
                <w:rFonts w:ascii="Arial" w:hAnsi="Arial"/>
                <w:b/>
                <w:bCs/>
                <w:sz w:val="36"/>
                <w:szCs w:val="36"/>
                <w:u w:val="single"/>
                <w:rtl/>
              </w:rPr>
              <w:t>גזר דין</w:t>
            </w:r>
          </w:p>
          <w:p w14:paraId="44C1E1BD" w14:textId="77777777" w:rsidR="0000080A" w:rsidRPr="00B33022" w:rsidRDefault="0000080A" w:rsidP="00B33022">
            <w:pPr>
              <w:jc w:val="center"/>
              <w:rPr>
                <w:rFonts w:ascii="Arial" w:hAnsi="Arial"/>
                <w:bCs/>
                <w:sz w:val="32"/>
                <w:szCs w:val="32"/>
                <w:u w:val="single"/>
                <w:rtl/>
              </w:rPr>
            </w:pPr>
          </w:p>
        </w:tc>
      </w:tr>
      <w:bookmarkEnd w:id="5"/>
    </w:tbl>
    <w:p w14:paraId="11C5FE44" w14:textId="77777777" w:rsidR="0000080A" w:rsidRDefault="0000080A">
      <w:pPr>
        <w:rPr>
          <w:rFonts w:ascii="Arial" w:hAnsi="Arial"/>
          <w:rtl/>
        </w:rPr>
      </w:pPr>
    </w:p>
    <w:p w14:paraId="73B82395" w14:textId="77777777" w:rsidR="0000080A" w:rsidRDefault="0000080A">
      <w:pPr>
        <w:rPr>
          <w:rtl/>
        </w:rPr>
      </w:pPr>
    </w:p>
    <w:p w14:paraId="7A3A03C3" w14:textId="77777777" w:rsidR="0000080A" w:rsidRDefault="00B33022">
      <w:pPr>
        <w:spacing w:after="120" w:line="360" w:lineRule="auto"/>
        <w:jc w:val="both"/>
        <w:rPr>
          <w:b/>
          <w:bCs/>
          <w:u w:val="single"/>
        </w:rPr>
      </w:pPr>
      <w:r>
        <w:rPr>
          <w:rFonts w:hint="cs"/>
          <w:b/>
          <w:bCs/>
          <w:rtl/>
        </w:rPr>
        <w:t>א.</w:t>
      </w:r>
      <w:r>
        <w:rPr>
          <w:rFonts w:hint="cs"/>
          <w:b/>
          <w:bCs/>
          <w:rtl/>
        </w:rPr>
        <w:tab/>
      </w:r>
      <w:r>
        <w:rPr>
          <w:rFonts w:hint="cs"/>
          <w:b/>
          <w:bCs/>
          <w:u w:val="single"/>
          <w:rtl/>
        </w:rPr>
        <w:t>רקע כללי:</w:t>
      </w:r>
    </w:p>
    <w:p w14:paraId="1EAF3AC4" w14:textId="77777777" w:rsidR="0000080A" w:rsidRDefault="00B33022">
      <w:pPr>
        <w:spacing w:after="120"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יסוד הודאתו בעובדות כתב האישום, בעבירות של איומים, לפי הוראות </w:t>
      </w:r>
      <w:hyperlink r:id="rId17" w:history="1">
        <w:r w:rsidR="00B01265" w:rsidRPr="00B01265">
          <w:rPr>
            <w:color w:val="0000FF"/>
            <w:u w:val="single"/>
            <w:rtl/>
          </w:rPr>
          <w:t>סעיף 192</w:t>
        </w:r>
      </w:hyperlink>
      <w:r>
        <w:rPr>
          <w:rFonts w:hint="cs"/>
          <w:rtl/>
        </w:rPr>
        <w:t xml:space="preserve"> ל</w:t>
      </w:r>
      <w:hyperlink r:id="rId18" w:history="1">
        <w:r w:rsidR="00305071" w:rsidRPr="00305071">
          <w:rPr>
            <w:rStyle w:val="Hyperlink"/>
            <w:rtl/>
          </w:rPr>
          <w:t>חוק העונשין</w:t>
        </w:r>
      </w:hyperlink>
      <w:r>
        <w:rPr>
          <w:rFonts w:hint="cs"/>
          <w:rtl/>
        </w:rPr>
        <w:t xml:space="preserve">, תשל"ז-1977 (להלן – חוק העונשין), הפרעה לשוטר במילוי תפקידו, לפי הוראות </w:t>
      </w:r>
      <w:hyperlink r:id="rId19" w:history="1">
        <w:r w:rsidR="00B01265" w:rsidRPr="00B01265">
          <w:rPr>
            <w:color w:val="0000FF"/>
            <w:u w:val="single"/>
            <w:rtl/>
          </w:rPr>
          <w:t>סעיף 275</w:t>
        </w:r>
      </w:hyperlink>
      <w:r>
        <w:rPr>
          <w:rFonts w:hint="cs"/>
          <w:rtl/>
        </w:rPr>
        <w:t xml:space="preserve"> לחוק העונשין והחזקת סמים מסוכנים שלא לצריכה עצמית לפי הוראות </w:t>
      </w:r>
      <w:hyperlink r:id="rId20" w:history="1">
        <w:r w:rsidR="00B01265" w:rsidRPr="00B01265">
          <w:rPr>
            <w:color w:val="0000FF"/>
            <w:u w:val="single"/>
            <w:rtl/>
          </w:rPr>
          <w:t>סעיפים 7(א)</w:t>
        </w:r>
      </w:hyperlink>
      <w:r>
        <w:rPr>
          <w:rFonts w:hint="cs"/>
          <w:rtl/>
        </w:rPr>
        <w:t xml:space="preserve"> ו-</w:t>
      </w:r>
      <w:hyperlink r:id="rId21" w:history="1">
        <w:r w:rsidR="00B01265" w:rsidRPr="00B01265">
          <w:rPr>
            <w:color w:val="0000FF"/>
            <w:u w:val="single"/>
            <w:rtl/>
          </w:rPr>
          <w:t>7(ג)</w:t>
        </w:r>
      </w:hyperlink>
      <w:r>
        <w:rPr>
          <w:rFonts w:hint="cs"/>
          <w:rtl/>
        </w:rPr>
        <w:t xml:space="preserve"> רישא ל</w:t>
      </w:r>
      <w:hyperlink r:id="rId22" w:history="1">
        <w:r w:rsidR="00305071" w:rsidRPr="00305071">
          <w:rPr>
            <w:rStyle w:val="Hyperlink"/>
            <w:rtl/>
          </w:rPr>
          <w:t>פקודת הסמים המסוכנים</w:t>
        </w:r>
      </w:hyperlink>
      <w:r>
        <w:rPr>
          <w:rFonts w:hint="cs"/>
          <w:rtl/>
        </w:rPr>
        <w:t xml:space="preserve"> [נוסח חדש], תשל"ג-1973 (להלן </w:t>
      </w:r>
      <w:r>
        <w:rPr>
          <w:rtl/>
        </w:rPr>
        <w:t>–</w:t>
      </w:r>
      <w:r>
        <w:rPr>
          <w:rFonts w:hint="cs"/>
          <w:rtl/>
        </w:rPr>
        <w:t xml:space="preserve"> פקודת הסמים המסוכנים).</w:t>
      </w:r>
      <w:bookmarkStart w:id="7" w:name="ABSTRACT_END"/>
      <w:bookmarkEnd w:id="7"/>
    </w:p>
    <w:p w14:paraId="436E2C79" w14:textId="77777777" w:rsidR="0000080A" w:rsidRDefault="00B33022">
      <w:pPr>
        <w:spacing w:after="120" w:line="360" w:lineRule="auto"/>
        <w:ind w:left="720" w:hanging="720"/>
        <w:jc w:val="both"/>
        <w:rPr>
          <w:rtl/>
        </w:rPr>
      </w:pPr>
      <w:r>
        <w:rPr>
          <w:rFonts w:hint="cs"/>
          <w:rtl/>
        </w:rPr>
        <w:tab/>
        <w:t>מההרשעה נשמטה הכרזת הנאשם כסוחר סמים, והשמטה זו מתוקנת בזה.</w:t>
      </w:r>
    </w:p>
    <w:p w14:paraId="74ACEB6E" w14:textId="77777777" w:rsidR="0000080A" w:rsidRDefault="00B33022">
      <w:pPr>
        <w:spacing w:after="120" w:line="360" w:lineRule="auto"/>
        <w:ind w:left="720" w:hanging="720"/>
        <w:jc w:val="both"/>
        <w:rPr>
          <w:rtl/>
        </w:rPr>
      </w:pPr>
      <w:r>
        <w:rPr>
          <w:rFonts w:hint="cs"/>
          <w:rtl/>
        </w:rPr>
        <w:t>2.</w:t>
      </w:r>
      <w:r>
        <w:rPr>
          <w:rFonts w:hint="cs"/>
          <w:rtl/>
        </w:rPr>
        <w:tab/>
        <w:t xml:space="preserve">על פי עובדות כתב האישום, ביום 17.3.13 הגיעו שוטרים לערוך חיפוש בדירת הנאשם. הנאשם יצא מדירתו, וכאשר השוטרים הזדהו בפניו איים עליהם עם כלבו, מסוג אמסטף, </w:t>
      </w:r>
      <w:r>
        <w:rPr>
          <w:rFonts w:hint="cs"/>
          <w:rtl/>
        </w:rPr>
        <w:lastRenderedPageBreak/>
        <w:t>ולאחר מכן אף שלף סכין יפנית ונופף בה לעיני השוטרים. לאחר מכן נכנס לדירתו, נעל אותה, והשליך מחלון השירותים סמים מסוכנים מסוג חשיש במשקל 154.7 גרם נטו, וכן השליך אל אסלת השירותים סמים מסוכנים מסוג חשיש במשקל 53.7 גרם נטו. בנוסף החזיק הנאשם, על גופו ובסלון הדירה סמים מסוכנים מסוג חשיש במשקל 61.8 גרם נטו ובמשקל 74.8 גרם נטו, בהתאמה. עוד נתפס בדירה רכוש, שכלל בין השאר, 13,422 ₪ במזומן, 8 דולר ותווי קנייה בשווי כולל של 1,354 ₪.</w:t>
      </w:r>
    </w:p>
    <w:p w14:paraId="28D0D41F" w14:textId="77777777" w:rsidR="0000080A" w:rsidRDefault="00B33022">
      <w:pPr>
        <w:spacing w:after="120" w:line="360" w:lineRule="auto"/>
        <w:ind w:left="720"/>
        <w:jc w:val="both"/>
        <w:rPr>
          <w:rtl/>
        </w:rPr>
      </w:pPr>
      <w:r>
        <w:rPr>
          <w:rFonts w:hint="cs"/>
          <w:rtl/>
        </w:rPr>
        <w:t>על יסוד הודאתו של הנאשם בעובדות אלה הורשע הנאשם, כאמור, בעבירות הנ"ל.</w:t>
      </w:r>
    </w:p>
    <w:p w14:paraId="6E667829" w14:textId="77777777" w:rsidR="0000080A" w:rsidRDefault="00B33022">
      <w:pPr>
        <w:spacing w:after="120" w:line="360" w:lineRule="auto"/>
        <w:ind w:left="720" w:hanging="720"/>
        <w:jc w:val="both"/>
        <w:rPr>
          <w:rtl/>
        </w:rPr>
      </w:pPr>
      <w:r>
        <w:rPr>
          <w:rFonts w:hint="cs"/>
          <w:rtl/>
        </w:rPr>
        <w:t>3.</w:t>
      </w:r>
      <w:r>
        <w:rPr>
          <w:rFonts w:hint="cs"/>
          <w:rtl/>
        </w:rPr>
        <w:tab/>
        <w:t xml:space="preserve">עוד יצוין, ברקע הדברים, כי לבקשת ב"כ הנאשם </w:t>
      </w:r>
      <w:r>
        <w:rPr>
          <w:rtl/>
        </w:rPr>
        <w:t>–</w:t>
      </w:r>
      <w:r>
        <w:rPr>
          <w:rFonts w:hint="cs"/>
          <w:rtl/>
        </w:rPr>
        <w:t xml:space="preserve"> על רקע קשיי התקשורת עם הנאשם </w:t>
      </w:r>
      <w:r>
        <w:rPr>
          <w:rtl/>
        </w:rPr>
        <w:t>–</w:t>
      </w:r>
      <w:r>
        <w:rPr>
          <w:rFonts w:hint="cs"/>
          <w:rtl/>
        </w:rPr>
        <w:t xml:space="preserve"> נשלח הנאשם לבדיקה פסיכיאטרית. ואולם, על פי חוות הדעת הפסיכיאטרית מיום 18.12.13, שהוכנה בעקבות בדיקה זו, נמצא הנאשם כשיר נפשית, מהותית ודיונית.</w:t>
      </w:r>
    </w:p>
    <w:p w14:paraId="6C1CA0FF" w14:textId="77777777" w:rsidR="0000080A" w:rsidRDefault="0000080A">
      <w:pPr>
        <w:spacing w:after="120" w:line="360" w:lineRule="auto"/>
        <w:ind w:left="720"/>
        <w:jc w:val="both"/>
        <w:rPr>
          <w:rtl/>
        </w:rPr>
      </w:pPr>
    </w:p>
    <w:p w14:paraId="21594A41" w14:textId="77777777" w:rsidR="0000080A" w:rsidRDefault="00B33022">
      <w:pPr>
        <w:spacing w:after="120" w:line="360" w:lineRule="auto"/>
        <w:jc w:val="both"/>
        <w:rPr>
          <w:b/>
          <w:bCs/>
          <w:rtl/>
        </w:rPr>
      </w:pPr>
      <w:r>
        <w:rPr>
          <w:rFonts w:hint="cs"/>
          <w:b/>
          <w:bCs/>
          <w:rtl/>
        </w:rPr>
        <w:t>ב.</w:t>
      </w:r>
      <w:r>
        <w:rPr>
          <w:rFonts w:hint="cs"/>
          <w:b/>
          <w:bCs/>
          <w:rtl/>
        </w:rPr>
        <w:tab/>
      </w:r>
      <w:r>
        <w:rPr>
          <w:rFonts w:hint="cs"/>
          <w:b/>
          <w:bCs/>
          <w:u w:val="single"/>
          <w:rtl/>
        </w:rPr>
        <w:t>עיקר טיעוני הצדדים:</w:t>
      </w:r>
    </w:p>
    <w:p w14:paraId="79825D93" w14:textId="77777777" w:rsidR="0000080A" w:rsidRDefault="00B33022">
      <w:pPr>
        <w:spacing w:after="120" w:line="360" w:lineRule="auto"/>
        <w:ind w:left="720" w:hanging="720"/>
        <w:jc w:val="both"/>
        <w:rPr>
          <w:rtl/>
        </w:rPr>
      </w:pPr>
      <w:r>
        <w:rPr>
          <w:rFonts w:hint="cs"/>
          <w:rtl/>
        </w:rPr>
        <w:t>4.</w:t>
      </w:r>
      <w:r>
        <w:rPr>
          <w:rFonts w:hint="cs"/>
          <w:rtl/>
        </w:rPr>
        <w:tab/>
        <w:t>ב"כ המאשימה ביקש להחמיר בעונשו של הנאשם, תוך הפניה לעברו הפלילי המכביד של הנאשם, הכולל מאסר על תנאי בר הפעלה ופסילה על תנאי בת הפעלה. ב"כ המאשימה הדגיש את הערכים החברתיים המוגנים שנפגעו מביצוע העבירות: שלום הציבור וביטחונו, הבטחת שלומם של נציגי הרשויות בכלל והשוטרים בפרט, והפגיעות הנגרמות מעבירות סמים, שהינן בבחינת עבירות מחוללות פשיעה; ועתר למתחם עונש הולם בין 12 חודשי מאסר לבין 25 חודשי מאסר.</w:t>
      </w:r>
    </w:p>
    <w:p w14:paraId="194CD8ED" w14:textId="77777777" w:rsidR="0000080A" w:rsidRDefault="00B33022">
      <w:pPr>
        <w:spacing w:after="120" w:line="360" w:lineRule="auto"/>
        <w:ind w:left="720"/>
        <w:jc w:val="both"/>
        <w:rPr>
          <w:rtl/>
        </w:rPr>
      </w:pPr>
      <w:r>
        <w:rPr>
          <w:rFonts w:hint="cs"/>
          <w:rtl/>
        </w:rPr>
        <w:t>ב"כ המאשימה ציין עוד את חומרת מעשיו של הנאשם כלפי השוטרים, וכן את הכמויות הניכרות של הסמים המסוכנים בהם החזיק הנאשם. ב"כ המאשימה ביקש להפעיל את עונש המאסר המותנה במצטבר לכל עונש שיוטל על הנאשם, להפעיל את עונש הפסילה המותנית ולהטיל ענישה נלווית, לרבות בהשתת קנס כספי.</w:t>
      </w:r>
    </w:p>
    <w:p w14:paraId="342AADC7" w14:textId="77777777" w:rsidR="0000080A" w:rsidRDefault="00B33022">
      <w:pPr>
        <w:spacing w:after="120" w:line="360" w:lineRule="auto"/>
        <w:ind w:left="720"/>
        <w:jc w:val="both"/>
        <w:rPr>
          <w:rtl/>
        </w:rPr>
      </w:pPr>
      <w:r>
        <w:rPr>
          <w:rFonts w:hint="cs"/>
          <w:rtl/>
        </w:rPr>
        <w:t>עוד יש לציין, בהקשר זה, כי בכתב האישום ביקשה המאשימה לחלט את הכספים והרכוש שנתפסו בדירת הנאשם.</w:t>
      </w:r>
    </w:p>
    <w:p w14:paraId="64596F2D" w14:textId="77777777" w:rsidR="0000080A" w:rsidRDefault="00B33022">
      <w:pPr>
        <w:spacing w:after="120" w:line="360" w:lineRule="auto"/>
        <w:ind w:left="720" w:hanging="720"/>
        <w:jc w:val="both"/>
        <w:rPr>
          <w:rtl/>
        </w:rPr>
      </w:pPr>
      <w:r>
        <w:rPr>
          <w:rFonts w:hint="cs"/>
          <w:rtl/>
        </w:rPr>
        <w:t>5.</w:t>
      </w:r>
      <w:r>
        <w:rPr>
          <w:rFonts w:hint="cs"/>
          <w:rtl/>
        </w:rPr>
        <w:tab/>
        <w:t>ב"כ הנאשם, מצידו, טען כי מדובר בעבירות שהן ברף הנמוך לעבירות מסוגן, ועתר למתחם עונש הולם שבין 4 חודשי מאסר לבין 10 חודשי מאסר. לשיטת ב"כ הנאשם, קשה להתייחס ליציאתו של הנאשם מהדירה עם כלבו כאל אירוע חמור, בפרט כאשר הנאשם היה אדם בודד אל מול מספר לא מבוטל של בלשים.</w:t>
      </w:r>
    </w:p>
    <w:p w14:paraId="560B00EA" w14:textId="77777777" w:rsidR="0000080A" w:rsidRDefault="00B33022">
      <w:pPr>
        <w:spacing w:after="120" w:line="360" w:lineRule="auto"/>
        <w:ind w:left="720" w:hanging="720"/>
        <w:jc w:val="both"/>
        <w:rPr>
          <w:rtl/>
        </w:rPr>
      </w:pPr>
      <w:r>
        <w:rPr>
          <w:rFonts w:hint="cs"/>
          <w:rtl/>
        </w:rPr>
        <w:tab/>
        <w:t>הגם שב"כ הנאשם ער לעברו המכביד של הנאשם, לשיטתו יש ליתן משקל של ממש להודאתו המלאה בעובדות כתב האישום כמות-שהן ולנטילת האחריות, ולהקל עמו. יתר על כן, מדובר בנאשם הסובל מבעיות שונות במישור הנפשי, לרבות בהתמכרות לסמים מסוכנים, ואף נתונים אלה יש לזקוף לזכותו.</w:t>
      </w:r>
    </w:p>
    <w:p w14:paraId="7F2EFC9A" w14:textId="77777777" w:rsidR="0000080A" w:rsidRDefault="0000080A">
      <w:pPr>
        <w:spacing w:after="120" w:line="360" w:lineRule="auto"/>
        <w:jc w:val="both"/>
        <w:rPr>
          <w:rtl/>
        </w:rPr>
      </w:pPr>
    </w:p>
    <w:p w14:paraId="489D99DA" w14:textId="77777777" w:rsidR="0000080A" w:rsidRDefault="00B33022">
      <w:pPr>
        <w:spacing w:after="120" w:line="360" w:lineRule="auto"/>
        <w:ind w:left="720" w:hanging="720"/>
        <w:jc w:val="both"/>
        <w:rPr>
          <w:b/>
          <w:bCs/>
          <w:rtl/>
        </w:rPr>
      </w:pPr>
      <w:r>
        <w:rPr>
          <w:rFonts w:hint="cs"/>
          <w:b/>
          <w:bCs/>
          <w:rtl/>
        </w:rPr>
        <w:t>ג.</w:t>
      </w:r>
      <w:r>
        <w:rPr>
          <w:rFonts w:hint="cs"/>
          <w:b/>
          <w:bCs/>
          <w:rtl/>
        </w:rPr>
        <w:tab/>
      </w:r>
      <w:r>
        <w:rPr>
          <w:rFonts w:hint="cs"/>
          <w:b/>
          <w:bCs/>
          <w:u w:val="single"/>
          <w:rtl/>
        </w:rPr>
        <w:t>קביעת מתחם העונש ההולם:</w:t>
      </w:r>
      <w:r>
        <w:rPr>
          <w:rFonts w:hint="cs"/>
          <w:b/>
          <w:bCs/>
          <w:rtl/>
        </w:rPr>
        <w:t xml:space="preserve"> </w:t>
      </w:r>
    </w:p>
    <w:p w14:paraId="61242E6A" w14:textId="77777777" w:rsidR="0000080A" w:rsidRDefault="00B33022">
      <w:pPr>
        <w:spacing w:after="120" w:line="360" w:lineRule="auto"/>
        <w:ind w:left="720" w:hanging="720"/>
        <w:jc w:val="both"/>
        <w:rPr>
          <w:rtl/>
        </w:rPr>
      </w:pPr>
      <w:r>
        <w:rPr>
          <w:rFonts w:hint="cs"/>
          <w:rtl/>
        </w:rPr>
        <w:t>6.</w:t>
      </w:r>
      <w:r>
        <w:rPr>
          <w:rFonts w:hint="cs"/>
          <w:rtl/>
        </w:rPr>
        <w:tab/>
        <w:t xml:space="preserve">בהתאם להוראות </w:t>
      </w:r>
      <w:hyperlink r:id="rId23" w:history="1">
        <w:r w:rsidR="00B01265" w:rsidRPr="00B01265">
          <w:rPr>
            <w:color w:val="0000FF"/>
            <w:u w:val="single"/>
            <w:rtl/>
          </w:rPr>
          <w:t>סעיף 40ג(א)</w:t>
        </w:r>
      </w:hyperlink>
      <w:r>
        <w:rPr>
          <w:rFonts w:hint="cs"/>
          <w:rtl/>
        </w:rPr>
        <w:t xml:space="preserve"> ל</w:t>
      </w:r>
      <w:hyperlink r:id="rId24" w:history="1">
        <w:r w:rsidR="00305071" w:rsidRPr="00305071">
          <w:rPr>
            <w:rStyle w:val="Hyperlink"/>
            <w:rtl/>
          </w:rPr>
          <w:t>חוק העונשין</w:t>
        </w:r>
      </w:hyperlink>
      <w:r>
        <w:rPr>
          <w:rFonts w:hint="cs"/>
          <w:rtl/>
        </w:rPr>
        <w:t xml:space="preserve"> על בית המשפט לקבוע את מתחם העונש ההולם לעבירות אותן ביצע הנאשם בהתאם לעקרון ההלימה תוך התחשבות בערך החברתי שנפגע מביצוע העבירות ובמידת הפגיעה בו, במדיניות הענישה הנהוגה והנסיבות הקשורות בביצוע העבירות כמפורט בהוראות </w:t>
      </w:r>
      <w:hyperlink r:id="rId25" w:history="1">
        <w:r w:rsidR="00B01265" w:rsidRPr="00B01265">
          <w:rPr>
            <w:color w:val="0000FF"/>
            <w:u w:val="single"/>
            <w:rtl/>
          </w:rPr>
          <w:t>סעיף 40ט</w:t>
        </w:r>
      </w:hyperlink>
      <w:r>
        <w:rPr>
          <w:rFonts w:hint="cs"/>
          <w:rtl/>
        </w:rPr>
        <w:t xml:space="preserve"> לחוק העונשין.</w:t>
      </w:r>
    </w:p>
    <w:p w14:paraId="441579C4" w14:textId="77777777" w:rsidR="0000080A" w:rsidRDefault="00B33022">
      <w:pPr>
        <w:spacing w:after="120" w:line="360" w:lineRule="auto"/>
        <w:ind w:left="720" w:hanging="720"/>
        <w:jc w:val="both"/>
        <w:rPr>
          <w:rtl/>
        </w:rPr>
      </w:pPr>
      <w:r>
        <w:rPr>
          <w:rFonts w:hint="cs"/>
          <w:rtl/>
        </w:rPr>
        <w:t>7.</w:t>
      </w:r>
      <w:r>
        <w:rPr>
          <w:rFonts w:hint="cs"/>
          <w:rtl/>
        </w:rPr>
        <w:tab/>
        <w:t>לעניין הערכים החברתיים המוגנים מקובל עליי טיעון ב"כ המאשימה. יחד עם זאת, בשים לב לסוג הסמים המסוכנים המדובר (חשיש), כמו גם לנסיבות עבירות האיומים והפרעת השוטרים במילוי תפקידם, ובהתחשב במקובל בפסיקתו של בית משפט זה, יש לקבוע במקרה דנא מתחם עונש הולם בין 6 חודשי מאסר בפועל לבין 12 חודשי מאסר בפועל.</w:t>
      </w:r>
    </w:p>
    <w:p w14:paraId="06ED2534" w14:textId="77777777" w:rsidR="0000080A" w:rsidRDefault="0000080A">
      <w:pPr>
        <w:snapToGrid w:val="0"/>
        <w:spacing w:after="120" w:line="360" w:lineRule="auto"/>
        <w:jc w:val="both"/>
        <w:rPr>
          <w:rtl/>
        </w:rPr>
      </w:pPr>
    </w:p>
    <w:p w14:paraId="52B8FCED" w14:textId="77777777" w:rsidR="0000080A" w:rsidRDefault="00B33022">
      <w:pPr>
        <w:snapToGrid w:val="0"/>
        <w:spacing w:after="120" w:line="360" w:lineRule="auto"/>
        <w:jc w:val="both"/>
        <w:rPr>
          <w:b/>
          <w:bCs/>
          <w:u w:val="single"/>
          <w:rtl/>
        </w:rPr>
      </w:pPr>
      <w:r>
        <w:rPr>
          <w:rFonts w:hint="cs"/>
          <w:b/>
          <w:bCs/>
          <w:rtl/>
        </w:rPr>
        <w:t>ד.</w:t>
      </w:r>
      <w:r>
        <w:rPr>
          <w:rFonts w:hint="cs"/>
          <w:b/>
          <w:bCs/>
          <w:rtl/>
        </w:rPr>
        <w:tab/>
      </w:r>
      <w:r>
        <w:rPr>
          <w:rFonts w:hint="cs"/>
          <w:b/>
          <w:bCs/>
          <w:u w:val="single"/>
          <w:rtl/>
        </w:rPr>
        <w:t>גזירת עונשו של הנאשם בתוך מתחם העונש ההולם:</w:t>
      </w:r>
    </w:p>
    <w:p w14:paraId="1DCC036A" w14:textId="77777777" w:rsidR="0000080A" w:rsidRDefault="00B33022">
      <w:pPr>
        <w:snapToGrid w:val="0"/>
        <w:spacing w:after="120" w:line="360" w:lineRule="auto"/>
        <w:ind w:left="720" w:hanging="720"/>
        <w:jc w:val="both"/>
        <w:rPr>
          <w:rtl/>
        </w:rPr>
      </w:pPr>
      <w:r>
        <w:rPr>
          <w:rFonts w:hint="cs"/>
          <w:rtl/>
        </w:rPr>
        <w:t>8.</w:t>
      </w:r>
      <w:r>
        <w:rPr>
          <w:rFonts w:hint="cs"/>
          <w:rtl/>
        </w:rPr>
        <w:tab/>
        <w:t xml:space="preserve">בהתאם להוראות </w:t>
      </w:r>
      <w:hyperlink r:id="rId26" w:history="1">
        <w:r w:rsidR="00B01265" w:rsidRPr="00B01265">
          <w:rPr>
            <w:color w:val="0000FF"/>
            <w:u w:val="single"/>
            <w:rtl/>
          </w:rPr>
          <w:t>סעיף 40ג(ב)</w:t>
        </w:r>
      </w:hyperlink>
      <w:r>
        <w:rPr>
          <w:rFonts w:hint="cs"/>
          <w:rtl/>
        </w:rPr>
        <w:t xml:space="preserve"> ל</w:t>
      </w:r>
      <w:hyperlink r:id="rId27" w:history="1">
        <w:r w:rsidR="00305071" w:rsidRPr="00305071">
          <w:rPr>
            <w:rStyle w:val="Hyperlink"/>
            <w:rtl/>
          </w:rPr>
          <w:t>חוק העונשין</w:t>
        </w:r>
      </w:hyperlink>
      <w:r>
        <w:rPr>
          <w:rFonts w:hint="cs"/>
          <w:rtl/>
        </w:rPr>
        <w:t xml:space="preserve"> על בית המשפט לגזור את עונשו של הנאשם בתוך מתחם העונש ההולם – למעט מקרים חריגים בהם הוא רשאי לחרוג ממתחם זה, שאין עניינם לכאן – וזאת תוך התחשבות בנסיבות שאינן קשורות בביצוע העבירות כמפורט בהוראות </w:t>
      </w:r>
      <w:hyperlink r:id="rId28" w:history="1">
        <w:r w:rsidR="00B01265" w:rsidRPr="00B01265">
          <w:rPr>
            <w:color w:val="0000FF"/>
            <w:u w:val="single"/>
            <w:rtl/>
          </w:rPr>
          <w:t>סעיף 40יא</w:t>
        </w:r>
      </w:hyperlink>
      <w:r>
        <w:rPr>
          <w:rFonts w:hint="cs"/>
          <w:rtl/>
        </w:rPr>
        <w:t xml:space="preserve"> לחוק העונשין.</w:t>
      </w:r>
    </w:p>
    <w:p w14:paraId="36ABC1E4" w14:textId="77777777" w:rsidR="0000080A" w:rsidRDefault="00B33022">
      <w:pPr>
        <w:snapToGrid w:val="0"/>
        <w:spacing w:after="120" w:line="360" w:lineRule="auto"/>
        <w:jc w:val="both"/>
        <w:rPr>
          <w:rtl/>
        </w:rPr>
      </w:pPr>
      <w:r>
        <w:rPr>
          <w:rFonts w:hint="cs"/>
          <w:rtl/>
        </w:rPr>
        <w:t>9.</w:t>
      </w:r>
      <w:r>
        <w:rPr>
          <w:rFonts w:hint="cs"/>
          <w:rtl/>
        </w:rPr>
        <w:tab/>
        <w:t>באשר לנאשם שלפניי, השיקולים הרלוואנטיים לגזירת עונשו הם כלהלן:</w:t>
      </w:r>
    </w:p>
    <w:p w14:paraId="763A0D22" w14:textId="77777777" w:rsidR="0000080A" w:rsidRDefault="00B33022">
      <w:pPr>
        <w:snapToGrid w:val="0"/>
        <w:spacing w:after="120" w:line="360" w:lineRule="auto"/>
        <w:ind w:left="720"/>
        <w:jc w:val="both"/>
        <w:rPr>
          <w:b/>
          <w:bCs/>
          <w:rtl/>
        </w:rPr>
      </w:pPr>
      <w:r>
        <w:rPr>
          <w:rFonts w:hint="cs"/>
          <w:b/>
          <w:bCs/>
          <w:rtl/>
        </w:rPr>
        <w:t>הרשעות קודמות –</w:t>
      </w:r>
      <w:r>
        <w:rPr>
          <w:rFonts w:hint="cs"/>
          <w:rtl/>
        </w:rPr>
        <w:t xml:space="preserve"> לנאשם 23 הרשעות קודמות, שעיקרן בעבירות סמים ורכוש (ר' גיליון הרשעותיו ע/1), ותלוי ועומד נגדו מאסר על תנאי בר הפעלה (ר' ע/2). יתר על כן, לא מדובר במקרה בו עומד הנאשם בפעם הראשונה בפני עונש של מאסר בפועל (ר' גם גיליון הכליאות ע/3), וכפועל יוצא מכך אין מקום להתחשבות, הננקטת בנסיבות המתאימות, עם מי שעומד לראשונה בפני עונש מאסר.</w:t>
      </w:r>
    </w:p>
    <w:p w14:paraId="2C16D23B" w14:textId="77777777" w:rsidR="0000080A" w:rsidRDefault="00B33022">
      <w:pPr>
        <w:snapToGrid w:val="0"/>
        <w:spacing w:after="120" w:line="360" w:lineRule="auto"/>
        <w:ind w:left="720"/>
        <w:jc w:val="both"/>
        <w:rPr>
          <w:rtl/>
        </w:rPr>
      </w:pPr>
      <w:r>
        <w:rPr>
          <w:rFonts w:hint="cs"/>
          <w:b/>
          <w:bCs/>
          <w:rtl/>
        </w:rPr>
        <w:t xml:space="preserve">הודאה ונטילת אחריות – </w:t>
      </w:r>
      <w:r>
        <w:rPr>
          <w:rFonts w:hint="cs"/>
          <w:rtl/>
        </w:rPr>
        <w:t xml:space="preserve">הנאשם הודה בעובדות כתב האישום כמות שהן, ונטל אחריות, ונתונים אלה יש לזקוף לזכותו. </w:t>
      </w:r>
    </w:p>
    <w:p w14:paraId="028BE519" w14:textId="77777777" w:rsidR="0000080A" w:rsidRDefault="00B33022">
      <w:pPr>
        <w:snapToGrid w:val="0"/>
        <w:spacing w:after="120" w:line="360" w:lineRule="auto"/>
        <w:ind w:left="720"/>
        <w:jc w:val="both"/>
        <w:rPr>
          <w:rtl/>
        </w:rPr>
      </w:pPr>
      <w:r>
        <w:rPr>
          <w:rFonts w:hint="cs"/>
          <w:b/>
          <w:bCs/>
          <w:rtl/>
        </w:rPr>
        <w:t>נתוניו האישיים של הנאשם, לרבות מצבו הנפשי –</w:t>
      </w:r>
      <w:r>
        <w:rPr>
          <w:rFonts w:hint="cs"/>
          <w:rtl/>
        </w:rPr>
        <w:t xml:space="preserve"> הנאשם הינו יליד 1970, שכטענת הסניגור מגיע מרקע של בעיות אישיות קשות, לרבות התמכרות לסמים, בעיות נפשיות ואף ניסיון אובדני.</w:t>
      </w:r>
    </w:p>
    <w:p w14:paraId="4BE0A462" w14:textId="77777777" w:rsidR="0000080A" w:rsidRDefault="0000080A">
      <w:pPr>
        <w:snapToGrid w:val="0"/>
        <w:spacing w:after="120" w:line="360" w:lineRule="auto"/>
        <w:jc w:val="both"/>
        <w:rPr>
          <w:rtl/>
        </w:rPr>
      </w:pPr>
    </w:p>
    <w:p w14:paraId="040F1534" w14:textId="77777777" w:rsidR="0000080A" w:rsidRDefault="00B33022">
      <w:pPr>
        <w:snapToGrid w:val="0"/>
        <w:spacing w:after="120" w:line="360" w:lineRule="auto"/>
        <w:jc w:val="both"/>
        <w:rPr>
          <w:b/>
          <w:bCs/>
          <w:u w:val="single"/>
          <w:rtl/>
        </w:rPr>
      </w:pPr>
      <w:r>
        <w:rPr>
          <w:rFonts w:hint="cs"/>
          <w:b/>
          <w:bCs/>
          <w:rtl/>
        </w:rPr>
        <w:t>ה.</w:t>
      </w:r>
      <w:r>
        <w:rPr>
          <w:rFonts w:hint="cs"/>
          <w:b/>
          <w:bCs/>
          <w:rtl/>
        </w:rPr>
        <w:tab/>
      </w:r>
      <w:r>
        <w:rPr>
          <w:rFonts w:hint="cs"/>
          <w:b/>
          <w:bCs/>
          <w:u w:val="single"/>
          <w:rtl/>
        </w:rPr>
        <w:t>דיון והכרעה:</w:t>
      </w:r>
    </w:p>
    <w:p w14:paraId="51AD2EF3" w14:textId="77777777" w:rsidR="0000080A" w:rsidRDefault="00B33022">
      <w:pPr>
        <w:snapToGrid w:val="0"/>
        <w:spacing w:after="120" w:line="360" w:lineRule="auto"/>
        <w:ind w:left="720" w:hanging="720"/>
        <w:jc w:val="both"/>
        <w:rPr>
          <w:rtl/>
        </w:rPr>
      </w:pPr>
      <w:r>
        <w:rPr>
          <w:rFonts w:hint="cs"/>
          <w:rtl/>
        </w:rPr>
        <w:t>10.</w:t>
      </w:r>
      <w:r>
        <w:rPr>
          <w:rFonts w:hint="cs"/>
          <w:rtl/>
        </w:rPr>
        <w:tab/>
        <w:t>כעולה מכל האמור לעיל, תוך התחשבות במכלול השיקולים הרלוואנטיים, יש לגזור את עונשו של הנאשם בשליש העליון של מתחם העונש ההולם, דהיינו: לעונש של 10 חודשי מאסר בפועל. כמו כן, נוכח עברו הפלילי המכביד של הנאשם, יש להפעיל את עונש המאסר המותנה במצטבר לעונש זה.</w:t>
      </w:r>
    </w:p>
    <w:p w14:paraId="7BEF0FEB" w14:textId="77777777" w:rsidR="0000080A" w:rsidRDefault="00B33022">
      <w:pPr>
        <w:snapToGrid w:val="0"/>
        <w:spacing w:after="120" w:line="360" w:lineRule="auto"/>
        <w:ind w:left="720"/>
        <w:jc w:val="both"/>
        <w:rPr>
          <w:rtl/>
        </w:rPr>
      </w:pPr>
      <w:r>
        <w:rPr>
          <w:rFonts w:hint="cs"/>
          <w:rtl/>
        </w:rPr>
        <w:t>נוכח עונש חמור זה, ובפרט בשל בקשת חילוט הרכוש מטעם המאשימה, אין מקום להוסיף ולגזור על הנאשם ענישה כלכלית נוספת, אשר בהתחשב בנסיבותיו האישיות של הנאשם יש להניח כי לא יהא בה אלא כדי להאריך את עונש המאסר בפועל שהושת עליו.</w:t>
      </w:r>
    </w:p>
    <w:p w14:paraId="1D429CF0" w14:textId="77777777" w:rsidR="0000080A" w:rsidRDefault="0000080A">
      <w:pPr>
        <w:snapToGrid w:val="0"/>
        <w:spacing w:after="120" w:line="360" w:lineRule="auto"/>
        <w:ind w:left="720"/>
        <w:jc w:val="both"/>
        <w:rPr>
          <w:rtl/>
        </w:rPr>
      </w:pPr>
    </w:p>
    <w:p w14:paraId="1F8B72B0" w14:textId="77777777" w:rsidR="0000080A" w:rsidRDefault="00B33022">
      <w:pPr>
        <w:snapToGrid w:val="0"/>
        <w:spacing w:after="120" w:line="360" w:lineRule="auto"/>
        <w:jc w:val="both"/>
        <w:rPr>
          <w:b/>
          <w:bCs/>
          <w:u w:val="single"/>
          <w:rtl/>
        </w:rPr>
      </w:pPr>
      <w:r>
        <w:rPr>
          <w:rFonts w:hint="cs"/>
          <w:b/>
          <w:bCs/>
          <w:rtl/>
        </w:rPr>
        <w:t>ו.</w:t>
      </w:r>
      <w:r>
        <w:rPr>
          <w:rFonts w:hint="cs"/>
          <w:b/>
          <w:bCs/>
          <w:rtl/>
        </w:rPr>
        <w:tab/>
      </w:r>
      <w:r>
        <w:rPr>
          <w:rFonts w:hint="cs"/>
          <w:b/>
          <w:bCs/>
          <w:u w:val="single"/>
          <w:rtl/>
        </w:rPr>
        <w:t>סוף דבר:</w:t>
      </w:r>
    </w:p>
    <w:p w14:paraId="43BB9910" w14:textId="77777777" w:rsidR="0000080A" w:rsidRDefault="00B33022">
      <w:pPr>
        <w:snapToGrid w:val="0"/>
        <w:spacing w:after="120" w:line="360" w:lineRule="auto"/>
        <w:ind w:firstLine="720"/>
        <w:jc w:val="both"/>
        <w:rPr>
          <w:rtl/>
        </w:rPr>
      </w:pPr>
      <w:r>
        <w:rPr>
          <w:rFonts w:hint="cs"/>
          <w:rtl/>
        </w:rPr>
        <w:t>אשר על כן ולאור כל האמור לעיל, אני גוזר על הנאשם את העונשים הבאים:</w:t>
      </w:r>
    </w:p>
    <w:p w14:paraId="0EEBCD76" w14:textId="77777777" w:rsidR="0000080A" w:rsidRDefault="00B33022">
      <w:pPr>
        <w:numPr>
          <w:ilvl w:val="0"/>
          <w:numId w:val="1"/>
        </w:numPr>
        <w:tabs>
          <w:tab w:val="num" w:pos="1440"/>
        </w:tabs>
        <w:spacing w:after="120" w:line="360" w:lineRule="auto"/>
        <w:ind w:left="1440"/>
        <w:jc w:val="both"/>
        <w:rPr>
          <w:rFonts w:ascii="Tahoma" w:hAnsi="Tahoma"/>
        </w:rPr>
      </w:pPr>
      <w:r>
        <w:rPr>
          <w:rFonts w:hint="cs"/>
          <w:rtl/>
        </w:rPr>
        <w:t>10 חודשי מאסר לריצוי בפועל, החל מיום מעצרו (17.3.13).</w:t>
      </w:r>
    </w:p>
    <w:p w14:paraId="0735E8C2" w14:textId="77777777" w:rsidR="0000080A" w:rsidRDefault="00B33022">
      <w:pPr>
        <w:numPr>
          <w:ilvl w:val="0"/>
          <w:numId w:val="1"/>
        </w:numPr>
        <w:tabs>
          <w:tab w:val="num" w:pos="720"/>
        </w:tabs>
        <w:spacing w:after="120" w:line="360" w:lineRule="auto"/>
        <w:ind w:hanging="360"/>
        <w:jc w:val="both"/>
        <w:rPr>
          <w:rFonts w:ascii="Tahoma" w:hAnsi="Tahoma"/>
        </w:rPr>
      </w:pPr>
      <w:r>
        <w:rPr>
          <w:rFonts w:hint="cs"/>
          <w:rtl/>
        </w:rPr>
        <w:t>המאסר המותנה, בן 12 חודשים, אשר נגזר על הנאשם ב</w:t>
      </w:r>
      <w:hyperlink r:id="rId29" w:history="1">
        <w:r w:rsidR="00305071" w:rsidRPr="00305071">
          <w:rPr>
            <w:rStyle w:val="Hyperlink"/>
            <w:rtl/>
          </w:rPr>
          <w:t>ת"פ 5101-12-09</w:t>
        </w:r>
      </w:hyperlink>
      <w:r>
        <w:rPr>
          <w:rFonts w:hint="cs"/>
          <w:rtl/>
        </w:rPr>
        <w:t xml:space="preserve"> בבית משפט השלום בתל-אביב, מופעל בזה במצטבר לעונש המאסר אשר הוטל בסעיף 1 דלעיל.</w:t>
      </w:r>
    </w:p>
    <w:p w14:paraId="3A2F197E" w14:textId="77777777" w:rsidR="0000080A" w:rsidRDefault="00B33022">
      <w:pPr>
        <w:spacing w:after="120" w:line="360" w:lineRule="auto"/>
        <w:ind w:left="360" w:firstLine="720"/>
        <w:jc w:val="both"/>
        <w:rPr>
          <w:rFonts w:ascii="Tahoma" w:hAnsi="Tahoma"/>
          <w:b/>
          <w:bCs/>
        </w:rPr>
      </w:pPr>
      <w:r>
        <w:rPr>
          <w:rFonts w:hint="cs"/>
          <w:b/>
          <w:bCs/>
          <w:rtl/>
        </w:rPr>
        <w:t>בסך הכל ירצה אפוא הנאשם 22 חודשי מאסר, החל מיום מעצרו (17.3.13).</w:t>
      </w:r>
    </w:p>
    <w:p w14:paraId="3BF1C766" w14:textId="77777777" w:rsidR="0000080A" w:rsidRDefault="00B33022">
      <w:pPr>
        <w:numPr>
          <w:ilvl w:val="0"/>
          <w:numId w:val="1"/>
        </w:numPr>
        <w:tabs>
          <w:tab w:val="num" w:pos="720"/>
        </w:tabs>
        <w:spacing w:after="120" w:line="360" w:lineRule="auto"/>
        <w:ind w:hanging="360"/>
        <w:jc w:val="both"/>
        <w:rPr>
          <w:rFonts w:ascii="Tahoma" w:hAnsi="Tahoma"/>
        </w:rPr>
      </w:pPr>
      <w:r>
        <w:rPr>
          <w:rFonts w:hint="cs"/>
          <w:rtl/>
        </w:rPr>
        <w:t xml:space="preserve">מאסר על תנאי למשך 6 חודשים, אותו לא יישא הנאשם אלא אם כן יעבור, תוך שלוש שנים מיום שחרורו מן המאסר, עבירה בניגוד להוראות </w:t>
      </w:r>
      <w:hyperlink r:id="rId30" w:history="1">
        <w:r w:rsidR="00305071" w:rsidRPr="00305071">
          <w:rPr>
            <w:rStyle w:val="Hyperlink"/>
            <w:rtl/>
          </w:rPr>
          <w:t>פקודת הסמים המסוכנים</w:t>
        </w:r>
      </w:hyperlink>
      <w:r>
        <w:rPr>
          <w:rFonts w:hint="cs"/>
          <w:rtl/>
        </w:rPr>
        <w:t xml:space="preserve"> מסוג פשע.</w:t>
      </w:r>
    </w:p>
    <w:p w14:paraId="457B589D" w14:textId="77777777" w:rsidR="0000080A" w:rsidRDefault="00B33022">
      <w:pPr>
        <w:numPr>
          <w:ilvl w:val="0"/>
          <w:numId w:val="1"/>
        </w:numPr>
        <w:tabs>
          <w:tab w:val="num" w:pos="720"/>
        </w:tabs>
        <w:spacing w:after="120" w:line="360" w:lineRule="auto"/>
        <w:ind w:hanging="360"/>
        <w:jc w:val="both"/>
        <w:rPr>
          <w:rFonts w:ascii="Tahoma" w:hAnsi="Tahoma"/>
        </w:rPr>
      </w:pPr>
      <w:r>
        <w:rPr>
          <w:rFonts w:hint="cs"/>
          <w:rtl/>
        </w:rPr>
        <w:t>הפסילה המותנית, בת 6 חודשים, אשר נגזרה על הנאשם ב</w:t>
      </w:r>
      <w:hyperlink r:id="rId31" w:history="1">
        <w:r w:rsidR="00305071" w:rsidRPr="00305071">
          <w:rPr>
            <w:rStyle w:val="Hyperlink"/>
            <w:rtl/>
          </w:rPr>
          <w:t>ת"פ 5101-12-09</w:t>
        </w:r>
      </w:hyperlink>
      <w:r>
        <w:rPr>
          <w:rFonts w:hint="cs"/>
          <w:rtl/>
        </w:rPr>
        <w:t xml:space="preserve"> בבית משפט השלום בתל-אביב, מופעלת בזה. על הנאשם להפקיד כל רישיון נהיגה שבידו, באמצעות שירות בתי הסוהר, תוך 30 יום מהיום.</w:t>
      </w:r>
    </w:p>
    <w:p w14:paraId="28036098" w14:textId="77777777" w:rsidR="0000080A" w:rsidRDefault="00B33022">
      <w:pPr>
        <w:numPr>
          <w:ilvl w:val="0"/>
          <w:numId w:val="1"/>
        </w:numPr>
        <w:tabs>
          <w:tab w:val="num" w:pos="720"/>
        </w:tabs>
        <w:spacing w:after="120" w:line="360" w:lineRule="auto"/>
        <w:ind w:hanging="360"/>
        <w:jc w:val="both"/>
        <w:rPr>
          <w:rFonts w:ascii="Tahoma" w:hAnsi="Tahoma"/>
        </w:rPr>
      </w:pPr>
      <w:r>
        <w:rPr>
          <w:rFonts w:hint="cs"/>
          <w:rtl/>
        </w:rPr>
        <w:t>פסילה מלקבל או להחזיק רישיון נהיגה למשך 6 חודשים על תנאי, והתנאי הוא שבמשך שנתיים מהיום לא יעבור הנאשם עבירה מהעבירות המנויות ב</w:t>
      </w:r>
      <w:hyperlink r:id="rId32" w:history="1">
        <w:r w:rsidR="00305071" w:rsidRPr="00305071">
          <w:rPr>
            <w:rStyle w:val="Hyperlink"/>
            <w:rtl/>
          </w:rPr>
          <w:t>פקודת הסמים המסוכנים</w:t>
        </w:r>
      </w:hyperlink>
      <w:r>
        <w:rPr>
          <w:rFonts w:hint="cs"/>
          <w:rtl/>
        </w:rPr>
        <w:t xml:space="preserve"> [נוסח חדש], תשל"ג-1973.</w:t>
      </w:r>
    </w:p>
    <w:p w14:paraId="249D6DBA" w14:textId="77777777" w:rsidR="0000080A" w:rsidRDefault="00B33022">
      <w:pPr>
        <w:numPr>
          <w:ilvl w:val="0"/>
          <w:numId w:val="1"/>
        </w:numPr>
        <w:tabs>
          <w:tab w:val="num" w:pos="720"/>
        </w:tabs>
        <w:spacing w:after="120" w:line="360" w:lineRule="auto"/>
        <w:ind w:hanging="360"/>
        <w:jc w:val="both"/>
        <w:rPr>
          <w:rFonts w:ascii="Tahoma" w:hAnsi="Tahoma"/>
          <w:rtl/>
        </w:rPr>
      </w:pPr>
      <w:r>
        <w:rPr>
          <w:rFonts w:ascii="Tahoma" w:hAnsi="Tahoma" w:hint="cs"/>
          <w:rtl/>
        </w:rPr>
        <w:t xml:space="preserve">אני מורה בזה על חילוט הרכוש שנתפס בדירת הנאשם, דהיינו: </w:t>
      </w:r>
      <w:r>
        <w:rPr>
          <w:rFonts w:hint="cs"/>
          <w:rtl/>
        </w:rPr>
        <w:t>13,422 ₪ במזומן, 8 דולר, תווי קנייה בשווי כולל של 1,354 ₪, מחשב אישי מסוג איי. בי. אם, מצלמה של חברת סוני וממיר שחור.</w:t>
      </w:r>
    </w:p>
    <w:p w14:paraId="46874F7D" w14:textId="77777777" w:rsidR="0000080A" w:rsidRDefault="00B33022">
      <w:pPr>
        <w:numPr>
          <w:ilvl w:val="0"/>
          <w:numId w:val="1"/>
        </w:numPr>
        <w:tabs>
          <w:tab w:val="num" w:pos="720"/>
        </w:tabs>
        <w:spacing w:after="120" w:line="360" w:lineRule="auto"/>
        <w:ind w:left="1440"/>
        <w:jc w:val="both"/>
        <w:rPr>
          <w:rFonts w:ascii="Tahoma" w:hAnsi="Tahoma"/>
        </w:rPr>
      </w:pPr>
      <w:r>
        <w:rPr>
          <w:rFonts w:hint="cs"/>
          <w:rtl/>
        </w:rPr>
        <w:t>ניתן בזה צו כללי, לעניין מוצגים, לשיקול דעתו של קצין משטרה. הסמים יושמדו.</w:t>
      </w:r>
    </w:p>
    <w:p w14:paraId="50013CDC" w14:textId="77777777" w:rsidR="0000080A" w:rsidRDefault="0000080A">
      <w:pPr>
        <w:snapToGrid w:val="0"/>
        <w:spacing w:after="120" w:line="360" w:lineRule="auto"/>
        <w:jc w:val="both"/>
        <w:rPr>
          <w:rtl/>
        </w:rPr>
      </w:pPr>
    </w:p>
    <w:p w14:paraId="5A88A494" w14:textId="77777777" w:rsidR="0000080A" w:rsidRDefault="0000080A">
      <w:pPr>
        <w:snapToGrid w:val="0"/>
        <w:spacing w:after="120" w:line="360" w:lineRule="auto"/>
        <w:jc w:val="both"/>
        <w:rPr>
          <w:rtl/>
        </w:rPr>
      </w:pPr>
    </w:p>
    <w:p w14:paraId="471EA7BE" w14:textId="77777777" w:rsidR="0000080A" w:rsidRDefault="0000080A">
      <w:pPr>
        <w:snapToGrid w:val="0"/>
        <w:spacing w:after="120" w:line="360" w:lineRule="auto"/>
        <w:jc w:val="both"/>
        <w:rPr>
          <w:rtl/>
        </w:rPr>
      </w:pPr>
    </w:p>
    <w:p w14:paraId="7E160607" w14:textId="77777777" w:rsidR="0000080A" w:rsidRDefault="0000080A">
      <w:pPr>
        <w:snapToGrid w:val="0"/>
        <w:spacing w:after="120" w:line="360" w:lineRule="auto"/>
        <w:jc w:val="both"/>
        <w:rPr>
          <w:rtl/>
        </w:rPr>
      </w:pPr>
    </w:p>
    <w:p w14:paraId="2DF22ADD" w14:textId="77777777" w:rsidR="0000080A" w:rsidRDefault="00B33022">
      <w:pPr>
        <w:snapToGrid w:val="0"/>
        <w:spacing w:after="120" w:line="360" w:lineRule="auto"/>
        <w:jc w:val="both"/>
        <w:rPr>
          <w:rtl/>
        </w:rPr>
      </w:pPr>
      <w:r>
        <w:rPr>
          <w:rFonts w:hint="cs"/>
          <w:rtl/>
        </w:rPr>
        <w:t>זכות ערעור לבית המשפט המחוזי בתוך 45 יום מהיום.</w:t>
      </w:r>
    </w:p>
    <w:p w14:paraId="3E631E8D" w14:textId="77777777" w:rsidR="0000080A" w:rsidRDefault="0000080A">
      <w:pPr>
        <w:rPr>
          <w:rtl/>
        </w:rPr>
      </w:pPr>
    </w:p>
    <w:p w14:paraId="7B97DEE3" w14:textId="77777777" w:rsidR="0000080A" w:rsidRDefault="00B33022">
      <w:pPr>
        <w:spacing w:line="360" w:lineRule="auto"/>
        <w:jc w:val="both"/>
        <w:rPr>
          <w:rFonts w:ascii="Arial" w:hAnsi="Arial"/>
        </w:rPr>
      </w:pPr>
      <w:bookmarkStart w:id="8" w:name="_GoBack"/>
      <w:bookmarkEnd w:id="8"/>
      <w:r w:rsidRPr="00B33022">
        <w:rPr>
          <w:rFonts w:ascii="Arial" w:hAnsi="Arial"/>
          <w:color w:val="FFFFFF"/>
          <w:sz w:val="2"/>
          <w:szCs w:val="2"/>
          <w:rtl/>
        </w:rPr>
        <w:t>5129371</w:t>
      </w:r>
      <w:r>
        <w:rPr>
          <w:rFonts w:ascii="Arial" w:hAnsi="Arial"/>
          <w:rtl/>
        </w:rPr>
        <w:t xml:space="preserve">ניתן היום, ‏יום רביעי כ"ב טבת תשע"ד, ‏25 דצמבר 2013, בנוכחות הצדדים. </w:t>
      </w:r>
    </w:p>
    <w:p w14:paraId="0C4E983D" w14:textId="77777777" w:rsidR="0000080A" w:rsidRPr="00B33022" w:rsidRDefault="00B33022">
      <w:pPr>
        <w:rPr>
          <w:rFonts w:cs="FrankRuehl"/>
          <w:color w:val="FFFFFF"/>
          <w:sz w:val="2"/>
          <w:szCs w:val="2"/>
          <w:rtl/>
        </w:rPr>
      </w:pPr>
      <w:r w:rsidRPr="00B33022">
        <w:rPr>
          <w:rFonts w:cs="FrankRuehl"/>
          <w:color w:val="FFFFFF"/>
          <w:sz w:val="2"/>
          <w:szCs w:val="2"/>
          <w:rtl/>
        </w:rPr>
        <w:t>54678313</w:t>
      </w:r>
    </w:p>
    <w:p w14:paraId="3E3313AF" w14:textId="77777777" w:rsidR="0000080A" w:rsidRDefault="00B3302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886EAE7" w14:textId="77777777" w:rsidR="0000080A" w:rsidRDefault="0000080A">
      <w:pPr>
        <w:jc w:val="center"/>
        <w:rPr>
          <w:rFonts w:ascii="Arial" w:hAnsi="Arial" w:cs="FrankRuehl"/>
          <w:sz w:val="28"/>
          <w:szCs w:val="28"/>
          <w:rtl/>
        </w:rPr>
      </w:pPr>
    </w:p>
    <w:p w14:paraId="7AEE80F2" w14:textId="77777777" w:rsidR="0000080A" w:rsidRDefault="0000080A">
      <w:pPr>
        <w:rPr>
          <w:rFonts w:cs="FrankRuehl"/>
          <w:sz w:val="28"/>
          <w:szCs w:val="28"/>
          <w:rtl/>
        </w:rPr>
      </w:pPr>
    </w:p>
    <w:p w14:paraId="2AD5CCBC" w14:textId="77777777" w:rsidR="0000080A" w:rsidRDefault="0000080A">
      <w:pPr>
        <w:pStyle w:val="a3"/>
        <w:jc w:val="center"/>
        <w:rPr>
          <w:rtl/>
        </w:rPr>
      </w:pPr>
    </w:p>
    <w:p w14:paraId="671C15D8" w14:textId="77777777" w:rsidR="00B33022" w:rsidRPr="00B33022" w:rsidRDefault="00B33022" w:rsidP="00B33022">
      <w:pPr>
        <w:keepNext/>
        <w:rPr>
          <w:rFonts w:ascii="David" w:hAnsi="David"/>
          <w:color w:val="000000"/>
          <w:sz w:val="22"/>
          <w:szCs w:val="22"/>
          <w:rtl/>
        </w:rPr>
      </w:pPr>
    </w:p>
    <w:p w14:paraId="3B7EFF99" w14:textId="77777777" w:rsidR="00B33022" w:rsidRPr="00B33022" w:rsidRDefault="00B33022" w:rsidP="00B33022">
      <w:pPr>
        <w:keepNext/>
        <w:rPr>
          <w:rFonts w:ascii="David" w:hAnsi="David"/>
          <w:color w:val="000000"/>
          <w:sz w:val="22"/>
          <w:szCs w:val="22"/>
          <w:rtl/>
        </w:rPr>
      </w:pPr>
      <w:r w:rsidRPr="00B33022">
        <w:rPr>
          <w:rFonts w:ascii="David" w:hAnsi="David"/>
          <w:color w:val="000000"/>
          <w:sz w:val="22"/>
          <w:szCs w:val="22"/>
          <w:rtl/>
        </w:rPr>
        <w:t>ד"ר שאול אבינור 54678313</w:t>
      </w:r>
    </w:p>
    <w:p w14:paraId="12205B4A" w14:textId="77777777" w:rsidR="00B33022" w:rsidRDefault="00B33022" w:rsidP="00B33022">
      <w:r w:rsidRPr="00B33022">
        <w:rPr>
          <w:color w:val="000000"/>
          <w:rtl/>
        </w:rPr>
        <w:t>נוסח מסמך זה כפוף לשינויי ניסוח ועריכה</w:t>
      </w:r>
    </w:p>
    <w:p w14:paraId="7E5ADD07" w14:textId="77777777" w:rsidR="00B33022" w:rsidRDefault="00B33022" w:rsidP="00B33022">
      <w:pPr>
        <w:rPr>
          <w:rtl/>
        </w:rPr>
      </w:pPr>
    </w:p>
    <w:p w14:paraId="7EDE49C1" w14:textId="77777777" w:rsidR="00B33022" w:rsidRDefault="00B33022" w:rsidP="00B33022">
      <w:pPr>
        <w:jc w:val="center"/>
        <w:rPr>
          <w:color w:val="0000FF"/>
          <w:u w:val="single"/>
        </w:rPr>
      </w:pPr>
      <w:r w:rsidRPr="00A57BF1">
        <w:rPr>
          <w:color w:val="000000"/>
          <w:rtl/>
        </w:rPr>
        <w:t>בעניין עריכה ושינויים במסמכי פסיקה, חקיקה ועוד באתר נבו – הקש כאן</w:t>
      </w:r>
    </w:p>
    <w:p w14:paraId="30C066D4" w14:textId="77777777" w:rsidR="0000080A" w:rsidRPr="00B33022" w:rsidRDefault="0000080A" w:rsidP="00B33022">
      <w:pPr>
        <w:jc w:val="center"/>
        <w:rPr>
          <w:color w:val="0000FF"/>
          <w:u w:val="single"/>
        </w:rPr>
      </w:pPr>
    </w:p>
    <w:sectPr w:rsidR="0000080A" w:rsidRPr="00B33022" w:rsidSect="00B33022">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76E9B" w14:textId="77777777" w:rsidR="00524CFA" w:rsidRDefault="00524CFA">
      <w:r>
        <w:separator/>
      </w:r>
    </w:p>
  </w:endnote>
  <w:endnote w:type="continuationSeparator" w:id="0">
    <w:p w14:paraId="1AE9E00C" w14:textId="77777777" w:rsidR="00524CFA" w:rsidRDefault="00524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C1B4B" w14:textId="77777777" w:rsidR="00524CFA" w:rsidRDefault="00524CFA" w:rsidP="00B3302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B5FE9D5" w14:textId="77777777" w:rsidR="00524CFA" w:rsidRPr="00B33022" w:rsidRDefault="00524CFA" w:rsidP="00B33022">
    <w:pPr>
      <w:pStyle w:val="a4"/>
      <w:pBdr>
        <w:top w:val="single" w:sz="4" w:space="1" w:color="auto"/>
        <w:between w:val="single" w:sz="4" w:space="0" w:color="auto"/>
      </w:pBdr>
      <w:spacing w:after="60"/>
      <w:jc w:val="center"/>
      <w:rPr>
        <w:rFonts w:ascii="FrankRuehl" w:hAnsi="FrankRuehl" w:cs="FrankRuehl"/>
        <w:color w:val="000000"/>
      </w:rPr>
    </w:pPr>
    <w:r w:rsidRPr="00B3302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920AE" w14:textId="77777777" w:rsidR="00524CFA" w:rsidRDefault="00524CFA" w:rsidP="00B3302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386B">
      <w:rPr>
        <w:rFonts w:ascii="FrankRuehl" w:hAnsi="FrankRuehl" w:cs="FrankRuehl"/>
        <w:noProof/>
        <w:rtl/>
      </w:rPr>
      <w:t>1</w:t>
    </w:r>
    <w:r>
      <w:rPr>
        <w:rFonts w:ascii="FrankRuehl" w:hAnsi="FrankRuehl" w:cs="FrankRuehl"/>
        <w:rtl/>
      </w:rPr>
      <w:fldChar w:fldCharType="end"/>
    </w:r>
  </w:p>
  <w:p w14:paraId="3BD7942B" w14:textId="77777777" w:rsidR="00524CFA" w:rsidRPr="00B33022" w:rsidRDefault="00524CFA" w:rsidP="00B33022">
    <w:pPr>
      <w:pStyle w:val="a4"/>
      <w:pBdr>
        <w:top w:val="single" w:sz="4" w:space="1" w:color="auto"/>
        <w:between w:val="single" w:sz="4" w:space="0" w:color="auto"/>
      </w:pBdr>
      <w:spacing w:after="60"/>
      <w:jc w:val="center"/>
      <w:rPr>
        <w:rFonts w:ascii="FrankRuehl" w:hAnsi="FrankRuehl" w:cs="FrankRuehl"/>
        <w:color w:val="000000"/>
      </w:rPr>
    </w:pPr>
    <w:r w:rsidRPr="00B33022">
      <w:rPr>
        <w:rFonts w:ascii="FrankRuehl" w:hAnsi="FrankRuehl" w:cs="FrankRuehl"/>
        <w:color w:val="000000"/>
      </w:rPr>
      <w:pict w14:anchorId="7E9DE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649A7" w14:textId="77777777" w:rsidR="00524CFA" w:rsidRDefault="00524CFA">
      <w:r>
        <w:separator/>
      </w:r>
    </w:p>
  </w:footnote>
  <w:footnote w:type="continuationSeparator" w:id="0">
    <w:p w14:paraId="28FEF160" w14:textId="77777777" w:rsidR="00524CFA" w:rsidRDefault="00524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46DD" w14:textId="77777777" w:rsidR="00524CFA" w:rsidRPr="00B33022" w:rsidRDefault="00524CFA" w:rsidP="00B330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45791-03-13</w:t>
    </w:r>
    <w:r>
      <w:rPr>
        <w:rFonts w:ascii="David" w:hAnsi="David"/>
        <w:color w:val="000000"/>
        <w:sz w:val="22"/>
        <w:szCs w:val="22"/>
        <w:rtl/>
      </w:rPr>
      <w:tab/>
      <w:t xml:space="preserve"> מדינת ישראל נ' מיכאל קרנץ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33C41" w14:textId="77777777" w:rsidR="00524CFA" w:rsidRPr="00B33022" w:rsidRDefault="00524CFA" w:rsidP="00B330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45791-03-13</w:t>
    </w:r>
    <w:r>
      <w:rPr>
        <w:rFonts w:ascii="David" w:hAnsi="David"/>
        <w:color w:val="000000"/>
        <w:sz w:val="22"/>
        <w:szCs w:val="22"/>
        <w:rtl/>
      </w:rPr>
      <w:tab/>
      <w:t xml:space="preserve"> מדינת ישראל נ' מיכאל קרנץ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BE8"/>
    <w:multiLevelType w:val="hybridMultilevel"/>
    <w:tmpl w:val="AEC2C674"/>
    <w:lvl w:ilvl="0" w:tplc="D0F8553E">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3487256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080A"/>
    <w:rsid w:val="0000080A"/>
    <w:rsid w:val="0015386B"/>
    <w:rsid w:val="001B073D"/>
    <w:rsid w:val="00305071"/>
    <w:rsid w:val="003456D4"/>
    <w:rsid w:val="00424C88"/>
    <w:rsid w:val="00524CFA"/>
    <w:rsid w:val="007C125D"/>
    <w:rsid w:val="00955361"/>
    <w:rsid w:val="00A57BF1"/>
    <w:rsid w:val="00B01265"/>
    <w:rsid w:val="00B33022"/>
    <w:rsid w:val="00BD242C"/>
    <w:rsid w:val="00BD3CD2"/>
    <w:rsid w:val="00BF3A6F"/>
    <w:rsid w:val="00C0481A"/>
    <w:rsid w:val="00DC06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47EA4E"/>
  <w15:chartTrackingRefBased/>
  <w15:docId w15:val="{A161D77E-38CC-45B3-868C-FBA0150AE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080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0080A"/>
    <w:pPr>
      <w:tabs>
        <w:tab w:val="center" w:pos="4153"/>
        <w:tab w:val="right" w:pos="8306"/>
      </w:tabs>
    </w:pPr>
  </w:style>
  <w:style w:type="paragraph" w:styleId="a4">
    <w:name w:val="footer"/>
    <w:basedOn w:val="a"/>
    <w:rsid w:val="0000080A"/>
    <w:pPr>
      <w:tabs>
        <w:tab w:val="center" w:pos="4153"/>
        <w:tab w:val="right" w:pos="8306"/>
      </w:tabs>
    </w:pPr>
  </w:style>
  <w:style w:type="character" w:styleId="a5">
    <w:name w:val="page number"/>
    <w:basedOn w:val="a0"/>
    <w:rsid w:val="0000080A"/>
  </w:style>
  <w:style w:type="character" w:styleId="Hyperlink">
    <w:name w:val="Hyperlink"/>
    <w:rsid w:val="00B33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c.b" TargetMode="External"/><Relationship Id="rId21" Type="http://schemas.openxmlformats.org/officeDocument/2006/relationships/hyperlink" Target="http://www.nevo.co.il/law/4216/7.c"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70301/192" TargetMode="External"/><Relationship Id="rId25" Type="http://schemas.openxmlformats.org/officeDocument/2006/relationships/hyperlink" Target="http://www.nevo.co.il/law/70301/40i"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4216/7.a" TargetMode="External"/><Relationship Id="rId29" Type="http://schemas.openxmlformats.org/officeDocument/2006/relationships/hyperlink" Target="http://www.nevo.co.il/case/50714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law/70301/40ja" TargetMode="External"/><Relationship Id="rId36" Type="http://schemas.openxmlformats.org/officeDocument/2006/relationships/footer" Target="footer2.xml"/><Relationship Id="rId10" Type="http://schemas.openxmlformats.org/officeDocument/2006/relationships/hyperlink" Target="http://www.nevo.co.il/law/70301/40i" TargetMode="External"/><Relationship Id="rId19" Type="http://schemas.openxmlformats.org/officeDocument/2006/relationships/hyperlink" Target="http://www.nevo.co.il/law/70301/275" TargetMode="External"/><Relationship Id="rId31" Type="http://schemas.openxmlformats.org/officeDocument/2006/relationships/hyperlink" Target="http://www.nevo.co.il/case/5071400" TargetMode="External"/><Relationship Id="rId4" Type="http://schemas.openxmlformats.org/officeDocument/2006/relationships/webSettings" Target="webSettings.xml"/><Relationship Id="rId9" Type="http://schemas.openxmlformats.org/officeDocument/2006/relationships/hyperlink" Target="http://www.nevo.co.il/law/70301/40c.b"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70301/40c.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7788</CharactersWithSpaces>
  <SharedDoc>false</SharedDoc>
  <HLinks>
    <vt:vector size="156" baseType="variant">
      <vt:variant>
        <vt:i4>8257637</vt:i4>
      </vt:variant>
      <vt:variant>
        <vt:i4>75</vt:i4>
      </vt:variant>
      <vt:variant>
        <vt:i4>0</vt:i4>
      </vt:variant>
      <vt:variant>
        <vt:i4>5</vt:i4>
      </vt:variant>
      <vt:variant>
        <vt:lpwstr>http://www.nevo.co.il/law/4216</vt:lpwstr>
      </vt:variant>
      <vt:variant>
        <vt:lpwstr/>
      </vt:variant>
      <vt:variant>
        <vt:i4>3539061</vt:i4>
      </vt:variant>
      <vt:variant>
        <vt:i4>72</vt:i4>
      </vt:variant>
      <vt:variant>
        <vt:i4>0</vt:i4>
      </vt:variant>
      <vt:variant>
        <vt:i4>5</vt:i4>
      </vt:variant>
      <vt:variant>
        <vt:lpwstr>http://www.nevo.co.il/case/5071400</vt:lpwstr>
      </vt:variant>
      <vt:variant>
        <vt:lpwstr/>
      </vt:variant>
      <vt:variant>
        <vt:i4>8257637</vt:i4>
      </vt:variant>
      <vt:variant>
        <vt:i4>69</vt:i4>
      </vt:variant>
      <vt:variant>
        <vt:i4>0</vt:i4>
      </vt:variant>
      <vt:variant>
        <vt:i4>5</vt:i4>
      </vt:variant>
      <vt:variant>
        <vt:lpwstr>http://www.nevo.co.il/law/4216</vt:lpwstr>
      </vt:variant>
      <vt:variant>
        <vt:lpwstr/>
      </vt:variant>
      <vt:variant>
        <vt:i4>3539061</vt:i4>
      </vt:variant>
      <vt:variant>
        <vt:i4>66</vt:i4>
      </vt:variant>
      <vt:variant>
        <vt:i4>0</vt:i4>
      </vt:variant>
      <vt:variant>
        <vt:i4>5</vt:i4>
      </vt:variant>
      <vt:variant>
        <vt:lpwstr>http://www.nevo.co.il/case/5071400</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http://www.nevo.co.il/law/70301/40c.b</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2025-04-22T21:59:00Z</dcterms:created>
  <dcterms:modified xsi:type="dcterms:W3CDTF">2025-04-22T21:59:00Z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45791</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מיכאל קרנץ</vt:lpwstr>
  </property>
  <property fmtid="{D5CDD505-2E9C-101B-9397-08002B2CF9AE}" pid="10" name="LAWYER">
    <vt:lpwstr>רותם חזן;לנג</vt:lpwstr>
  </property>
  <property fmtid="{D5CDD505-2E9C-101B-9397-08002B2CF9AE}" pid="11" name="JUDGE">
    <vt:lpwstr>ד#ר שאול אבינור</vt:lpwstr>
  </property>
  <property fmtid="{D5CDD505-2E9C-101B-9397-08002B2CF9AE}" pid="12" name="CITY">
    <vt:lpwstr>ת"א</vt:lpwstr>
  </property>
  <property fmtid="{D5CDD505-2E9C-101B-9397-08002B2CF9AE}" pid="13" name="DATE">
    <vt:lpwstr>20131225</vt:lpwstr>
  </property>
  <property fmtid="{D5CDD505-2E9C-101B-9397-08002B2CF9AE}" pid="14" name="TYPE_N_DATE">
    <vt:lpwstr>38020131225</vt:lpwstr>
  </property>
  <property fmtid="{D5CDD505-2E9C-101B-9397-08002B2CF9AE}" pid="15" name="WORDNUMPAGES">
    <vt:lpwstr>5</vt:lpwstr>
  </property>
  <property fmtid="{D5CDD505-2E9C-101B-9397-08002B2CF9AE}" pid="16" name="TYPE_ABS_DATE">
    <vt:lpwstr>380020131225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5071400:2</vt:lpwstr>
  </property>
  <property fmtid="{D5CDD505-2E9C-101B-9397-08002B2CF9AE}" pid="36" name="LAWLISTTMP1">
    <vt:lpwstr>70301/192;275;040c.a;040i;040c.b;40ja</vt:lpwstr>
  </property>
  <property fmtid="{D5CDD505-2E9C-101B-9397-08002B2CF9AE}" pid="37" name="LAWLISTTMP2">
    <vt:lpwstr>4216/007.a;007.c</vt:lpwstr>
  </property>
</Properties>
</file>