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E44A0" w:rsidRPr="00602C03" w14:paraId="59DA4AD4" w14:textId="77777777">
        <w:trPr>
          <w:trHeight w:hRule="exact" w:val="418"/>
          <w:jc w:val="center"/>
        </w:trPr>
        <w:tc>
          <w:tcPr>
            <w:tcW w:w="8721" w:type="dxa"/>
            <w:gridSpan w:val="2"/>
          </w:tcPr>
          <w:p w14:paraId="3C3BB6A2" w14:textId="77777777" w:rsidR="003E44A0" w:rsidRPr="00602C03" w:rsidRDefault="00602C03">
            <w:pPr>
              <w:pStyle w:val="a3"/>
              <w:jc w:val="center"/>
              <w:rPr>
                <w:rFonts w:ascii="Tahoma" w:hAnsi="Tahoma" w:cs="Tahoma"/>
                <w:color w:val="000080"/>
                <w:rtl/>
              </w:rPr>
            </w:pPr>
            <w:bookmarkStart w:id="0" w:name="LastJudge"/>
            <w:r w:rsidRPr="00602C03">
              <w:rPr>
                <w:rFonts w:ascii="Tahoma" w:hAnsi="Tahoma" w:cs="Tahoma"/>
                <w:b/>
                <w:bCs/>
                <w:color w:val="000080"/>
                <w:rtl/>
              </w:rPr>
              <w:t>בית משפט השלום בפתח תקווה</w:t>
            </w:r>
          </w:p>
        </w:tc>
      </w:tr>
      <w:tr w:rsidR="003E44A0" w:rsidRPr="00602C03" w14:paraId="4322FDFB" w14:textId="77777777">
        <w:trPr>
          <w:trHeight w:val="337"/>
          <w:jc w:val="center"/>
        </w:trPr>
        <w:tc>
          <w:tcPr>
            <w:tcW w:w="5054" w:type="dxa"/>
          </w:tcPr>
          <w:p w14:paraId="26758906" w14:textId="77777777" w:rsidR="003E44A0" w:rsidRPr="00602C03" w:rsidRDefault="00602C03">
            <w:pPr>
              <w:rPr>
                <w:rFonts w:cs="FrankRuehl"/>
                <w:sz w:val="28"/>
                <w:szCs w:val="28"/>
                <w:rtl/>
              </w:rPr>
            </w:pPr>
            <w:r w:rsidRPr="00602C03">
              <w:rPr>
                <w:rFonts w:cs="FrankRuehl"/>
                <w:sz w:val="28"/>
                <w:szCs w:val="28"/>
                <w:rtl/>
              </w:rPr>
              <w:t>ת"פ</w:t>
            </w:r>
            <w:r w:rsidRPr="00602C03">
              <w:rPr>
                <w:rFonts w:cs="FrankRuehl" w:hint="cs"/>
                <w:sz w:val="28"/>
                <w:szCs w:val="28"/>
                <w:rtl/>
              </w:rPr>
              <w:t xml:space="preserve"> </w:t>
            </w:r>
            <w:r w:rsidRPr="00602C03">
              <w:rPr>
                <w:rFonts w:cs="FrankRuehl"/>
                <w:sz w:val="28"/>
                <w:szCs w:val="28"/>
                <w:rtl/>
              </w:rPr>
              <w:t>16798-04-13</w:t>
            </w:r>
            <w:r w:rsidRPr="00602C03">
              <w:rPr>
                <w:rFonts w:cs="FrankRuehl" w:hint="cs"/>
                <w:sz w:val="28"/>
                <w:szCs w:val="28"/>
                <w:rtl/>
              </w:rPr>
              <w:t xml:space="preserve"> </w:t>
            </w:r>
            <w:r w:rsidRPr="00602C03">
              <w:rPr>
                <w:rFonts w:cs="FrankRuehl"/>
                <w:sz w:val="28"/>
                <w:szCs w:val="28"/>
                <w:rtl/>
              </w:rPr>
              <w:t>מדינת ישראל נ' גווילי</w:t>
            </w:r>
          </w:p>
          <w:p w14:paraId="06167523" w14:textId="77777777" w:rsidR="003E44A0" w:rsidRPr="00602C03" w:rsidRDefault="003E44A0">
            <w:pPr>
              <w:pStyle w:val="a3"/>
              <w:rPr>
                <w:rFonts w:cs="FrankRuehl"/>
                <w:sz w:val="28"/>
                <w:szCs w:val="28"/>
                <w:rtl/>
              </w:rPr>
            </w:pPr>
          </w:p>
        </w:tc>
        <w:tc>
          <w:tcPr>
            <w:tcW w:w="3667" w:type="dxa"/>
          </w:tcPr>
          <w:p w14:paraId="26987DE8" w14:textId="77777777" w:rsidR="003E44A0" w:rsidRPr="00602C03" w:rsidRDefault="003E44A0">
            <w:pPr>
              <w:pStyle w:val="a3"/>
              <w:jc w:val="right"/>
              <w:rPr>
                <w:rFonts w:cs="FrankRuehl"/>
                <w:sz w:val="28"/>
                <w:szCs w:val="28"/>
                <w:rtl/>
              </w:rPr>
            </w:pPr>
          </w:p>
        </w:tc>
      </w:tr>
    </w:tbl>
    <w:p w14:paraId="307651B6" w14:textId="77777777" w:rsidR="003E44A0" w:rsidRPr="00602C03" w:rsidRDefault="00602C03">
      <w:pPr>
        <w:pStyle w:val="a3"/>
        <w:rPr>
          <w:rtl/>
        </w:rPr>
      </w:pPr>
      <w:r w:rsidRPr="00602C03">
        <w:rPr>
          <w:rFonts w:hint="cs"/>
          <w:rtl/>
        </w:rPr>
        <w:t xml:space="preserve"> </w:t>
      </w:r>
    </w:p>
    <w:p w14:paraId="4629908D" w14:textId="77777777" w:rsidR="003E44A0" w:rsidRPr="00602C03" w:rsidRDefault="003E44A0">
      <w:pPr>
        <w:spacing w:line="360" w:lineRule="auto"/>
        <w:jc w:val="both"/>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E44A0" w:rsidRPr="00602C03" w14:paraId="6C09EB67" w14:textId="77777777">
        <w:trPr>
          <w:trHeight w:val="295"/>
          <w:jc w:val="center"/>
        </w:trPr>
        <w:tc>
          <w:tcPr>
            <w:tcW w:w="923" w:type="dxa"/>
            <w:tcBorders>
              <w:top w:val="nil"/>
              <w:left w:val="nil"/>
              <w:bottom w:val="nil"/>
              <w:right w:val="nil"/>
            </w:tcBorders>
            <w:shd w:val="clear" w:color="auto" w:fill="auto"/>
          </w:tcPr>
          <w:p w14:paraId="439B5E78" w14:textId="77777777" w:rsidR="003E44A0" w:rsidRPr="00602C03" w:rsidRDefault="00602C03">
            <w:pPr>
              <w:spacing w:line="360" w:lineRule="auto"/>
              <w:jc w:val="both"/>
              <w:rPr>
                <w:rFonts w:ascii="Arial" w:hAnsi="Arial" w:cs="FrankRuehl"/>
                <w:b/>
                <w:bCs/>
                <w:sz w:val="28"/>
                <w:szCs w:val="28"/>
              </w:rPr>
            </w:pPr>
            <w:r w:rsidRPr="00602C03">
              <w:rPr>
                <w:rFonts w:ascii="Arial" w:hAnsi="Arial" w:cs="FrankRuehl" w:hint="cs"/>
                <w:b/>
                <w:bCs/>
                <w:sz w:val="28"/>
                <w:szCs w:val="28"/>
                <w:rtl/>
              </w:rPr>
              <w:t>ב</w:t>
            </w:r>
            <w:r w:rsidRPr="00602C03">
              <w:rPr>
                <w:rFonts w:ascii="Arial" w:hAnsi="Arial" w:cs="FrankRuehl"/>
                <w:b/>
                <w:bCs/>
                <w:sz w:val="28"/>
                <w:szCs w:val="28"/>
                <w:rtl/>
              </w:rPr>
              <w:t xml:space="preserve">פני </w:t>
            </w:r>
          </w:p>
        </w:tc>
        <w:tc>
          <w:tcPr>
            <w:tcW w:w="7897" w:type="dxa"/>
            <w:gridSpan w:val="2"/>
            <w:tcBorders>
              <w:top w:val="nil"/>
              <w:left w:val="nil"/>
              <w:bottom w:val="nil"/>
              <w:right w:val="nil"/>
            </w:tcBorders>
            <w:shd w:val="clear" w:color="auto" w:fill="auto"/>
          </w:tcPr>
          <w:p w14:paraId="3A83F4FD" w14:textId="77777777" w:rsidR="003E44A0" w:rsidRPr="00602C03" w:rsidRDefault="00602C03">
            <w:pPr>
              <w:spacing w:line="360" w:lineRule="auto"/>
              <w:jc w:val="both"/>
              <w:rPr>
                <w:rFonts w:ascii="Arial" w:hAnsi="Arial"/>
                <w:b/>
                <w:bCs/>
                <w:rtl/>
              </w:rPr>
            </w:pPr>
            <w:r w:rsidRPr="00602C03">
              <w:rPr>
                <w:rFonts w:ascii="Arial" w:hAnsi="Arial" w:hint="cs"/>
                <w:b/>
                <w:bCs/>
                <w:rtl/>
              </w:rPr>
              <w:t>כב' ה</w:t>
            </w:r>
            <w:r w:rsidRPr="00602C03">
              <w:rPr>
                <w:rFonts w:hint="cs"/>
                <w:b/>
                <w:bCs/>
                <w:rtl/>
              </w:rPr>
              <w:t>סגנית נשיאה</w:t>
            </w:r>
            <w:r w:rsidRPr="00602C03">
              <w:rPr>
                <w:rFonts w:ascii="Arial" w:hAnsi="Arial" w:hint="cs"/>
                <w:b/>
                <w:bCs/>
                <w:rtl/>
              </w:rPr>
              <w:t xml:space="preserve">  </w:t>
            </w:r>
            <w:r w:rsidRPr="00602C03">
              <w:rPr>
                <w:rFonts w:hint="cs"/>
                <w:b/>
                <w:bCs/>
                <w:rtl/>
              </w:rPr>
              <w:t>עינת רון</w:t>
            </w:r>
          </w:p>
          <w:p w14:paraId="735A6E1E" w14:textId="77777777" w:rsidR="003E44A0" w:rsidRPr="00602C03" w:rsidRDefault="003E44A0">
            <w:pPr>
              <w:spacing w:line="360" w:lineRule="auto"/>
              <w:jc w:val="both"/>
              <w:rPr>
                <w:b/>
                <w:bCs/>
                <w:rtl/>
              </w:rPr>
            </w:pPr>
          </w:p>
          <w:p w14:paraId="6F3F576D" w14:textId="77777777" w:rsidR="003E44A0" w:rsidRPr="00602C03" w:rsidRDefault="003E44A0">
            <w:pPr>
              <w:spacing w:line="360" w:lineRule="auto"/>
              <w:jc w:val="both"/>
              <w:rPr>
                <w:rFonts w:ascii="Arial" w:hAnsi="Arial" w:cs="FrankRuehl"/>
                <w:b/>
                <w:bCs/>
                <w:sz w:val="28"/>
                <w:szCs w:val="28"/>
              </w:rPr>
            </w:pPr>
          </w:p>
        </w:tc>
      </w:tr>
      <w:tr w:rsidR="003E44A0" w:rsidRPr="00602C03" w14:paraId="20CA8897" w14:textId="77777777">
        <w:trPr>
          <w:trHeight w:val="355"/>
          <w:jc w:val="center"/>
        </w:trPr>
        <w:tc>
          <w:tcPr>
            <w:tcW w:w="923" w:type="dxa"/>
            <w:tcBorders>
              <w:top w:val="nil"/>
              <w:left w:val="nil"/>
              <w:bottom w:val="nil"/>
              <w:right w:val="nil"/>
            </w:tcBorders>
            <w:shd w:val="clear" w:color="auto" w:fill="auto"/>
          </w:tcPr>
          <w:p w14:paraId="5398C388" w14:textId="77777777" w:rsidR="003E44A0" w:rsidRPr="00602C03" w:rsidRDefault="00602C03">
            <w:pPr>
              <w:spacing w:line="360" w:lineRule="auto"/>
              <w:jc w:val="both"/>
              <w:rPr>
                <w:rFonts w:ascii="Arial" w:hAnsi="Arial" w:cs="FrankRuehl"/>
                <w:b/>
                <w:bCs/>
                <w:sz w:val="28"/>
                <w:szCs w:val="28"/>
              </w:rPr>
            </w:pPr>
            <w:bookmarkStart w:id="1" w:name="FirstAppellant"/>
            <w:r w:rsidRPr="00602C03">
              <w:rPr>
                <w:rFonts w:ascii="Arial" w:hAnsi="Arial" w:cs="FrankRuehl" w:hint="cs"/>
                <w:b/>
                <w:bCs/>
                <w:sz w:val="28"/>
                <w:szCs w:val="28"/>
                <w:rtl/>
              </w:rPr>
              <w:t>בעניין:</w:t>
            </w:r>
          </w:p>
        </w:tc>
        <w:tc>
          <w:tcPr>
            <w:tcW w:w="4126" w:type="dxa"/>
            <w:tcBorders>
              <w:top w:val="nil"/>
              <w:left w:val="nil"/>
              <w:bottom w:val="nil"/>
              <w:right w:val="nil"/>
            </w:tcBorders>
            <w:shd w:val="clear" w:color="auto" w:fill="auto"/>
          </w:tcPr>
          <w:p w14:paraId="26920EA7" w14:textId="77777777" w:rsidR="003E44A0" w:rsidRPr="00602C03" w:rsidRDefault="00602C03">
            <w:pPr>
              <w:spacing w:line="360" w:lineRule="auto"/>
              <w:jc w:val="both"/>
              <w:rPr>
                <w:b/>
                <w:bCs/>
              </w:rPr>
            </w:pPr>
            <w:r w:rsidRPr="00602C03">
              <w:rPr>
                <w:rFonts w:hint="cs"/>
                <w:b/>
                <w:bCs/>
                <w:rtl/>
              </w:rPr>
              <w:t>מדינת ישראל</w:t>
            </w:r>
          </w:p>
        </w:tc>
        <w:tc>
          <w:tcPr>
            <w:tcW w:w="3771" w:type="dxa"/>
            <w:tcBorders>
              <w:top w:val="nil"/>
              <w:left w:val="nil"/>
              <w:bottom w:val="nil"/>
              <w:right w:val="nil"/>
            </w:tcBorders>
            <w:shd w:val="clear" w:color="auto" w:fill="auto"/>
          </w:tcPr>
          <w:p w14:paraId="4C48D2C4" w14:textId="77777777" w:rsidR="003E44A0" w:rsidRPr="00602C03" w:rsidRDefault="003E44A0">
            <w:pPr>
              <w:spacing w:line="360" w:lineRule="auto"/>
              <w:jc w:val="both"/>
              <w:rPr>
                <w:rFonts w:ascii="Arial" w:hAnsi="Arial" w:cs="FrankRuehl"/>
                <w:b/>
                <w:bCs/>
                <w:sz w:val="28"/>
                <w:szCs w:val="28"/>
              </w:rPr>
            </w:pPr>
          </w:p>
        </w:tc>
      </w:tr>
      <w:bookmarkEnd w:id="1"/>
      <w:tr w:rsidR="003E44A0" w:rsidRPr="00602C03" w14:paraId="39C0F922" w14:textId="77777777">
        <w:trPr>
          <w:trHeight w:val="355"/>
          <w:jc w:val="center"/>
        </w:trPr>
        <w:tc>
          <w:tcPr>
            <w:tcW w:w="923" w:type="dxa"/>
            <w:tcBorders>
              <w:top w:val="nil"/>
              <w:left w:val="nil"/>
              <w:bottom w:val="nil"/>
              <w:right w:val="nil"/>
            </w:tcBorders>
            <w:shd w:val="clear" w:color="auto" w:fill="auto"/>
          </w:tcPr>
          <w:p w14:paraId="14E6C51A" w14:textId="77777777" w:rsidR="003E44A0" w:rsidRPr="00602C03" w:rsidRDefault="003E44A0">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74242B6B" w14:textId="77777777" w:rsidR="003E44A0" w:rsidRPr="00602C03" w:rsidRDefault="003E44A0">
            <w:pPr>
              <w:spacing w:line="360" w:lineRule="auto"/>
              <w:jc w:val="both"/>
              <w:rPr>
                <w:b/>
                <w:bCs/>
                <w:rtl/>
              </w:rPr>
            </w:pPr>
          </w:p>
        </w:tc>
        <w:tc>
          <w:tcPr>
            <w:tcW w:w="3771" w:type="dxa"/>
            <w:tcBorders>
              <w:top w:val="nil"/>
              <w:left w:val="nil"/>
              <w:bottom w:val="nil"/>
              <w:right w:val="nil"/>
            </w:tcBorders>
            <w:shd w:val="clear" w:color="auto" w:fill="auto"/>
          </w:tcPr>
          <w:p w14:paraId="2AA291D2" w14:textId="77777777" w:rsidR="003E44A0" w:rsidRPr="00602C03" w:rsidRDefault="00602C03">
            <w:pPr>
              <w:spacing w:line="360" w:lineRule="auto"/>
              <w:jc w:val="both"/>
              <w:rPr>
                <w:rFonts w:ascii="Arial" w:hAnsi="Arial" w:cs="FrankRuehl"/>
                <w:b/>
                <w:bCs/>
                <w:sz w:val="28"/>
                <w:szCs w:val="28"/>
                <w:rtl/>
              </w:rPr>
            </w:pPr>
            <w:r w:rsidRPr="00602C03">
              <w:rPr>
                <w:rFonts w:ascii="Arial" w:hAnsi="Arial" w:cs="FrankRuehl" w:hint="cs"/>
                <w:b/>
                <w:bCs/>
                <w:sz w:val="28"/>
                <w:szCs w:val="28"/>
                <w:rtl/>
              </w:rPr>
              <w:t>ה</w:t>
            </w:r>
            <w:r w:rsidRPr="00602C03">
              <w:rPr>
                <w:rFonts w:hint="cs"/>
                <w:b/>
                <w:bCs/>
                <w:rtl/>
              </w:rPr>
              <w:t>מאשימה</w:t>
            </w:r>
          </w:p>
        </w:tc>
      </w:tr>
      <w:tr w:rsidR="003E44A0" w:rsidRPr="00602C03" w14:paraId="39DD7A0A" w14:textId="77777777">
        <w:trPr>
          <w:trHeight w:val="355"/>
          <w:jc w:val="center"/>
        </w:trPr>
        <w:tc>
          <w:tcPr>
            <w:tcW w:w="923" w:type="dxa"/>
            <w:tcBorders>
              <w:top w:val="nil"/>
              <w:left w:val="nil"/>
              <w:bottom w:val="nil"/>
              <w:right w:val="nil"/>
            </w:tcBorders>
            <w:shd w:val="clear" w:color="auto" w:fill="auto"/>
          </w:tcPr>
          <w:p w14:paraId="3B227102" w14:textId="77777777" w:rsidR="003E44A0" w:rsidRPr="00602C03" w:rsidRDefault="003E44A0">
            <w:pPr>
              <w:spacing w:line="360" w:lineRule="auto"/>
              <w:jc w:val="both"/>
              <w:rPr>
                <w:rFonts w:ascii="Arial" w:hAnsi="Arial" w:cs="FrankRuehl"/>
                <w:b/>
                <w:bCs/>
                <w:sz w:val="28"/>
                <w:szCs w:val="28"/>
                <w:rtl/>
              </w:rPr>
            </w:pPr>
          </w:p>
        </w:tc>
        <w:tc>
          <w:tcPr>
            <w:tcW w:w="7897" w:type="dxa"/>
            <w:gridSpan w:val="2"/>
            <w:tcBorders>
              <w:top w:val="nil"/>
              <w:left w:val="nil"/>
              <w:bottom w:val="nil"/>
              <w:right w:val="nil"/>
            </w:tcBorders>
            <w:shd w:val="clear" w:color="auto" w:fill="auto"/>
          </w:tcPr>
          <w:p w14:paraId="33562388" w14:textId="77777777" w:rsidR="003E44A0" w:rsidRPr="00602C03" w:rsidRDefault="003E44A0">
            <w:pPr>
              <w:spacing w:line="360" w:lineRule="auto"/>
              <w:jc w:val="both"/>
              <w:rPr>
                <w:rFonts w:ascii="Arial" w:hAnsi="Arial" w:cs="FrankRuehl"/>
                <w:b/>
                <w:bCs/>
                <w:sz w:val="28"/>
                <w:szCs w:val="28"/>
                <w:rtl/>
              </w:rPr>
            </w:pPr>
          </w:p>
          <w:p w14:paraId="0A9DEF07" w14:textId="77777777" w:rsidR="003E44A0" w:rsidRPr="00602C03" w:rsidRDefault="00602C03">
            <w:pPr>
              <w:spacing w:line="360" w:lineRule="auto"/>
              <w:jc w:val="both"/>
              <w:rPr>
                <w:rFonts w:ascii="Arial" w:hAnsi="Arial" w:cs="FrankRuehl"/>
                <w:b/>
                <w:bCs/>
                <w:sz w:val="28"/>
                <w:szCs w:val="28"/>
                <w:rtl/>
              </w:rPr>
            </w:pPr>
            <w:r w:rsidRPr="00602C03">
              <w:rPr>
                <w:rFonts w:ascii="Arial" w:hAnsi="Arial" w:cs="FrankRuehl"/>
                <w:b/>
                <w:bCs/>
                <w:sz w:val="28"/>
                <w:szCs w:val="28"/>
                <w:rtl/>
              </w:rPr>
              <w:t>נגד</w:t>
            </w:r>
          </w:p>
          <w:p w14:paraId="67E7921E" w14:textId="77777777" w:rsidR="003E44A0" w:rsidRPr="00602C03" w:rsidRDefault="003E44A0">
            <w:pPr>
              <w:spacing w:line="360" w:lineRule="auto"/>
              <w:jc w:val="both"/>
              <w:rPr>
                <w:rFonts w:ascii="Arial" w:hAnsi="Arial" w:cs="FrankRuehl"/>
                <w:b/>
                <w:bCs/>
                <w:sz w:val="28"/>
                <w:szCs w:val="28"/>
              </w:rPr>
            </w:pPr>
          </w:p>
        </w:tc>
      </w:tr>
      <w:tr w:rsidR="003E44A0" w:rsidRPr="00602C03" w14:paraId="6C51A541" w14:textId="77777777">
        <w:trPr>
          <w:trHeight w:val="355"/>
          <w:jc w:val="center"/>
        </w:trPr>
        <w:tc>
          <w:tcPr>
            <w:tcW w:w="923" w:type="dxa"/>
            <w:tcBorders>
              <w:top w:val="nil"/>
              <w:left w:val="nil"/>
              <w:bottom w:val="nil"/>
              <w:right w:val="nil"/>
            </w:tcBorders>
            <w:shd w:val="clear" w:color="auto" w:fill="auto"/>
          </w:tcPr>
          <w:p w14:paraId="009FB61E" w14:textId="77777777" w:rsidR="003E44A0" w:rsidRPr="00602C03" w:rsidRDefault="003E44A0">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0A1A4045" w14:textId="77777777" w:rsidR="003E44A0" w:rsidRPr="00602C03" w:rsidRDefault="00602C03">
            <w:pPr>
              <w:spacing w:line="360" w:lineRule="auto"/>
              <w:jc w:val="both"/>
              <w:rPr>
                <w:b/>
                <w:bCs/>
                <w:rtl/>
              </w:rPr>
            </w:pPr>
            <w:r w:rsidRPr="00602C03">
              <w:rPr>
                <w:rFonts w:hint="cs"/>
                <w:b/>
                <w:bCs/>
                <w:rtl/>
              </w:rPr>
              <w:t>איילון גווילי</w:t>
            </w:r>
          </w:p>
        </w:tc>
        <w:tc>
          <w:tcPr>
            <w:tcW w:w="3771" w:type="dxa"/>
            <w:tcBorders>
              <w:top w:val="nil"/>
              <w:left w:val="nil"/>
              <w:bottom w:val="nil"/>
              <w:right w:val="nil"/>
            </w:tcBorders>
            <w:shd w:val="clear" w:color="auto" w:fill="auto"/>
          </w:tcPr>
          <w:p w14:paraId="2C20405B" w14:textId="77777777" w:rsidR="003E44A0" w:rsidRPr="00602C03" w:rsidRDefault="003E44A0">
            <w:pPr>
              <w:spacing w:line="360" w:lineRule="auto"/>
              <w:jc w:val="both"/>
              <w:rPr>
                <w:rFonts w:ascii="Arial" w:hAnsi="Arial" w:cs="FrankRuehl"/>
                <w:b/>
                <w:bCs/>
                <w:sz w:val="28"/>
                <w:szCs w:val="28"/>
              </w:rPr>
            </w:pPr>
          </w:p>
        </w:tc>
      </w:tr>
      <w:tr w:rsidR="003E44A0" w:rsidRPr="00602C03" w14:paraId="0C004265" w14:textId="77777777">
        <w:trPr>
          <w:trHeight w:val="355"/>
          <w:jc w:val="center"/>
        </w:trPr>
        <w:tc>
          <w:tcPr>
            <w:tcW w:w="923" w:type="dxa"/>
            <w:tcBorders>
              <w:top w:val="nil"/>
              <w:left w:val="nil"/>
              <w:bottom w:val="nil"/>
              <w:right w:val="nil"/>
            </w:tcBorders>
            <w:shd w:val="clear" w:color="auto" w:fill="auto"/>
          </w:tcPr>
          <w:p w14:paraId="133DAE08" w14:textId="77777777" w:rsidR="003E44A0" w:rsidRPr="00602C03" w:rsidRDefault="003E44A0">
            <w:pPr>
              <w:spacing w:line="360" w:lineRule="auto"/>
              <w:jc w:val="both"/>
              <w:rPr>
                <w:rFonts w:ascii="Arial" w:hAnsi="Arial" w:cs="FrankRuehl"/>
                <w:b/>
                <w:bCs/>
                <w:sz w:val="28"/>
                <w:szCs w:val="28"/>
                <w:rtl/>
              </w:rPr>
            </w:pPr>
          </w:p>
        </w:tc>
        <w:tc>
          <w:tcPr>
            <w:tcW w:w="4126" w:type="dxa"/>
            <w:tcBorders>
              <w:top w:val="nil"/>
              <w:left w:val="nil"/>
              <w:bottom w:val="nil"/>
              <w:right w:val="nil"/>
            </w:tcBorders>
            <w:shd w:val="clear" w:color="auto" w:fill="auto"/>
          </w:tcPr>
          <w:p w14:paraId="404A2B11" w14:textId="77777777" w:rsidR="003E44A0" w:rsidRPr="00602C03" w:rsidRDefault="003E44A0">
            <w:pPr>
              <w:spacing w:line="360" w:lineRule="auto"/>
              <w:jc w:val="both"/>
              <w:rPr>
                <w:b/>
                <w:bCs/>
                <w:rtl/>
              </w:rPr>
            </w:pPr>
          </w:p>
        </w:tc>
        <w:tc>
          <w:tcPr>
            <w:tcW w:w="3771" w:type="dxa"/>
            <w:tcBorders>
              <w:top w:val="nil"/>
              <w:left w:val="nil"/>
              <w:bottom w:val="nil"/>
              <w:right w:val="nil"/>
            </w:tcBorders>
            <w:shd w:val="clear" w:color="auto" w:fill="auto"/>
          </w:tcPr>
          <w:p w14:paraId="786313EC" w14:textId="77777777" w:rsidR="003E44A0" w:rsidRPr="00602C03" w:rsidRDefault="00602C03">
            <w:pPr>
              <w:spacing w:line="360" w:lineRule="auto"/>
              <w:jc w:val="both"/>
              <w:rPr>
                <w:rFonts w:ascii="Arial" w:hAnsi="Arial" w:cs="FrankRuehl"/>
                <w:b/>
                <w:bCs/>
                <w:sz w:val="28"/>
                <w:szCs w:val="28"/>
              </w:rPr>
            </w:pPr>
            <w:r w:rsidRPr="00602C03">
              <w:rPr>
                <w:rFonts w:ascii="Arial" w:hAnsi="Arial" w:cs="FrankRuehl" w:hint="cs"/>
                <w:b/>
                <w:bCs/>
                <w:sz w:val="28"/>
                <w:szCs w:val="28"/>
                <w:rtl/>
              </w:rPr>
              <w:t>ה</w:t>
            </w:r>
            <w:r w:rsidRPr="00602C03">
              <w:rPr>
                <w:rFonts w:hint="cs"/>
                <w:b/>
                <w:bCs/>
                <w:rtl/>
              </w:rPr>
              <w:t>נאשם</w:t>
            </w:r>
          </w:p>
        </w:tc>
      </w:tr>
    </w:tbl>
    <w:p w14:paraId="00FFC156" w14:textId="77777777" w:rsidR="003E44A0" w:rsidRPr="00602C03" w:rsidRDefault="003E44A0">
      <w:pPr>
        <w:spacing w:line="360" w:lineRule="auto"/>
        <w:jc w:val="both"/>
        <w:rPr>
          <w:b/>
          <w:bCs/>
          <w:rtl/>
        </w:rPr>
      </w:pPr>
    </w:p>
    <w:p w14:paraId="6EA8ACE6" w14:textId="77777777" w:rsidR="003E44A0" w:rsidRPr="00602C03" w:rsidRDefault="00602C03">
      <w:pPr>
        <w:spacing w:line="360" w:lineRule="auto"/>
        <w:jc w:val="both"/>
        <w:rPr>
          <w:b/>
          <w:bCs/>
          <w:rtl/>
        </w:rPr>
      </w:pPr>
      <w:r w:rsidRPr="00602C03">
        <w:rPr>
          <w:rFonts w:hint="cs"/>
          <w:b/>
          <w:bCs/>
          <w:rtl/>
        </w:rPr>
        <w:t>נוכחים:</w:t>
      </w:r>
    </w:p>
    <w:p w14:paraId="57FDD749" w14:textId="77777777" w:rsidR="003E44A0" w:rsidRPr="00602C03" w:rsidRDefault="00602C03">
      <w:pPr>
        <w:spacing w:line="360" w:lineRule="auto"/>
        <w:jc w:val="both"/>
        <w:rPr>
          <w:b/>
          <w:bCs/>
          <w:rtl/>
        </w:rPr>
      </w:pPr>
      <w:bookmarkStart w:id="2" w:name="FirstLawyer"/>
      <w:r w:rsidRPr="00602C03">
        <w:rPr>
          <w:rFonts w:hint="cs"/>
          <w:b/>
          <w:bCs/>
          <w:rtl/>
        </w:rPr>
        <w:t>ב"כ</w:t>
      </w:r>
      <w:bookmarkEnd w:id="2"/>
      <w:r w:rsidRPr="00602C03">
        <w:rPr>
          <w:rFonts w:hint="cs"/>
          <w:b/>
          <w:bCs/>
          <w:rtl/>
        </w:rPr>
        <w:t xml:space="preserve"> המאשימה עו"ד מיקי ברגר</w:t>
      </w:r>
    </w:p>
    <w:p w14:paraId="4038E7E8" w14:textId="77777777" w:rsidR="003E44A0" w:rsidRPr="00602C03" w:rsidRDefault="00602C03">
      <w:pPr>
        <w:spacing w:line="360" w:lineRule="auto"/>
        <w:jc w:val="both"/>
        <w:rPr>
          <w:b/>
          <w:bCs/>
          <w:rtl/>
        </w:rPr>
      </w:pPr>
      <w:r w:rsidRPr="00602C03">
        <w:rPr>
          <w:rFonts w:hint="cs"/>
          <w:b/>
          <w:bCs/>
          <w:rtl/>
        </w:rPr>
        <w:t>ב"כ הנאשם עו"ד אורון שוורץ</w:t>
      </w:r>
    </w:p>
    <w:p w14:paraId="622587B2" w14:textId="77777777" w:rsidR="00F93B80" w:rsidRDefault="00602C03">
      <w:pPr>
        <w:spacing w:line="360" w:lineRule="auto"/>
        <w:jc w:val="both"/>
        <w:rPr>
          <w:rtl/>
        </w:rPr>
      </w:pPr>
      <w:r w:rsidRPr="00602C03">
        <w:rPr>
          <w:rFonts w:hint="cs"/>
          <w:b/>
          <w:bCs/>
          <w:rtl/>
        </w:rPr>
        <w:t>הנאשם בעצמו</w:t>
      </w:r>
      <w:bookmarkStart w:id="3" w:name="LawTable"/>
      <w:bookmarkEnd w:id="3"/>
    </w:p>
    <w:p w14:paraId="54D39E64" w14:textId="77777777" w:rsidR="00F93B80" w:rsidRPr="00F93B80" w:rsidRDefault="00F93B80" w:rsidP="00F93B80">
      <w:pPr>
        <w:spacing w:after="120" w:line="240" w:lineRule="exact"/>
        <w:ind w:left="283" w:hanging="283"/>
        <w:jc w:val="both"/>
        <w:rPr>
          <w:rFonts w:ascii="FrankRuehl" w:hAnsi="FrankRuehl" w:cs="FrankRuehl"/>
          <w:rtl/>
        </w:rPr>
      </w:pPr>
    </w:p>
    <w:p w14:paraId="55703D4A" w14:textId="77777777" w:rsidR="00F93B80" w:rsidRPr="00F93B80" w:rsidRDefault="00F93B80" w:rsidP="00F93B80">
      <w:pPr>
        <w:spacing w:after="120" w:line="240" w:lineRule="exact"/>
        <w:ind w:left="283" w:hanging="283"/>
        <w:jc w:val="both"/>
        <w:rPr>
          <w:rFonts w:ascii="FrankRuehl" w:hAnsi="FrankRuehl" w:cs="FrankRuehl"/>
          <w:rtl/>
        </w:rPr>
      </w:pPr>
      <w:r w:rsidRPr="00F93B80">
        <w:rPr>
          <w:rFonts w:ascii="FrankRuehl" w:hAnsi="FrankRuehl" w:cs="FrankRuehl"/>
          <w:rtl/>
        </w:rPr>
        <w:t xml:space="preserve">חקיקה שאוזכרה: </w:t>
      </w:r>
    </w:p>
    <w:p w14:paraId="4DEC2D5A" w14:textId="77777777" w:rsidR="00F93B80" w:rsidRPr="00F93B80" w:rsidRDefault="00F93B80" w:rsidP="00F93B80">
      <w:pPr>
        <w:spacing w:after="120" w:line="240" w:lineRule="exact"/>
        <w:ind w:left="283" w:hanging="283"/>
        <w:jc w:val="both"/>
        <w:rPr>
          <w:rFonts w:ascii="FrankRuehl" w:hAnsi="FrankRuehl" w:cs="FrankRuehl"/>
          <w:rtl/>
        </w:rPr>
      </w:pPr>
      <w:hyperlink r:id="rId6" w:history="1">
        <w:r w:rsidRPr="00F93B80">
          <w:rPr>
            <w:rFonts w:ascii="FrankRuehl" w:hAnsi="FrankRuehl" w:cs="FrankRuehl"/>
            <w:color w:val="0000FF"/>
            <w:u w:val="single"/>
            <w:rtl/>
          </w:rPr>
          <w:t>פקודת הסמים המסוכנים [נוסח חדש], תשל"ג-1973</w:t>
        </w:r>
      </w:hyperlink>
    </w:p>
    <w:p w14:paraId="7894BDFE" w14:textId="77777777" w:rsidR="00F93B80" w:rsidRPr="00F93B80" w:rsidRDefault="00F93B80" w:rsidP="00F93B80">
      <w:pPr>
        <w:spacing w:after="120" w:line="240" w:lineRule="exact"/>
        <w:ind w:left="283" w:hanging="283"/>
        <w:jc w:val="both"/>
        <w:rPr>
          <w:rFonts w:ascii="FrankRuehl" w:hAnsi="FrankRuehl" w:cs="FrankRuehl"/>
          <w:rtl/>
        </w:rPr>
      </w:pPr>
      <w:hyperlink r:id="rId7" w:history="1">
        <w:r w:rsidRPr="00F93B80">
          <w:rPr>
            <w:rFonts w:ascii="FrankRuehl" w:hAnsi="FrankRuehl" w:cs="FrankRuehl"/>
            <w:color w:val="0000FF"/>
            <w:u w:val="single"/>
            <w:rtl/>
          </w:rPr>
          <w:t>חוק הכניסה לישראל, תשי"ב-1952</w:t>
        </w:r>
      </w:hyperlink>
    </w:p>
    <w:p w14:paraId="7D49B37A" w14:textId="77777777" w:rsidR="00F93B80" w:rsidRPr="00F93B80" w:rsidRDefault="00F93B80" w:rsidP="00F93B80">
      <w:pPr>
        <w:spacing w:after="120" w:line="240" w:lineRule="exact"/>
        <w:ind w:left="283" w:hanging="283"/>
        <w:jc w:val="both"/>
        <w:rPr>
          <w:rFonts w:ascii="FrankRuehl" w:hAnsi="FrankRuehl" w:cs="FrankRueh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E44A0" w14:paraId="70AE085A" w14:textId="77777777">
        <w:trPr>
          <w:trHeight w:val="355"/>
          <w:jc w:val="center"/>
        </w:trPr>
        <w:tc>
          <w:tcPr>
            <w:tcW w:w="8820" w:type="dxa"/>
            <w:tcBorders>
              <w:top w:val="nil"/>
              <w:left w:val="nil"/>
              <w:bottom w:val="nil"/>
              <w:right w:val="nil"/>
            </w:tcBorders>
            <w:shd w:val="clear" w:color="auto" w:fill="auto"/>
          </w:tcPr>
          <w:p w14:paraId="0F77596B" w14:textId="77777777" w:rsidR="003E44A0" w:rsidRPr="00602C03" w:rsidRDefault="00602C03" w:rsidP="00602C03">
            <w:pPr>
              <w:spacing w:line="360" w:lineRule="auto"/>
              <w:jc w:val="center"/>
              <w:rPr>
                <w:rFonts w:ascii="Arial" w:hAnsi="Arial" w:cs="FrankRuehl"/>
                <w:b/>
                <w:bCs/>
                <w:sz w:val="32"/>
                <w:szCs w:val="32"/>
                <w:u w:val="single"/>
                <w:rtl/>
              </w:rPr>
            </w:pPr>
            <w:bookmarkStart w:id="4" w:name="LawTable_End"/>
            <w:bookmarkStart w:id="5" w:name="PsakDin" w:colFirst="0" w:colLast="0"/>
            <w:bookmarkEnd w:id="0"/>
            <w:bookmarkEnd w:id="4"/>
            <w:r w:rsidRPr="00602C03">
              <w:rPr>
                <w:rFonts w:ascii="Arial" w:hAnsi="Arial" w:cs="FrankRuehl"/>
                <w:b/>
                <w:bCs/>
                <w:sz w:val="32"/>
                <w:szCs w:val="32"/>
                <w:u w:val="single"/>
                <w:rtl/>
              </w:rPr>
              <w:t>גזר דין</w:t>
            </w:r>
          </w:p>
        </w:tc>
      </w:tr>
      <w:bookmarkEnd w:id="5"/>
    </w:tbl>
    <w:p w14:paraId="5F836485" w14:textId="77777777" w:rsidR="003E44A0" w:rsidRDefault="003E44A0">
      <w:pPr>
        <w:spacing w:line="360" w:lineRule="auto"/>
        <w:jc w:val="both"/>
        <w:rPr>
          <w:b/>
          <w:bCs/>
          <w:rtl/>
        </w:rPr>
      </w:pPr>
    </w:p>
    <w:p w14:paraId="4EB43E06" w14:textId="77777777" w:rsidR="003E44A0" w:rsidRDefault="00602C03">
      <w:pPr>
        <w:spacing w:line="360" w:lineRule="auto"/>
        <w:jc w:val="both"/>
        <w:rPr>
          <w:b/>
          <w:bCs/>
          <w:rtl/>
        </w:rPr>
      </w:pPr>
      <w:r>
        <w:rPr>
          <w:rFonts w:hint="cs"/>
          <w:b/>
          <w:bCs/>
          <w:rtl/>
        </w:rPr>
        <w:t>לאחר ניהול הליך של הוכחות הורשע  הנאשם בשתי עבירות של איומים ובעבירה של תקיפה סתם.</w:t>
      </w:r>
    </w:p>
    <w:p w14:paraId="73BC41BF" w14:textId="77777777" w:rsidR="003E44A0" w:rsidRDefault="003E44A0">
      <w:pPr>
        <w:spacing w:line="360" w:lineRule="auto"/>
        <w:jc w:val="both"/>
        <w:rPr>
          <w:b/>
          <w:bCs/>
          <w:rtl/>
        </w:rPr>
      </w:pPr>
    </w:p>
    <w:p w14:paraId="183326DD" w14:textId="77777777" w:rsidR="003E44A0" w:rsidRDefault="00602C03">
      <w:pPr>
        <w:spacing w:line="360" w:lineRule="auto"/>
        <w:jc w:val="both"/>
        <w:rPr>
          <w:b/>
          <w:bCs/>
          <w:rtl/>
        </w:rPr>
      </w:pPr>
      <w:bookmarkStart w:id="6" w:name="ABSTRACT_START"/>
      <w:bookmarkEnd w:id="6"/>
      <w:r>
        <w:rPr>
          <w:rFonts w:hint="cs"/>
          <w:b/>
          <w:bCs/>
          <w:rtl/>
        </w:rPr>
        <w:t xml:space="preserve">תמצית העובדות אשר פורטו בהרחבה בהכרעת הדין הן כי בתאריך 2/4/13  שהו המתלונן, עימו היה לנאשם סכסוך כספי, וחברתו של המתלונן בסמוך לבית מגוריו של הנאשם.  הנאשם שהגיע למקום יצא מן הרכב בו הגיע ותקף את המתלונן בכך שהכה אותו בפניו במכת אגרוף. לאחר שמאן </w:t>
      </w:r>
      <w:r>
        <w:rPr>
          <w:rFonts w:hint="cs"/>
          <w:b/>
          <w:bCs/>
          <w:rtl/>
        </w:rPr>
        <w:lastRenderedPageBreak/>
        <w:t xml:space="preserve">דהוא הפריד בין השניים והמתלונן החל לנוס מן המקום איים הנאשם הן על המתלונן והן על המתלוננת </w:t>
      </w:r>
      <w:r>
        <w:rPr>
          <w:b/>
          <w:bCs/>
          <w:rtl/>
        </w:rPr>
        <w:t>–</w:t>
      </w:r>
      <w:r>
        <w:rPr>
          <w:rFonts w:hint="cs"/>
          <w:b/>
          <w:bCs/>
          <w:rtl/>
        </w:rPr>
        <w:t xml:space="preserve"> חברתו.</w:t>
      </w:r>
    </w:p>
    <w:p w14:paraId="7D66A41A" w14:textId="77777777" w:rsidR="003E44A0" w:rsidRDefault="003E44A0">
      <w:pPr>
        <w:spacing w:line="360" w:lineRule="auto"/>
        <w:jc w:val="both"/>
        <w:rPr>
          <w:b/>
          <w:bCs/>
          <w:rtl/>
        </w:rPr>
      </w:pPr>
      <w:bookmarkStart w:id="7" w:name="ABSTRACT_END"/>
      <w:bookmarkEnd w:id="7"/>
    </w:p>
    <w:p w14:paraId="65B28602" w14:textId="77777777" w:rsidR="003E44A0" w:rsidRDefault="00602C03">
      <w:pPr>
        <w:spacing w:line="360" w:lineRule="auto"/>
        <w:jc w:val="both"/>
        <w:rPr>
          <w:b/>
          <w:bCs/>
          <w:rtl/>
        </w:rPr>
      </w:pPr>
      <w:r>
        <w:rPr>
          <w:rFonts w:hint="cs"/>
          <w:b/>
          <w:bCs/>
          <w:rtl/>
        </w:rPr>
        <w:t xml:space="preserve">בתאריך 3/4/13, עת שהה אחר בביתו של המתלונן התקשר הנאשם אל אותו אחר, בלא שידע היכן הוא נמצא, ובמהלך השיחה עימו ביקש כי יעיד כנגד המתלוננים וכן איים על המתלוננים באומרו כי יפגע בהם. </w:t>
      </w:r>
    </w:p>
    <w:p w14:paraId="0CCBF1A4" w14:textId="77777777" w:rsidR="003E44A0" w:rsidRDefault="003E44A0">
      <w:pPr>
        <w:spacing w:line="360" w:lineRule="auto"/>
        <w:jc w:val="both"/>
        <w:rPr>
          <w:b/>
          <w:bCs/>
          <w:rtl/>
        </w:rPr>
      </w:pPr>
    </w:p>
    <w:p w14:paraId="0701DE2C" w14:textId="77777777" w:rsidR="003E44A0" w:rsidRDefault="00602C03">
      <w:pPr>
        <w:spacing w:line="360" w:lineRule="auto"/>
        <w:jc w:val="both"/>
        <w:rPr>
          <w:b/>
          <w:bCs/>
          <w:rtl/>
        </w:rPr>
      </w:pPr>
      <w:r>
        <w:rPr>
          <w:rFonts w:hint="cs"/>
          <w:b/>
          <w:bCs/>
          <w:rtl/>
        </w:rPr>
        <w:t>הנאשם צרף ארבעה כתבי אישום נוספים כדלקמן:</w:t>
      </w:r>
    </w:p>
    <w:p w14:paraId="6DB4FD4C" w14:textId="77777777" w:rsidR="003E44A0" w:rsidRDefault="00602C03">
      <w:pPr>
        <w:spacing w:line="360" w:lineRule="auto"/>
        <w:jc w:val="both"/>
        <w:rPr>
          <w:b/>
          <w:bCs/>
          <w:rtl/>
        </w:rPr>
      </w:pPr>
      <w:r>
        <w:rPr>
          <w:rFonts w:hint="cs"/>
          <w:b/>
          <w:bCs/>
          <w:rtl/>
        </w:rPr>
        <w:t xml:space="preserve"> </w:t>
      </w:r>
    </w:p>
    <w:p w14:paraId="5366391B" w14:textId="77777777" w:rsidR="003E44A0" w:rsidRDefault="00602C03">
      <w:pPr>
        <w:spacing w:line="360" w:lineRule="auto"/>
        <w:jc w:val="both"/>
        <w:rPr>
          <w:b/>
          <w:bCs/>
          <w:rtl/>
        </w:rPr>
      </w:pPr>
      <w:r>
        <w:rPr>
          <w:rFonts w:hint="cs"/>
          <w:b/>
          <w:bCs/>
          <w:rtl/>
        </w:rPr>
        <w:t xml:space="preserve">בתיק 32022/04/13 של בימ"ש השלום בפתח תקוה הורשע הנאשם בעבירה של החזקת סם לצריכה עצמית , בכך שבתאריך 24/7/11 , במהלך חיפוש שנערך בביתו, נמצא כי הוא מחזיק בסם מסוכן מסוג חשיש במשקל של 0.5077 גרם נטו. </w:t>
      </w:r>
    </w:p>
    <w:p w14:paraId="13A99B40" w14:textId="77777777" w:rsidR="003E44A0" w:rsidRDefault="003E44A0">
      <w:pPr>
        <w:spacing w:line="360" w:lineRule="auto"/>
        <w:jc w:val="both"/>
        <w:rPr>
          <w:b/>
          <w:bCs/>
          <w:rtl/>
        </w:rPr>
      </w:pPr>
    </w:p>
    <w:p w14:paraId="6CB5A2F1" w14:textId="77777777" w:rsidR="003E44A0" w:rsidRDefault="00602C03">
      <w:pPr>
        <w:spacing w:line="360" w:lineRule="auto"/>
        <w:jc w:val="both"/>
        <w:rPr>
          <w:b/>
          <w:bCs/>
          <w:rtl/>
        </w:rPr>
      </w:pPr>
      <w:r>
        <w:rPr>
          <w:rFonts w:hint="cs"/>
          <w:b/>
          <w:bCs/>
          <w:rtl/>
        </w:rPr>
        <w:t xml:space="preserve">בתיק 20470/10/12 של בימ"ש השלום בפתח תקוה הורשע הנאשם בעבירות של החזקת סם לצריכה עצמית והחזקת כלים , בכך שבתאריך 9/10/11 , במהלך חיפוש שנערך בביתו, נמצא כי הוא מחזיק בשלושה מקומות שונים בסם מסוכן מסוג חשיש במשקל כולל של 17.80 גרם נטו וכן בכלי לצריכת סמים. </w:t>
      </w:r>
    </w:p>
    <w:p w14:paraId="0F38D657" w14:textId="77777777" w:rsidR="003E44A0" w:rsidRDefault="003E44A0">
      <w:pPr>
        <w:spacing w:line="360" w:lineRule="auto"/>
        <w:jc w:val="both"/>
        <w:rPr>
          <w:b/>
          <w:bCs/>
          <w:rtl/>
        </w:rPr>
      </w:pPr>
    </w:p>
    <w:p w14:paraId="1283728B" w14:textId="77777777" w:rsidR="003E44A0" w:rsidRDefault="00602C03">
      <w:pPr>
        <w:spacing w:line="360" w:lineRule="auto"/>
        <w:jc w:val="both"/>
        <w:rPr>
          <w:b/>
          <w:bCs/>
          <w:rtl/>
        </w:rPr>
      </w:pPr>
      <w:r>
        <w:rPr>
          <w:rFonts w:hint="cs"/>
          <w:b/>
          <w:bCs/>
          <w:rtl/>
        </w:rPr>
        <w:t>בתיק 34816/06/12 של בימ"ש השלום בפתח תקוה הורשע הנאשם בעבירות של הסגת גבול פלילית והיזק לרכוש במזיד  בכך שבתאריך 29/1/12 שבר הנאשם מנעולים שהונחו על חנות בפתח תקוה שהיתה שייכת לעיקרית פתח תקוה והחליפם במנעול משלו ובתאריך 31/1/12 העמיד בכניסה לנכס זה דוכן ברזל, אשר פונה על ידי הפיקוח של שוק פתח תקוה.</w:t>
      </w:r>
    </w:p>
    <w:p w14:paraId="57CDF50B" w14:textId="77777777" w:rsidR="003E44A0" w:rsidRDefault="003E44A0">
      <w:pPr>
        <w:spacing w:line="360" w:lineRule="auto"/>
        <w:jc w:val="both"/>
        <w:rPr>
          <w:b/>
          <w:bCs/>
          <w:rtl/>
        </w:rPr>
      </w:pPr>
    </w:p>
    <w:p w14:paraId="133E89D4" w14:textId="77777777" w:rsidR="003E44A0" w:rsidRDefault="00602C03">
      <w:pPr>
        <w:spacing w:line="360" w:lineRule="auto"/>
        <w:jc w:val="both"/>
        <w:rPr>
          <w:b/>
          <w:bCs/>
          <w:rtl/>
        </w:rPr>
      </w:pPr>
      <w:r>
        <w:rPr>
          <w:rFonts w:hint="cs"/>
          <w:b/>
          <w:bCs/>
          <w:rtl/>
        </w:rPr>
        <w:t xml:space="preserve">בתיק 7191/10/13 של בימ"ש השלום בפתח תקוה הורשע הנאשם בעבירה של העסקת תושב זר, בכך שבתאריך 3/12/12 בפתח תקוה, העסיק תושב איו"ש בעבודת בנין, הגם שלאותו תושב לא היו אישורי כניסה לישראל. </w:t>
      </w:r>
    </w:p>
    <w:p w14:paraId="613A53E5" w14:textId="77777777" w:rsidR="003E44A0" w:rsidRDefault="003E44A0">
      <w:pPr>
        <w:spacing w:line="360" w:lineRule="auto"/>
        <w:jc w:val="both"/>
        <w:rPr>
          <w:b/>
          <w:bCs/>
          <w:rtl/>
        </w:rPr>
      </w:pPr>
    </w:p>
    <w:p w14:paraId="15B155C8" w14:textId="77777777" w:rsidR="003E44A0" w:rsidRDefault="00602C03">
      <w:pPr>
        <w:spacing w:line="360" w:lineRule="auto"/>
        <w:jc w:val="both"/>
        <w:rPr>
          <w:b/>
          <w:bCs/>
          <w:rtl/>
        </w:rPr>
      </w:pPr>
      <w:r>
        <w:rPr>
          <w:rFonts w:hint="cs"/>
          <w:b/>
          <w:bCs/>
          <w:rtl/>
        </w:rPr>
        <w:t>ב"כ התביעה הדגישה את עברו הפלילי המכביד של הנאשם אשר לאורך השנים צבר לחובתו הרשעות רבו בעבירות שונות  ואף ריצה עונשי מאסר בפועל.  עוד הדגישה כי נגד הנאשם תלויים ועומדי שני עונשי מאסר מותנים .</w:t>
      </w:r>
    </w:p>
    <w:p w14:paraId="4F34881C" w14:textId="77777777" w:rsidR="003E44A0" w:rsidRDefault="003E44A0">
      <w:pPr>
        <w:spacing w:line="360" w:lineRule="auto"/>
        <w:jc w:val="both"/>
        <w:rPr>
          <w:b/>
          <w:bCs/>
          <w:rtl/>
        </w:rPr>
      </w:pPr>
    </w:p>
    <w:p w14:paraId="2D568BB1" w14:textId="77777777" w:rsidR="003E44A0" w:rsidRDefault="00602C03">
      <w:pPr>
        <w:spacing w:line="360" w:lineRule="auto"/>
        <w:jc w:val="both"/>
        <w:rPr>
          <w:b/>
          <w:bCs/>
          <w:rtl/>
        </w:rPr>
      </w:pPr>
      <w:r>
        <w:rPr>
          <w:rFonts w:hint="cs"/>
          <w:b/>
          <w:bCs/>
          <w:rtl/>
        </w:rPr>
        <w:t xml:space="preserve">בכל הנוגע לתיק בו הורשע הנאשם בעבירות אלימות ואיומים, ציינה התביעה כי מדובר בפגיעה בערכים מוגנים של שלומו של אדם, הגנה על גופו, בטחונו, איכות חייו ושלוותו וכי מדובר בפגיעה משמעותית בערכים מוגנים אלה.  הנאשם מצא לתקוף בצהרי יום את המתלונן על רקע סכסוך </w:t>
      </w:r>
      <w:r>
        <w:rPr>
          <w:rFonts w:hint="cs"/>
          <w:b/>
          <w:bCs/>
          <w:rtl/>
        </w:rPr>
        <w:lastRenderedPageBreak/>
        <w:t xml:space="preserve">כספי ביניהם  וזאת בנוכחות חברתו ואף הוסיף על כך איומים נגד המתלונן וחברתו.  מדובר באיומים ברף הגבוה של איומים ויתר על כן הנאשם שב ואיים על מתלוננים אלה גם למחרת היום. </w:t>
      </w:r>
    </w:p>
    <w:p w14:paraId="6C39BFE4" w14:textId="77777777" w:rsidR="003E44A0" w:rsidRDefault="003E44A0">
      <w:pPr>
        <w:spacing w:line="360" w:lineRule="auto"/>
        <w:jc w:val="both"/>
        <w:rPr>
          <w:b/>
          <w:bCs/>
          <w:rtl/>
        </w:rPr>
      </w:pPr>
    </w:p>
    <w:p w14:paraId="7E838FAD" w14:textId="77777777" w:rsidR="003E44A0" w:rsidRDefault="00602C03">
      <w:pPr>
        <w:spacing w:line="360" w:lineRule="auto"/>
        <w:jc w:val="both"/>
        <w:rPr>
          <w:b/>
          <w:bCs/>
          <w:rtl/>
        </w:rPr>
      </w:pPr>
      <w:r>
        <w:rPr>
          <w:rFonts w:hint="cs"/>
          <w:b/>
          <w:bCs/>
          <w:rtl/>
        </w:rPr>
        <w:t xml:space="preserve">בתיקי עבירות הסמים מדובר בהגנה על בריאות הציבור והסדר הציבורי, כאשר הפגיעה בערכים אלה היא נמוכה עד בינונית , ויש להדגיש כי לנאשם עבר פלילי גם בתחום הסמים. </w:t>
      </w:r>
    </w:p>
    <w:p w14:paraId="182BD7D0" w14:textId="77777777" w:rsidR="003E44A0" w:rsidRDefault="00602C03">
      <w:pPr>
        <w:spacing w:line="360" w:lineRule="auto"/>
        <w:jc w:val="both"/>
        <w:rPr>
          <w:b/>
          <w:bCs/>
          <w:rtl/>
        </w:rPr>
      </w:pPr>
      <w:r>
        <w:rPr>
          <w:rFonts w:hint="cs"/>
          <w:b/>
          <w:bCs/>
          <w:rtl/>
        </w:rPr>
        <w:t xml:space="preserve">כן ציינה התביעה כי באשר לתיק הנוגע להסגת הגבול, הרי שהפגיעה היא בהגנה על הרכוש והטריטוריה כאשר מידת הפגיעה היא נמוכה עד בינונית . ובאשר לתיק שעניינו העסקת תושב זר, הפגיעה היא בריבונות המדינה ובביטחון הציבור ויש למגר תופעה זו. </w:t>
      </w:r>
    </w:p>
    <w:p w14:paraId="6502F2B1" w14:textId="77777777" w:rsidR="003E44A0" w:rsidRDefault="003E44A0">
      <w:pPr>
        <w:spacing w:line="360" w:lineRule="auto"/>
        <w:jc w:val="both"/>
        <w:rPr>
          <w:b/>
          <w:bCs/>
          <w:rtl/>
        </w:rPr>
      </w:pPr>
    </w:p>
    <w:p w14:paraId="3D256FFB" w14:textId="77777777" w:rsidR="003E44A0" w:rsidRDefault="00602C03">
      <w:pPr>
        <w:spacing w:line="360" w:lineRule="auto"/>
        <w:jc w:val="both"/>
        <w:rPr>
          <w:b/>
          <w:bCs/>
          <w:rtl/>
        </w:rPr>
      </w:pPr>
      <w:r>
        <w:rPr>
          <w:rFonts w:hint="cs"/>
          <w:b/>
          <w:bCs/>
          <w:rtl/>
        </w:rPr>
        <w:t xml:space="preserve">התביעה הפנתה לענישה הנוהגת בבית המשפט העליון באשר לעבירות אלימות ובאשר לצורך למגר תופעה זו של פתרון סכסוכים בדרך של אלימות.  כן הפנתה לפסיקה הנוהגת בעבירות של העסקת תושב זר. </w:t>
      </w:r>
    </w:p>
    <w:p w14:paraId="6045B770" w14:textId="77777777" w:rsidR="003E44A0" w:rsidRDefault="003E44A0">
      <w:pPr>
        <w:spacing w:line="360" w:lineRule="auto"/>
        <w:jc w:val="both"/>
        <w:rPr>
          <w:b/>
          <w:bCs/>
          <w:rtl/>
        </w:rPr>
      </w:pPr>
    </w:p>
    <w:p w14:paraId="6D9B39EC" w14:textId="77777777" w:rsidR="003E44A0" w:rsidRDefault="00602C03">
      <w:pPr>
        <w:spacing w:line="360" w:lineRule="auto"/>
        <w:jc w:val="both"/>
        <w:rPr>
          <w:b/>
          <w:bCs/>
          <w:rtl/>
        </w:rPr>
      </w:pPr>
      <w:r>
        <w:rPr>
          <w:rFonts w:hint="cs"/>
          <w:b/>
          <w:bCs/>
          <w:rtl/>
        </w:rPr>
        <w:t xml:space="preserve">לטעמה של התביעה מתחמי הענישה הראויים הם כדלקמן: </w:t>
      </w:r>
    </w:p>
    <w:p w14:paraId="770A04B3" w14:textId="77777777" w:rsidR="003E44A0" w:rsidRDefault="00602C03">
      <w:pPr>
        <w:spacing w:line="360" w:lineRule="auto"/>
        <w:jc w:val="both"/>
        <w:rPr>
          <w:b/>
          <w:bCs/>
          <w:rtl/>
        </w:rPr>
      </w:pPr>
      <w:r>
        <w:rPr>
          <w:rFonts w:hint="cs"/>
          <w:b/>
          <w:bCs/>
          <w:rtl/>
        </w:rPr>
        <w:t>פרט האישום הראשון בתיק האלימות: 6-16 חודשי מאסר בפועל</w:t>
      </w:r>
    </w:p>
    <w:p w14:paraId="56632B81" w14:textId="77777777" w:rsidR="003E44A0" w:rsidRDefault="00602C03">
      <w:pPr>
        <w:spacing w:line="360" w:lineRule="auto"/>
        <w:jc w:val="both"/>
        <w:rPr>
          <w:b/>
          <w:bCs/>
          <w:rtl/>
        </w:rPr>
      </w:pPr>
      <w:r>
        <w:rPr>
          <w:rFonts w:hint="cs"/>
          <w:b/>
          <w:bCs/>
          <w:rtl/>
        </w:rPr>
        <w:t xml:space="preserve">פרט אישום שני בתיק זה </w:t>
      </w:r>
      <w:r>
        <w:rPr>
          <w:b/>
          <w:bCs/>
          <w:rtl/>
        </w:rPr>
        <w:t>–</w:t>
      </w:r>
      <w:r>
        <w:rPr>
          <w:rFonts w:hint="cs"/>
          <w:b/>
          <w:bCs/>
          <w:rtl/>
        </w:rPr>
        <w:t xml:space="preserve"> מאסר קצר עד 12 חודשי מאסר בפועל. </w:t>
      </w:r>
    </w:p>
    <w:p w14:paraId="3588E408" w14:textId="77777777" w:rsidR="003E44A0" w:rsidRDefault="00602C03">
      <w:pPr>
        <w:spacing w:line="360" w:lineRule="auto"/>
        <w:jc w:val="both"/>
        <w:rPr>
          <w:b/>
          <w:bCs/>
          <w:rtl/>
        </w:rPr>
      </w:pPr>
      <w:r>
        <w:rPr>
          <w:rFonts w:hint="cs"/>
          <w:b/>
          <w:bCs/>
          <w:rtl/>
        </w:rPr>
        <w:t xml:space="preserve">בשני תיקי הסמים </w:t>
      </w:r>
      <w:r>
        <w:rPr>
          <w:b/>
          <w:bCs/>
          <w:rtl/>
        </w:rPr>
        <w:t>–</w:t>
      </w:r>
      <w:r>
        <w:rPr>
          <w:rFonts w:hint="cs"/>
          <w:b/>
          <w:bCs/>
          <w:rtl/>
        </w:rPr>
        <w:t xml:space="preserve"> מאסר על תנאי עד 6 חודשי מאסר בפועל</w:t>
      </w:r>
    </w:p>
    <w:p w14:paraId="5FA0DD86" w14:textId="77777777" w:rsidR="003E44A0" w:rsidRDefault="00602C03">
      <w:pPr>
        <w:spacing w:line="360" w:lineRule="auto"/>
        <w:jc w:val="both"/>
        <w:rPr>
          <w:b/>
          <w:bCs/>
          <w:rtl/>
        </w:rPr>
      </w:pPr>
      <w:r>
        <w:rPr>
          <w:rFonts w:hint="cs"/>
          <w:b/>
          <w:bCs/>
          <w:rtl/>
        </w:rPr>
        <w:t xml:space="preserve">בתיק הסגת הגבול </w:t>
      </w:r>
      <w:r>
        <w:rPr>
          <w:b/>
          <w:bCs/>
          <w:rtl/>
        </w:rPr>
        <w:t>–</w:t>
      </w:r>
      <w:r>
        <w:rPr>
          <w:rFonts w:hint="cs"/>
          <w:b/>
          <w:bCs/>
          <w:rtl/>
        </w:rPr>
        <w:t xml:space="preserve"> מאסר על תנאי ועד 6 חודשי מאסר בפועל</w:t>
      </w:r>
    </w:p>
    <w:p w14:paraId="395F369F" w14:textId="77777777" w:rsidR="003E44A0" w:rsidRDefault="00602C03">
      <w:pPr>
        <w:spacing w:line="360" w:lineRule="auto"/>
        <w:jc w:val="both"/>
        <w:rPr>
          <w:b/>
          <w:bCs/>
          <w:rtl/>
        </w:rPr>
      </w:pPr>
      <w:r>
        <w:rPr>
          <w:rFonts w:hint="cs"/>
          <w:b/>
          <w:bCs/>
          <w:rtl/>
        </w:rPr>
        <w:t xml:space="preserve">בתיק העסקת העובד הזר </w:t>
      </w:r>
      <w:r>
        <w:rPr>
          <w:b/>
          <w:bCs/>
          <w:rtl/>
        </w:rPr>
        <w:t>–</w:t>
      </w:r>
      <w:r>
        <w:rPr>
          <w:rFonts w:hint="cs"/>
          <w:b/>
          <w:bCs/>
          <w:rtl/>
        </w:rPr>
        <w:t xml:space="preserve"> 1-6 חודשי מאסר בפועל שיכול וירוצו בעבודות שירות. </w:t>
      </w:r>
    </w:p>
    <w:p w14:paraId="14BF3C8B" w14:textId="77777777" w:rsidR="003E44A0" w:rsidRDefault="003E44A0">
      <w:pPr>
        <w:spacing w:line="360" w:lineRule="auto"/>
        <w:jc w:val="both"/>
        <w:rPr>
          <w:b/>
          <w:bCs/>
          <w:rtl/>
        </w:rPr>
      </w:pPr>
    </w:p>
    <w:p w14:paraId="07825E9E" w14:textId="77777777" w:rsidR="003E44A0" w:rsidRDefault="00602C03">
      <w:pPr>
        <w:spacing w:line="360" w:lineRule="auto"/>
        <w:jc w:val="both"/>
        <w:rPr>
          <w:b/>
          <w:bCs/>
          <w:rtl/>
        </w:rPr>
      </w:pPr>
      <w:r>
        <w:rPr>
          <w:rFonts w:hint="cs"/>
          <w:b/>
          <w:bCs/>
          <w:rtl/>
        </w:rPr>
        <w:t xml:space="preserve">התביעה חזרה והדגישה את עברו הפלילי המכביד של הנאשם ואת ביצוע העבירות תוך שתלויים ועומדים נגדו שני מאסרים מותנים. לפיכך, לטעמה, יש להורות על הרחקתו של הנאשם מן החברה לזמן ממושך. </w:t>
      </w:r>
    </w:p>
    <w:p w14:paraId="2F7476C4" w14:textId="77777777" w:rsidR="003E44A0" w:rsidRDefault="003E44A0">
      <w:pPr>
        <w:spacing w:line="360" w:lineRule="auto"/>
        <w:jc w:val="both"/>
        <w:rPr>
          <w:b/>
          <w:bCs/>
          <w:rtl/>
        </w:rPr>
      </w:pPr>
    </w:p>
    <w:p w14:paraId="21FD0CDB" w14:textId="77777777" w:rsidR="003E44A0" w:rsidRDefault="00602C03">
      <w:pPr>
        <w:spacing w:line="360" w:lineRule="auto"/>
        <w:jc w:val="both"/>
        <w:rPr>
          <w:b/>
          <w:bCs/>
          <w:rtl/>
        </w:rPr>
      </w:pPr>
      <w:r>
        <w:rPr>
          <w:rFonts w:hint="cs"/>
          <w:b/>
          <w:bCs/>
          <w:rtl/>
        </w:rPr>
        <w:t xml:space="preserve">מלבד הודאתו באשמות בתיקים אשר צרף,  שכן אחריות על מעשיו בתיק האלימות לא לקח הנאשם, לא מצאה התביעה לזקוף לזכותו דבר. </w:t>
      </w:r>
    </w:p>
    <w:p w14:paraId="03E2E443" w14:textId="77777777" w:rsidR="003E44A0" w:rsidRDefault="003E44A0">
      <w:pPr>
        <w:spacing w:line="360" w:lineRule="auto"/>
        <w:jc w:val="both"/>
        <w:rPr>
          <w:b/>
          <w:bCs/>
          <w:rtl/>
        </w:rPr>
      </w:pPr>
    </w:p>
    <w:p w14:paraId="325B8262" w14:textId="77777777" w:rsidR="003E44A0" w:rsidRDefault="00602C03">
      <w:pPr>
        <w:spacing w:line="360" w:lineRule="auto"/>
        <w:jc w:val="both"/>
        <w:rPr>
          <w:b/>
          <w:bCs/>
          <w:rtl/>
        </w:rPr>
      </w:pPr>
      <w:r>
        <w:rPr>
          <w:rFonts w:hint="cs"/>
          <w:b/>
          <w:bCs/>
          <w:rtl/>
        </w:rPr>
        <w:t>התביעה הפנתה אל תסקירי שירות המבחן שהתקבלו בעניינו של הנאשם בתיק 20470/10/12 ולכך שהגם שקיימים אצל הנאשם דפוסים התמכרותיים, הרי לא אלה הם שהביאו לביצוע העבירות,  וכי מדובר בנאשם שמשליך את מעשיו על גורמים חיצוניים  וכי שירות המבחן מעריך כי קיים סיכון להתנהגות פורצת גבול גם בעתיד .</w:t>
      </w:r>
    </w:p>
    <w:p w14:paraId="7BA5AB3C" w14:textId="77777777" w:rsidR="003E44A0" w:rsidRDefault="003E44A0">
      <w:pPr>
        <w:spacing w:line="360" w:lineRule="auto"/>
        <w:jc w:val="both"/>
        <w:rPr>
          <w:b/>
          <w:bCs/>
          <w:rtl/>
        </w:rPr>
      </w:pPr>
    </w:p>
    <w:p w14:paraId="1DA7217F" w14:textId="77777777" w:rsidR="003E44A0" w:rsidRDefault="00602C03">
      <w:pPr>
        <w:spacing w:line="360" w:lineRule="auto"/>
        <w:jc w:val="both"/>
        <w:rPr>
          <w:b/>
          <w:bCs/>
          <w:rtl/>
        </w:rPr>
      </w:pPr>
      <w:r>
        <w:rPr>
          <w:rFonts w:hint="cs"/>
          <w:b/>
          <w:bCs/>
          <w:rtl/>
        </w:rPr>
        <w:t xml:space="preserve">התביעה עתרה להטיל על הנאשם עונש של 24 חודשי מאסר בפועל, אשר יכלול אף את הפעלת שני עונשי המאסר המותנים , בצד מאסר מותנה, קנס משמעותי ופיצוי  וכן פסילת רישיון נהיגה בפועל ועל תנאי. </w:t>
      </w:r>
    </w:p>
    <w:p w14:paraId="2FBCD2FD" w14:textId="77777777" w:rsidR="003E44A0" w:rsidRDefault="003E44A0">
      <w:pPr>
        <w:spacing w:line="360" w:lineRule="auto"/>
        <w:jc w:val="both"/>
        <w:rPr>
          <w:b/>
          <w:bCs/>
          <w:rtl/>
        </w:rPr>
      </w:pPr>
    </w:p>
    <w:p w14:paraId="79F7032E" w14:textId="77777777" w:rsidR="003E44A0" w:rsidRDefault="003E44A0">
      <w:pPr>
        <w:spacing w:line="360" w:lineRule="auto"/>
        <w:jc w:val="both"/>
        <w:rPr>
          <w:b/>
          <w:bCs/>
          <w:rtl/>
        </w:rPr>
      </w:pPr>
    </w:p>
    <w:p w14:paraId="144202A9" w14:textId="77777777" w:rsidR="003E44A0" w:rsidRDefault="00602C03">
      <w:pPr>
        <w:spacing w:line="360" w:lineRule="auto"/>
        <w:jc w:val="both"/>
        <w:rPr>
          <w:b/>
          <w:bCs/>
          <w:rtl/>
        </w:rPr>
      </w:pPr>
      <w:r>
        <w:rPr>
          <w:rFonts w:hint="cs"/>
          <w:b/>
          <w:bCs/>
          <w:rtl/>
        </w:rPr>
        <w:t xml:space="preserve">ב"כ הנאשם טען כי מדובר בנאשם המתקרב לשנת ה-60 לחייו ומקומו אינו מאחורי סורג ובריח.  אמנם הנאשם מוצא עצמו מסתבך כל העת בעבירות שונות , אולם אלו אינן מן המדרג הגבוה של העבירות. ב"כ הנאשם רואה את הטרגדיה של הנאשם בהסתבכויותיו אלה, בשל כך שאינו יכול להשתלב במערך העובד של החברה ומוצא עצמו בויכוחים פעוטים. עוד ציין כי הנאשם לקה אף בבריאותו בשנים האחרונות  ומתקשה לתפקד אף בשל כך. על מנת לתמוך בטענתו זו, הציג ב"כ הנאשם מסמכים רפואיים בפני ביהמ"ש. </w:t>
      </w:r>
    </w:p>
    <w:p w14:paraId="436CC61E" w14:textId="77777777" w:rsidR="003E44A0" w:rsidRDefault="00602C03">
      <w:pPr>
        <w:spacing w:line="360" w:lineRule="auto"/>
        <w:jc w:val="both"/>
        <w:rPr>
          <w:b/>
          <w:bCs/>
          <w:rtl/>
        </w:rPr>
      </w:pPr>
      <w:r>
        <w:rPr>
          <w:rFonts w:hint="cs"/>
          <w:b/>
          <w:bCs/>
          <w:rtl/>
        </w:rPr>
        <w:t>ב"כ הנאשם טען כי למרות עברו וההסתבכויות של הנאשם אין המדובר באדם המתפרנס מהפשיעה ואינו בעל אופי עברייני. .</w:t>
      </w:r>
    </w:p>
    <w:p w14:paraId="3EF933A2" w14:textId="77777777" w:rsidR="003E44A0" w:rsidRDefault="003E44A0">
      <w:pPr>
        <w:spacing w:line="360" w:lineRule="auto"/>
        <w:jc w:val="both"/>
        <w:rPr>
          <w:b/>
          <w:bCs/>
          <w:rtl/>
        </w:rPr>
      </w:pPr>
    </w:p>
    <w:p w14:paraId="793E934F" w14:textId="77777777" w:rsidR="003E44A0" w:rsidRDefault="00602C03">
      <w:pPr>
        <w:spacing w:line="360" w:lineRule="auto"/>
        <w:jc w:val="both"/>
        <w:rPr>
          <w:b/>
          <w:bCs/>
          <w:rtl/>
        </w:rPr>
      </w:pPr>
      <w:r>
        <w:rPr>
          <w:rFonts w:hint="cs"/>
          <w:b/>
          <w:bCs/>
          <w:rtl/>
        </w:rPr>
        <w:t xml:space="preserve">לטעמו של ב"כ הנאשם מתחמי הענישה שהוצגו על ידי המאשימה חמורים ויש להציג מתחמי ענישה קלים יותר שינועו דרך כלל ממאסרים מותנים  ולכל היותר עד 9 חודשי מאסר בתיק החמור. </w:t>
      </w:r>
    </w:p>
    <w:p w14:paraId="70A62626" w14:textId="77777777" w:rsidR="003E44A0" w:rsidRDefault="00602C03">
      <w:pPr>
        <w:spacing w:line="360" w:lineRule="auto"/>
        <w:jc w:val="both"/>
        <w:rPr>
          <w:b/>
          <w:bCs/>
          <w:rtl/>
        </w:rPr>
      </w:pPr>
      <w:r>
        <w:rPr>
          <w:rFonts w:hint="cs"/>
          <w:b/>
          <w:bCs/>
          <w:rtl/>
        </w:rPr>
        <w:t xml:space="preserve">ב"כ הנאשם ער לכך כי מדובר בעונשי מאסר מותנים להפעלה, אך ביקש כי ביהמ"ש יתחשב במצבו הבריאותי של הנאשם העלול לאבד את הכרתו בכל רגע.  וכן במצבו הטראגי של הנאשם כפי שהציג אותו.  מאחר שהוא מודע להוראות החוק בענין זה, ביקש כמעשה חסד עם הנאשם להורות על חפיפת העונשים כולם. </w:t>
      </w:r>
    </w:p>
    <w:p w14:paraId="311261BD" w14:textId="77777777" w:rsidR="003E44A0" w:rsidRDefault="003E44A0">
      <w:pPr>
        <w:spacing w:line="360" w:lineRule="auto"/>
        <w:jc w:val="both"/>
        <w:rPr>
          <w:b/>
          <w:bCs/>
          <w:rtl/>
        </w:rPr>
      </w:pPr>
    </w:p>
    <w:p w14:paraId="293C52B9" w14:textId="77777777" w:rsidR="003E44A0" w:rsidRDefault="00602C03">
      <w:pPr>
        <w:spacing w:line="360" w:lineRule="auto"/>
        <w:jc w:val="both"/>
        <w:rPr>
          <w:b/>
          <w:bCs/>
          <w:rtl/>
        </w:rPr>
      </w:pPr>
      <w:r>
        <w:rPr>
          <w:rFonts w:hint="cs"/>
          <w:b/>
          <w:bCs/>
          <w:rtl/>
        </w:rPr>
        <w:t>בדברו האחרון ביקש הנאשם כי ביהמ"ש</w:t>
      </w:r>
      <w:r>
        <w:rPr>
          <w:b/>
          <w:bCs/>
        </w:rPr>
        <w:t xml:space="preserve"> </w:t>
      </w:r>
      <w:r>
        <w:rPr>
          <w:rFonts w:hint="cs"/>
          <w:b/>
          <w:bCs/>
          <w:rtl/>
        </w:rPr>
        <w:t xml:space="preserve">יעזור לו לשקם עצמו שכן בכוונתו לפנות לדרך חדשה. </w:t>
      </w:r>
    </w:p>
    <w:p w14:paraId="0A3E4C7E" w14:textId="77777777" w:rsidR="003E44A0" w:rsidRDefault="003E44A0">
      <w:pPr>
        <w:spacing w:line="360" w:lineRule="auto"/>
        <w:jc w:val="both"/>
        <w:rPr>
          <w:b/>
          <w:bCs/>
          <w:rtl/>
        </w:rPr>
      </w:pPr>
    </w:p>
    <w:p w14:paraId="1309239E" w14:textId="77777777" w:rsidR="003E44A0" w:rsidRDefault="00602C03">
      <w:pPr>
        <w:spacing w:line="360" w:lineRule="auto"/>
        <w:jc w:val="both"/>
        <w:rPr>
          <w:b/>
          <w:bCs/>
          <w:rtl/>
        </w:rPr>
      </w:pPr>
      <w:r>
        <w:rPr>
          <w:rFonts w:hint="cs"/>
          <w:b/>
          <w:bCs/>
          <w:rtl/>
        </w:rPr>
        <w:t>בתיק 20470/10/12 ניתנו שני תסקירי שירות מבחן.</w:t>
      </w:r>
    </w:p>
    <w:p w14:paraId="60A80D75" w14:textId="77777777" w:rsidR="003E44A0" w:rsidRDefault="003E44A0">
      <w:pPr>
        <w:spacing w:line="360" w:lineRule="auto"/>
        <w:jc w:val="both"/>
        <w:rPr>
          <w:b/>
          <w:bCs/>
          <w:rtl/>
        </w:rPr>
      </w:pPr>
    </w:p>
    <w:p w14:paraId="2A193006" w14:textId="77777777" w:rsidR="003E44A0" w:rsidRDefault="00602C03">
      <w:pPr>
        <w:spacing w:line="360" w:lineRule="auto"/>
        <w:jc w:val="both"/>
        <w:rPr>
          <w:b/>
          <w:bCs/>
          <w:rtl/>
        </w:rPr>
      </w:pPr>
      <w:r>
        <w:rPr>
          <w:rFonts w:hint="cs"/>
          <w:b/>
          <w:bCs/>
          <w:rtl/>
        </w:rPr>
        <w:t xml:space="preserve">שירות המבחן סקר את רקעו האישי והמשפחתי של הנאשם וכן את הסתבכויותיו ומעורבותו בפלילים לאורך השנים. שירות המבחן התרשם כי קיימים דפוסים התמכרותיים ועברייניים בהתנהגותו כאשר ככל הנראה, לא קיים קשר ישיר בין שימושו בסמים  לבין הסתבכותו בעבירות. להערכת שירות המבחן זקוק הנאשם לטיפול הן בתחום של שימוש בסמים והן בתחום של שליטה בכעסים. הנאשם הביע נכונות לערוך אבחון לצורך טיפול ועל כן נתבקשה ארכה לתסקיר נוסף. </w:t>
      </w:r>
    </w:p>
    <w:p w14:paraId="23542CF3" w14:textId="77777777" w:rsidR="003E44A0" w:rsidRDefault="003E44A0">
      <w:pPr>
        <w:spacing w:line="360" w:lineRule="auto"/>
        <w:jc w:val="both"/>
        <w:rPr>
          <w:b/>
          <w:bCs/>
          <w:rtl/>
        </w:rPr>
      </w:pPr>
    </w:p>
    <w:p w14:paraId="6F4D26CA" w14:textId="77777777" w:rsidR="003E44A0" w:rsidRDefault="00602C03">
      <w:pPr>
        <w:spacing w:line="360" w:lineRule="auto"/>
        <w:jc w:val="both"/>
        <w:rPr>
          <w:b/>
          <w:bCs/>
          <w:rtl/>
        </w:rPr>
      </w:pPr>
      <w:r>
        <w:rPr>
          <w:rFonts w:hint="cs"/>
          <w:b/>
          <w:bCs/>
          <w:rtl/>
        </w:rPr>
        <w:t>בתסקיר הנוסף התרשם שירות המבחן כי הנאשם חווה עצמו כקורבן, מתקשה להכיר בחלקים ההתמכרותיים והתוקפניים ומציג עצמו כאדם מתפקד, בפער העומד למעורבותו החוזרת בפלילים. הגם שהציג עצמו כמעוניין לבחון את התנהלותו הבעייתית, התרשם שירות המבחן כי הדבר נעשה בעיקר סביב ההליך המשפטי בו הוא מצוי וכי קיים סיכון גבוה להישנות  התנהגות אלימה כאשר רמת הפגיעה צפוייה אף היא להיות גבוהה.</w:t>
      </w:r>
    </w:p>
    <w:p w14:paraId="7DD5FC47" w14:textId="77777777" w:rsidR="003E44A0" w:rsidRDefault="00602C03">
      <w:pPr>
        <w:spacing w:line="360" w:lineRule="auto"/>
        <w:jc w:val="both"/>
        <w:rPr>
          <w:b/>
          <w:bCs/>
          <w:rtl/>
        </w:rPr>
      </w:pPr>
      <w:r>
        <w:rPr>
          <w:rFonts w:hint="cs"/>
          <w:b/>
          <w:bCs/>
          <w:rtl/>
        </w:rPr>
        <w:t xml:space="preserve">הנאשם השליך אחריות על התנהגותו על גורמים חיצוניים ובלטה תפיסת עצמו כקורבן.  הוא שלל בעייתיות באשר לשימוש בסמים או צורך בטיפול בתחום זה ולדבריו אינו משתמש בסמים מזה מספר שנים  ועם זאת הביע נכונות מילולית לפנות לכל גורם טיפולי אליו יופנה. כאמור, שירות המבחן התרשם כי הדבר נעשה  רק מתוך רצונו של הנאשם להקל בענישה שתוטל עליו ולא מתוך מוטיבציה פנימית או הכרה בקשייו. </w:t>
      </w:r>
    </w:p>
    <w:p w14:paraId="153C3B63" w14:textId="77777777" w:rsidR="003E44A0" w:rsidRDefault="00602C03">
      <w:pPr>
        <w:spacing w:line="360" w:lineRule="auto"/>
        <w:jc w:val="both"/>
        <w:rPr>
          <w:b/>
          <w:bCs/>
          <w:rtl/>
        </w:rPr>
      </w:pPr>
      <w:r>
        <w:rPr>
          <w:rFonts w:hint="cs"/>
          <w:b/>
          <w:bCs/>
          <w:rtl/>
        </w:rPr>
        <w:t xml:space="preserve">בדיקת שתן שמסר נמצאה נקייה מסמים.  הנאשם סובל מהתקפים אפילפיטיים והפסיק טיפול תרופתי על דעת עצמו. שירות המבחן התנה טיפול ו בכך שהנאשם  יקבל טיפול תרופתי מתאים אולם הנאשם מסר כי אינו נוטל טיפול תרופתי על רקע רצונו, לדבריו, לבחון את גבולות מחלתו. </w:t>
      </w:r>
    </w:p>
    <w:p w14:paraId="42BF07BA" w14:textId="77777777" w:rsidR="003E44A0" w:rsidRDefault="00602C03">
      <w:pPr>
        <w:spacing w:line="360" w:lineRule="auto"/>
        <w:jc w:val="both"/>
        <w:rPr>
          <w:b/>
          <w:bCs/>
          <w:rtl/>
        </w:rPr>
      </w:pPr>
      <w:r>
        <w:rPr>
          <w:rFonts w:hint="cs"/>
          <w:b/>
          <w:bCs/>
          <w:rtl/>
        </w:rPr>
        <w:t xml:space="preserve">לסיכום מצא שירות המבחן כי מדובר באדם המנהל מזה שנים אורח חיים  התמכרותי ועברייני אשר הליכי שיקום בהם שולב בעבר לא הובילו לשינוי בהתנהגותו. לא נשמע גם לגבולות חיצוניים וגם הליכים משפטיים קודמים, כמו גם עונשים שהוטלו עליו בעבר לא הביאו לשינוי בהתנהגותו. קיים העדר יציבות תעסוקתי וקיימת מחלתו וישנה הערכה כי הוא אף עושה בה שימוש על מנת לקבל רווחים משניים . במכלול נתונים זה, העריך שירות המבחן כי קיים סיכון גבוה להישנות התנהגות פורצת גבולות בעתיד. </w:t>
      </w:r>
    </w:p>
    <w:p w14:paraId="35983E57" w14:textId="77777777" w:rsidR="003E44A0" w:rsidRDefault="003E44A0">
      <w:pPr>
        <w:spacing w:line="360" w:lineRule="auto"/>
        <w:jc w:val="both"/>
        <w:rPr>
          <w:b/>
          <w:bCs/>
          <w:rtl/>
        </w:rPr>
      </w:pPr>
    </w:p>
    <w:p w14:paraId="2C9C6C4B" w14:textId="77777777" w:rsidR="003E44A0" w:rsidRDefault="00602C03">
      <w:pPr>
        <w:spacing w:line="360" w:lineRule="auto"/>
        <w:jc w:val="both"/>
        <w:rPr>
          <w:b/>
          <w:bCs/>
          <w:rtl/>
        </w:rPr>
      </w:pPr>
      <w:r>
        <w:rPr>
          <w:rFonts w:hint="cs"/>
          <w:b/>
          <w:bCs/>
          <w:rtl/>
        </w:rPr>
        <w:t xml:space="preserve">מגיליון המרשם הפלילי של הנאשם עולה כי הוא צבר לחובתו  17 הרשעות קודמות בעבירות רבות ומגוונות ואף ריצה עונשי מאסר בפועל לא אחת. כאמור לעיל, תלויים ועומדים נגד הנאשם שני עונשי מאסר מותנים  שאחד מהם הוא בר הפעלה והאחר הינו חב הפעלה. </w:t>
      </w:r>
    </w:p>
    <w:p w14:paraId="07F3472D" w14:textId="77777777" w:rsidR="003E44A0" w:rsidRDefault="003E44A0">
      <w:pPr>
        <w:spacing w:line="360" w:lineRule="auto"/>
        <w:jc w:val="both"/>
        <w:rPr>
          <w:b/>
          <w:bCs/>
          <w:rtl/>
        </w:rPr>
      </w:pPr>
    </w:p>
    <w:p w14:paraId="1AFE393B" w14:textId="77777777" w:rsidR="003E44A0" w:rsidRDefault="003E44A0">
      <w:pPr>
        <w:spacing w:line="360" w:lineRule="auto"/>
        <w:jc w:val="both"/>
        <w:rPr>
          <w:b/>
          <w:bCs/>
          <w:rtl/>
        </w:rPr>
      </w:pPr>
    </w:p>
    <w:p w14:paraId="25E64289" w14:textId="77777777" w:rsidR="003E44A0" w:rsidRDefault="00602C03">
      <w:pPr>
        <w:spacing w:line="360" w:lineRule="auto"/>
        <w:jc w:val="both"/>
        <w:rPr>
          <w:b/>
          <w:bCs/>
          <w:rtl/>
        </w:rPr>
      </w:pPr>
      <w:r>
        <w:rPr>
          <w:rFonts w:hint="cs"/>
          <w:b/>
          <w:bCs/>
          <w:rtl/>
        </w:rPr>
        <w:t xml:space="preserve">צירוף התיקים לעיל בעניינו של הנאשם מעלה כי הנאשם אינו מניח ידו ממעשים שונים שיש בהם פגיעה בערכים חברתיים שונים ועושה כן לאורך שנים רבות. </w:t>
      </w:r>
    </w:p>
    <w:p w14:paraId="0D933ACB" w14:textId="77777777" w:rsidR="003E44A0" w:rsidRDefault="003E44A0">
      <w:pPr>
        <w:spacing w:line="360" w:lineRule="auto"/>
        <w:jc w:val="both"/>
        <w:rPr>
          <w:b/>
          <w:bCs/>
          <w:rtl/>
        </w:rPr>
      </w:pPr>
    </w:p>
    <w:p w14:paraId="644339FD" w14:textId="77777777" w:rsidR="003E44A0" w:rsidRDefault="00602C03">
      <w:pPr>
        <w:spacing w:line="360" w:lineRule="auto"/>
        <w:jc w:val="both"/>
        <w:rPr>
          <w:b/>
          <w:bCs/>
          <w:rtl/>
        </w:rPr>
      </w:pPr>
      <w:r>
        <w:rPr>
          <w:rFonts w:hint="cs"/>
          <w:b/>
          <w:bCs/>
          <w:rtl/>
        </w:rPr>
        <w:t xml:space="preserve">התיק החמור ביותר הוא התיק דנן, בו הורשע הנאשם במעשה אלימות ובעבירות של איומים. </w:t>
      </w:r>
    </w:p>
    <w:p w14:paraId="02147A40" w14:textId="77777777" w:rsidR="003E44A0" w:rsidRDefault="00602C03">
      <w:pPr>
        <w:spacing w:line="360" w:lineRule="auto"/>
        <w:jc w:val="both"/>
        <w:rPr>
          <w:b/>
          <w:bCs/>
          <w:rtl/>
        </w:rPr>
      </w:pPr>
      <w:r>
        <w:rPr>
          <w:rFonts w:hint="cs"/>
          <w:b/>
          <w:bCs/>
          <w:rtl/>
        </w:rPr>
        <w:t xml:space="preserve">במעשיו פגע הנאשם בערכים מוגנים של שלומם של המתלוננים, בטחונם, כבודם ושלוותם. </w:t>
      </w:r>
    </w:p>
    <w:p w14:paraId="66A2ACD5" w14:textId="77777777" w:rsidR="003E44A0" w:rsidRDefault="003E44A0">
      <w:pPr>
        <w:spacing w:line="360" w:lineRule="auto"/>
        <w:jc w:val="both"/>
        <w:rPr>
          <w:b/>
          <w:bCs/>
          <w:rtl/>
        </w:rPr>
      </w:pPr>
    </w:p>
    <w:p w14:paraId="09CD6171" w14:textId="77777777" w:rsidR="003E44A0" w:rsidRDefault="00602C03">
      <w:pPr>
        <w:spacing w:line="360" w:lineRule="auto"/>
        <w:jc w:val="both"/>
        <w:rPr>
          <w:b/>
          <w:bCs/>
          <w:rtl/>
        </w:rPr>
      </w:pPr>
      <w:r>
        <w:rPr>
          <w:rFonts w:hint="cs"/>
          <w:b/>
          <w:bCs/>
          <w:rtl/>
        </w:rPr>
        <w:t xml:space="preserve">גם אם כפי שהונח במהלך ניהול ההליך בפני בית המשפט, היה קיים בין הנאשם לבין המתלונן סכסוך כספי קודם, הרי ברי שלא היתה כל הצדקה להתנהגותו של הנאשם, אשר ירד מרכבו וכאשר הבחין במתלונן המצוי במקום, ניגש אליו וללא כל אומר היכה אותו במכת אגרוף. גם כאשר המתלונן לא הגיב על כך והחל להימלט מן המקום, המשיך הנאשם בשלו ואיים עליו באיומים בוטים וממשים, כשהוא מוסיף על כך ומאיים גם על חברתו של המתלונן, אשר נכחה במקום. </w:t>
      </w:r>
    </w:p>
    <w:p w14:paraId="271FF269" w14:textId="77777777" w:rsidR="003E44A0" w:rsidRDefault="00602C03">
      <w:pPr>
        <w:spacing w:line="360" w:lineRule="auto"/>
        <w:jc w:val="both"/>
        <w:rPr>
          <w:b/>
          <w:bCs/>
          <w:rtl/>
        </w:rPr>
      </w:pPr>
      <w:r>
        <w:rPr>
          <w:rFonts w:hint="cs"/>
          <w:b/>
          <w:bCs/>
          <w:rtl/>
        </w:rPr>
        <w:t xml:space="preserve">אכן לא אחת אמר בית המשפט העליון את דברו כי למרבה הצער פשתה במחוזותינו התופעה הפסולה והראויה לכל גינוי והוקעה של פתרון סכסוכים וויכוחים בדרך של אלימות. שומה על בתי המשפט לתרום תרומתם בדרך של ענישה מתאימה על מנת למגר תופעה זו ולעקרה משורש. </w:t>
      </w:r>
    </w:p>
    <w:p w14:paraId="0FA36F21" w14:textId="77777777" w:rsidR="003E44A0" w:rsidRDefault="003E44A0">
      <w:pPr>
        <w:spacing w:line="360" w:lineRule="auto"/>
        <w:jc w:val="both"/>
        <w:rPr>
          <w:b/>
          <w:bCs/>
          <w:rtl/>
        </w:rPr>
      </w:pPr>
    </w:p>
    <w:p w14:paraId="0BEAF552" w14:textId="77777777" w:rsidR="003E44A0" w:rsidRDefault="00602C03">
      <w:pPr>
        <w:spacing w:line="360" w:lineRule="auto"/>
        <w:jc w:val="both"/>
        <w:rPr>
          <w:b/>
          <w:bCs/>
          <w:rtl/>
        </w:rPr>
      </w:pPr>
      <w:r>
        <w:rPr>
          <w:rFonts w:hint="cs"/>
          <w:b/>
          <w:bCs/>
          <w:rtl/>
        </w:rPr>
        <w:t xml:space="preserve">ועוד יודגש כי הנאשם לא הסתפק אף בכך. גם למחרת היום מצא הנאשם להמשיך במסכת איומיו כלפי המתלוננים ואף עשה כן בערבו צד שלישי בנושא זה. </w:t>
      </w:r>
    </w:p>
    <w:p w14:paraId="4FD20455" w14:textId="77777777" w:rsidR="003E44A0" w:rsidRDefault="003E44A0">
      <w:pPr>
        <w:spacing w:line="360" w:lineRule="auto"/>
        <w:jc w:val="both"/>
        <w:rPr>
          <w:b/>
          <w:bCs/>
          <w:rtl/>
        </w:rPr>
      </w:pPr>
    </w:p>
    <w:p w14:paraId="46FD1DE6" w14:textId="77777777" w:rsidR="003E44A0" w:rsidRDefault="00602C03">
      <w:pPr>
        <w:spacing w:line="360" w:lineRule="auto"/>
        <w:jc w:val="both"/>
        <w:rPr>
          <w:b/>
          <w:bCs/>
          <w:rtl/>
        </w:rPr>
      </w:pPr>
      <w:r>
        <w:rPr>
          <w:rFonts w:hint="cs"/>
          <w:b/>
          <w:bCs/>
          <w:rtl/>
        </w:rPr>
        <w:t xml:space="preserve">מתחם הענישה הראוי למעשים אלה נע בין 6-16 חודשי מאסר בפועל. </w:t>
      </w:r>
    </w:p>
    <w:p w14:paraId="7770E568" w14:textId="77777777" w:rsidR="003E44A0" w:rsidRDefault="003E44A0">
      <w:pPr>
        <w:spacing w:line="360" w:lineRule="auto"/>
        <w:jc w:val="both"/>
        <w:rPr>
          <w:b/>
          <w:bCs/>
          <w:rtl/>
        </w:rPr>
      </w:pPr>
    </w:p>
    <w:p w14:paraId="411DB35A" w14:textId="77777777" w:rsidR="003E44A0" w:rsidRDefault="00602C03">
      <w:pPr>
        <w:spacing w:line="360" w:lineRule="auto"/>
        <w:jc w:val="both"/>
        <w:rPr>
          <w:b/>
          <w:bCs/>
          <w:rtl/>
        </w:rPr>
      </w:pPr>
      <w:r>
        <w:rPr>
          <w:rFonts w:hint="cs"/>
          <w:b/>
          <w:bCs/>
          <w:rtl/>
        </w:rPr>
        <w:t xml:space="preserve">יצויין כי הנאשם לא נטל כל אחריות על מעשים אלה, או הפנים את חומרתם. יתר על כן הוא ביצע מעשים אלה זמן לא ארוך לאחר שסיים לרצות עונש מאסר מכביד בן 30 חודשים בגין עבירות אלימות ואיומים ובעוד עונש מאסר מותנה בן 8 חודשים תלוי ועומד נגדו. נראה , איפוא, כי הליכים קודמים, עונש מאסר מכביד ואף עונש מאסר מותנה לא היה בהם כדי להרתיע את הנאשם מלשוב לסורו. </w:t>
      </w:r>
    </w:p>
    <w:p w14:paraId="2B76652E" w14:textId="77777777" w:rsidR="003E44A0" w:rsidRDefault="003E44A0">
      <w:pPr>
        <w:spacing w:line="360" w:lineRule="auto"/>
        <w:jc w:val="both"/>
        <w:rPr>
          <w:b/>
          <w:bCs/>
          <w:rtl/>
        </w:rPr>
      </w:pPr>
    </w:p>
    <w:p w14:paraId="7814553F" w14:textId="77777777" w:rsidR="003E44A0" w:rsidRDefault="00602C03">
      <w:pPr>
        <w:spacing w:line="360" w:lineRule="auto"/>
        <w:jc w:val="both"/>
        <w:rPr>
          <w:b/>
          <w:bCs/>
          <w:rtl/>
        </w:rPr>
      </w:pPr>
      <w:r>
        <w:rPr>
          <w:rFonts w:hint="cs"/>
          <w:b/>
          <w:bCs/>
          <w:rtl/>
        </w:rPr>
        <w:t xml:space="preserve">בשתי הזדמנויות בשנת 2011 בעקבות צווי חיפוש שניתנו בעניינו, נערכו חיפושים בביתו של הנאשם ונמצא כי הוא מחזיק סמים בביתו. באחת מן ההזדמנויות אכן מדובר היה בכמות מזערית של סם מסוג חשיש ואולם בהזדמנות השניה מדובר היה בהחזקת 17.80 גרם סם מסוג חשיש והמדובר בכמות שאינה מבוטלת. במעשים אלה של הנאשם יש משום פגיעה בבריאות הציבור ובסדר הציבורי ויש לענוש כל חוליה וחוליה בשרשרת החזקת הסם והפצתו בשל שנזקי הסם לחברה כולה ולפרט קשים. </w:t>
      </w:r>
    </w:p>
    <w:p w14:paraId="3F17534A" w14:textId="77777777" w:rsidR="003E44A0" w:rsidRDefault="003E44A0">
      <w:pPr>
        <w:spacing w:line="360" w:lineRule="auto"/>
        <w:jc w:val="both"/>
        <w:rPr>
          <w:b/>
          <w:bCs/>
          <w:rtl/>
        </w:rPr>
      </w:pPr>
    </w:p>
    <w:p w14:paraId="7CE30C08" w14:textId="77777777" w:rsidR="003E44A0" w:rsidRDefault="00602C03">
      <w:pPr>
        <w:spacing w:line="360" w:lineRule="auto"/>
        <w:jc w:val="both"/>
        <w:rPr>
          <w:b/>
          <w:bCs/>
          <w:rtl/>
        </w:rPr>
      </w:pPr>
      <w:r>
        <w:rPr>
          <w:rFonts w:hint="cs"/>
          <w:b/>
          <w:bCs/>
          <w:rtl/>
        </w:rPr>
        <w:t xml:space="preserve">מתחם הענישה הראוי לעבירות אלה נע בין מאסר מותנה לשישה חודשי מאסר בפועל. </w:t>
      </w:r>
    </w:p>
    <w:p w14:paraId="2D517A0E" w14:textId="77777777" w:rsidR="003E44A0" w:rsidRDefault="003E44A0">
      <w:pPr>
        <w:spacing w:line="360" w:lineRule="auto"/>
        <w:jc w:val="both"/>
        <w:rPr>
          <w:b/>
          <w:bCs/>
          <w:rtl/>
        </w:rPr>
      </w:pPr>
    </w:p>
    <w:p w14:paraId="29C43B56" w14:textId="77777777" w:rsidR="003E44A0" w:rsidRDefault="00602C03">
      <w:pPr>
        <w:spacing w:line="360" w:lineRule="auto"/>
        <w:jc w:val="both"/>
        <w:rPr>
          <w:b/>
          <w:bCs/>
          <w:rtl/>
        </w:rPr>
      </w:pPr>
      <w:r>
        <w:rPr>
          <w:rFonts w:hint="cs"/>
          <w:b/>
          <w:bCs/>
          <w:rtl/>
        </w:rPr>
        <w:t>הנאשם הודה בעבירות אלה ואולם לענין נטילת האחריות יש להפנות אל תסקירי שירות המבחן וההתייחסות אל נטילת האחריות המצומצמת והמטשטשת.</w:t>
      </w:r>
    </w:p>
    <w:p w14:paraId="68251A52" w14:textId="77777777" w:rsidR="003E44A0" w:rsidRDefault="00602C03">
      <w:pPr>
        <w:spacing w:line="360" w:lineRule="auto"/>
        <w:jc w:val="both"/>
        <w:rPr>
          <w:b/>
          <w:bCs/>
          <w:rtl/>
        </w:rPr>
      </w:pPr>
      <w:r>
        <w:rPr>
          <w:rFonts w:hint="cs"/>
          <w:b/>
          <w:bCs/>
          <w:rtl/>
        </w:rPr>
        <w:t xml:space="preserve">אין המדובר בעבירה חד פעמית ובעברו של הנאשם הרשעות על </w:t>
      </w:r>
      <w:hyperlink r:id="rId8" w:history="1">
        <w:r w:rsidRPr="00602C03">
          <w:rPr>
            <w:b/>
            <w:bCs/>
            <w:color w:val="0000FF"/>
            <w:u w:val="single"/>
            <w:rtl/>
          </w:rPr>
          <w:t>פקודת הסמים המסוכנים</w:t>
        </w:r>
      </w:hyperlink>
      <w:r>
        <w:rPr>
          <w:rFonts w:hint="cs"/>
          <w:b/>
          <w:bCs/>
          <w:rtl/>
        </w:rPr>
        <w:t xml:space="preserve">. אף כאן מדובר בביצוע עבירות כאשר עונש מאסר מותנה תלוי ועומד נגד הנאשם ובעבירות שבוצעו זמן קצר לאחר גזירתו. לא היה בכך כדי להרתיע את הנאשם. </w:t>
      </w:r>
    </w:p>
    <w:p w14:paraId="726FB1F3" w14:textId="77777777" w:rsidR="003E44A0" w:rsidRDefault="003E44A0">
      <w:pPr>
        <w:spacing w:line="360" w:lineRule="auto"/>
        <w:jc w:val="both"/>
        <w:rPr>
          <w:b/>
          <w:bCs/>
          <w:rtl/>
        </w:rPr>
      </w:pPr>
    </w:p>
    <w:p w14:paraId="420AA246" w14:textId="77777777" w:rsidR="003E44A0" w:rsidRDefault="003E44A0">
      <w:pPr>
        <w:spacing w:line="360" w:lineRule="auto"/>
        <w:jc w:val="both"/>
        <w:rPr>
          <w:b/>
          <w:bCs/>
          <w:rtl/>
        </w:rPr>
      </w:pPr>
    </w:p>
    <w:p w14:paraId="2D003FF5" w14:textId="77777777" w:rsidR="003E44A0" w:rsidRDefault="00602C03">
      <w:pPr>
        <w:spacing w:line="360" w:lineRule="auto"/>
        <w:jc w:val="both"/>
        <w:rPr>
          <w:b/>
          <w:bCs/>
          <w:rtl/>
        </w:rPr>
      </w:pPr>
      <w:r>
        <w:rPr>
          <w:rFonts w:hint="cs"/>
          <w:b/>
          <w:bCs/>
          <w:rtl/>
        </w:rPr>
        <w:t xml:space="preserve">בתיק העוסק בעבירות של הסגת גבול וגרימת נזק לרכוש, פגע הנאשם בערכים מוגנים של פגיעה ברכוש הרבים והיחיד וכן פגע בזכויות קנייניות. הנאשם לא בחל לפגוע ולהזיק לרכוש, במטרה לכפות רצונו ודרכו על אחרים ולהעמיד במקום דוכן משלו, הגם שמדובר היה ברכוש של העיריה ואף שאיש לא התיר לו לעשות כן. כעולה לכל אורך דרכו של הנאשם, מורא החוק והרשויות אינו עליו, ואף מעשים אלה מעידים על כך. </w:t>
      </w:r>
    </w:p>
    <w:p w14:paraId="7DA25C63" w14:textId="77777777" w:rsidR="003E44A0" w:rsidRDefault="00602C03">
      <w:pPr>
        <w:spacing w:line="360" w:lineRule="auto"/>
        <w:jc w:val="both"/>
        <w:rPr>
          <w:b/>
          <w:bCs/>
          <w:rtl/>
        </w:rPr>
      </w:pPr>
      <w:r>
        <w:rPr>
          <w:rFonts w:hint="cs"/>
          <w:b/>
          <w:bCs/>
          <w:rtl/>
        </w:rPr>
        <w:t xml:space="preserve">מתחם הענישה הראוי למעשים אלה נע בין מאסר מותנה לשישה חודשי מאסר בפועל. </w:t>
      </w:r>
    </w:p>
    <w:p w14:paraId="58BF3F9E" w14:textId="77777777" w:rsidR="003E44A0" w:rsidRDefault="003E44A0">
      <w:pPr>
        <w:spacing w:line="360" w:lineRule="auto"/>
        <w:jc w:val="both"/>
        <w:rPr>
          <w:b/>
          <w:bCs/>
          <w:rtl/>
        </w:rPr>
      </w:pPr>
    </w:p>
    <w:p w14:paraId="3BF881C4" w14:textId="77777777" w:rsidR="003E44A0" w:rsidRDefault="00602C03">
      <w:pPr>
        <w:spacing w:line="360" w:lineRule="auto"/>
        <w:jc w:val="both"/>
        <w:rPr>
          <w:b/>
          <w:bCs/>
          <w:rtl/>
        </w:rPr>
      </w:pPr>
      <w:r>
        <w:rPr>
          <w:rFonts w:hint="cs"/>
          <w:b/>
          <w:bCs/>
          <w:rtl/>
        </w:rPr>
        <w:t xml:space="preserve">בתיק העוסק בהעסקתו של תושב איו"ש בישראל מבלי שהיו ללה אישורי כניסה לישראל, פגע הנאשם בריבונות המדינה, שכן לא אפשר בדיקה של אותו תושב והאם עבר את המסננת הבטחונית הנדרשת לכניסתו לישראל </w:t>
      </w:r>
      <w:r>
        <w:rPr>
          <w:b/>
          <w:bCs/>
          <w:rtl/>
        </w:rPr>
        <w:t>–</w:t>
      </w:r>
      <w:r>
        <w:rPr>
          <w:rFonts w:hint="cs"/>
          <w:b/>
          <w:bCs/>
          <w:rtl/>
        </w:rPr>
        <w:t xml:space="preserve"> אם לאו. יש בכך לפגוע בשלום הציבור ולעיתים אף בבטחונו. נאמר על ידי ביהמ"ש העליון כי מעשיהם של אלה המלינים, מעסיקים ומסיעים את השוהים הבלתי חוקיים חמור שבעתיים שכן הם בבחינת חוטאים ומחטיאים. </w:t>
      </w:r>
    </w:p>
    <w:p w14:paraId="47970F39" w14:textId="77777777" w:rsidR="003E44A0" w:rsidRDefault="003E44A0">
      <w:pPr>
        <w:spacing w:line="360" w:lineRule="auto"/>
        <w:jc w:val="both"/>
        <w:rPr>
          <w:b/>
          <w:bCs/>
          <w:rtl/>
        </w:rPr>
      </w:pPr>
    </w:p>
    <w:p w14:paraId="092FE171" w14:textId="77777777" w:rsidR="003E44A0" w:rsidRDefault="00602C03">
      <w:pPr>
        <w:spacing w:line="360" w:lineRule="auto"/>
        <w:jc w:val="both"/>
        <w:rPr>
          <w:b/>
          <w:bCs/>
          <w:rtl/>
        </w:rPr>
      </w:pPr>
      <w:r>
        <w:rPr>
          <w:rFonts w:hint="cs"/>
          <w:b/>
          <w:bCs/>
          <w:rtl/>
        </w:rPr>
        <w:t xml:space="preserve">מתחם הענישה הראוי למעשים אלה נע בין חודש לשישה חודשי מאסר בפועל. </w:t>
      </w:r>
    </w:p>
    <w:p w14:paraId="0CE85677" w14:textId="77777777" w:rsidR="003E44A0" w:rsidRDefault="003E44A0">
      <w:pPr>
        <w:spacing w:line="360" w:lineRule="auto"/>
        <w:jc w:val="both"/>
        <w:rPr>
          <w:b/>
          <w:bCs/>
          <w:rtl/>
        </w:rPr>
      </w:pPr>
    </w:p>
    <w:p w14:paraId="4849BF5D" w14:textId="77777777" w:rsidR="003E44A0" w:rsidRDefault="003E44A0">
      <w:pPr>
        <w:spacing w:line="360" w:lineRule="auto"/>
        <w:jc w:val="both"/>
        <w:rPr>
          <w:b/>
          <w:bCs/>
          <w:rtl/>
        </w:rPr>
      </w:pPr>
    </w:p>
    <w:p w14:paraId="503F2C19" w14:textId="77777777" w:rsidR="003E44A0" w:rsidRDefault="00602C03">
      <w:pPr>
        <w:spacing w:line="360" w:lineRule="auto"/>
        <w:jc w:val="both"/>
        <w:rPr>
          <w:b/>
          <w:bCs/>
          <w:rtl/>
        </w:rPr>
      </w:pPr>
      <w:r>
        <w:rPr>
          <w:rFonts w:hint="cs"/>
          <w:b/>
          <w:bCs/>
          <w:rtl/>
        </w:rPr>
        <w:t xml:space="preserve">כעולה מן האמור לעיל וכפי שפורט בהרחבה, הרי שהנאשם לא הניח ידו ולא בחל מלבצע עבירות שונות, רבות ומגוונות ולא היה בעברו ובהליכים קודמים שננקטו נגדו כדי להרתיעו מלשוב לסורו ומלבצע עבירות רבות. </w:t>
      </w:r>
    </w:p>
    <w:p w14:paraId="228BA8B4" w14:textId="77777777" w:rsidR="003E44A0" w:rsidRDefault="003E44A0">
      <w:pPr>
        <w:spacing w:line="360" w:lineRule="auto"/>
        <w:jc w:val="both"/>
        <w:rPr>
          <w:b/>
          <w:bCs/>
          <w:rtl/>
        </w:rPr>
      </w:pPr>
    </w:p>
    <w:p w14:paraId="62D3D143" w14:textId="77777777" w:rsidR="003E44A0" w:rsidRDefault="00602C03">
      <w:pPr>
        <w:spacing w:line="360" w:lineRule="auto"/>
        <w:jc w:val="both"/>
        <w:rPr>
          <w:b/>
          <w:bCs/>
          <w:rtl/>
        </w:rPr>
      </w:pPr>
      <w:r>
        <w:rPr>
          <w:rFonts w:hint="cs"/>
          <w:b/>
          <w:bCs/>
          <w:rtl/>
        </w:rPr>
        <w:t xml:space="preserve">לזכותו של הנאשם, אשר לא נטל אחריות על עבירות האלימות והאיומים ניתן לזקוף את צירוף ארבעת התיקים האחרים שהיו תלויים ועומדים נגדו בבחינת "ניקוי שולחן" ובבחינת רצון לסיים את כל ההליכים העומדים ותלויים בעניינו. </w:t>
      </w:r>
    </w:p>
    <w:p w14:paraId="730FE94E" w14:textId="77777777" w:rsidR="003E44A0" w:rsidRDefault="00602C03">
      <w:pPr>
        <w:spacing w:line="360" w:lineRule="auto"/>
        <w:jc w:val="both"/>
        <w:rPr>
          <w:b/>
          <w:bCs/>
          <w:rtl/>
        </w:rPr>
      </w:pPr>
      <w:r>
        <w:rPr>
          <w:rFonts w:hint="cs"/>
          <w:b/>
          <w:bCs/>
          <w:rtl/>
        </w:rPr>
        <w:t xml:space="preserve">עוד התחשבתי במצבו הרפואי של הנאשם שאינו קל, אולם יינתן למצב רפואי זה אך משקל מסויים, הן משום שמצבו זה של הנאשם לא מנע ממנו כלל ועיקר לבצע את כל העבירות והן משום, שכעולה מתסקיר שירות המבחן, הנאשם עצמו בוחר במודע שלא ליטול טיפול רפואי וככל הנראה, אף מקווה להפיק רווחים משניים ממצבו זה. </w:t>
      </w:r>
    </w:p>
    <w:p w14:paraId="447639BD" w14:textId="77777777" w:rsidR="003E44A0" w:rsidRDefault="003E44A0">
      <w:pPr>
        <w:spacing w:line="360" w:lineRule="auto"/>
        <w:jc w:val="both"/>
        <w:rPr>
          <w:b/>
          <w:bCs/>
          <w:rtl/>
        </w:rPr>
      </w:pPr>
    </w:p>
    <w:p w14:paraId="0691F0CA" w14:textId="77777777" w:rsidR="003E44A0" w:rsidRDefault="00602C03">
      <w:pPr>
        <w:spacing w:line="360" w:lineRule="auto"/>
        <w:jc w:val="both"/>
        <w:rPr>
          <w:b/>
          <w:bCs/>
          <w:rtl/>
        </w:rPr>
      </w:pPr>
      <w:r>
        <w:rPr>
          <w:rFonts w:hint="cs"/>
          <w:b/>
          <w:bCs/>
          <w:rtl/>
        </w:rPr>
        <w:t xml:space="preserve">לאחר שיקול מכלול השיקולים הצריכים לענין, אני גוזרת על הנאשם כעונש כולל בגין כל העבירות בהן הורשע </w:t>
      </w:r>
      <w:r>
        <w:rPr>
          <w:b/>
          <w:bCs/>
          <w:rtl/>
        </w:rPr>
        <w:t>–</w:t>
      </w:r>
      <w:r>
        <w:rPr>
          <w:rFonts w:hint="cs"/>
          <w:b/>
          <w:bCs/>
          <w:rtl/>
        </w:rPr>
        <w:t xml:space="preserve"> </w:t>
      </w:r>
    </w:p>
    <w:p w14:paraId="27CF22CB" w14:textId="77777777" w:rsidR="003E44A0" w:rsidRDefault="003E44A0">
      <w:pPr>
        <w:spacing w:line="360" w:lineRule="auto"/>
        <w:jc w:val="both"/>
        <w:rPr>
          <w:b/>
          <w:bCs/>
          <w:rtl/>
        </w:rPr>
      </w:pPr>
    </w:p>
    <w:p w14:paraId="50767C12" w14:textId="77777777" w:rsidR="003E44A0" w:rsidRDefault="00602C03">
      <w:pPr>
        <w:spacing w:line="360" w:lineRule="auto"/>
        <w:jc w:val="both"/>
        <w:rPr>
          <w:b/>
          <w:bCs/>
          <w:rtl/>
        </w:rPr>
      </w:pPr>
      <w:r>
        <w:rPr>
          <w:rFonts w:hint="cs"/>
          <w:b/>
          <w:bCs/>
          <w:rtl/>
        </w:rPr>
        <w:t xml:space="preserve">13 חודשי מאסר לריצוי בפועל . </w:t>
      </w:r>
    </w:p>
    <w:p w14:paraId="6C828C76" w14:textId="77777777" w:rsidR="003E44A0" w:rsidRDefault="00602C03">
      <w:pPr>
        <w:spacing w:line="360" w:lineRule="auto"/>
        <w:jc w:val="both"/>
        <w:rPr>
          <w:b/>
          <w:bCs/>
          <w:rtl/>
        </w:rPr>
      </w:pPr>
      <w:r>
        <w:rPr>
          <w:rFonts w:hint="cs"/>
          <w:b/>
          <w:bCs/>
          <w:rtl/>
        </w:rPr>
        <w:t>אני מורה על הפעלת  עונש מאסר מותנה בן 8 חודשים מתיק 3731/07 של בימ"ש השלום בפתח תקוה וכן אני מורה על הפעלת עונש מאסר מותנה בן 3 חודשים  מתיק 26150/02/10 של בימ"ש השלום בפתח תקוה.</w:t>
      </w:r>
    </w:p>
    <w:p w14:paraId="67538779" w14:textId="77777777" w:rsidR="003E44A0" w:rsidRDefault="00602C03">
      <w:pPr>
        <w:spacing w:line="360" w:lineRule="auto"/>
        <w:jc w:val="both"/>
        <w:rPr>
          <w:b/>
          <w:bCs/>
          <w:rtl/>
        </w:rPr>
      </w:pPr>
      <w:r>
        <w:rPr>
          <w:rFonts w:hint="cs"/>
          <w:b/>
          <w:bCs/>
          <w:rtl/>
        </w:rPr>
        <w:t>מאחר שכל אחד מהעונשים המותנים האלה עוסק בעבירות שונות לחלוטין, הרי שאני מורה כי העונשים המותנים יופעלו באופן מצטבר כך שסה"כ יופעלו 11 חודשי מאסר מותנים.</w:t>
      </w:r>
    </w:p>
    <w:p w14:paraId="0A81097F" w14:textId="77777777" w:rsidR="003E44A0" w:rsidRDefault="003E44A0">
      <w:pPr>
        <w:spacing w:line="360" w:lineRule="auto"/>
        <w:jc w:val="both"/>
        <w:rPr>
          <w:b/>
          <w:bCs/>
          <w:rtl/>
        </w:rPr>
      </w:pPr>
    </w:p>
    <w:p w14:paraId="13560D21" w14:textId="77777777" w:rsidR="003E44A0" w:rsidRDefault="00602C03">
      <w:pPr>
        <w:spacing w:line="360" w:lineRule="auto"/>
        <w:jc w:val="both"/>
        <w:rPr>
          <w:b/>
          <w:bCs/>
          <w:rtl/>
        </w:rPr>
      </w:pPr>
      <w:r>
        <w:rPr>
          <w:rFonts w:hint="cs"/>
          <w:b/>
          <w:bCs/>
          <w:rtl/>
        </w:rPr>
        <w:t xml:space="preserve">על אף שהלכת ביהמ"ש העליון מורה כי עונש מאסר מותנה יופעל במצטבר לעונש מאסר בפועל שהוטל, הרי שכמעשה חסד עם הנאשם אני מורה כי עונשי המאסר המותנים שהופעלו יופעלו באופן חופף ומצטבר לעונש המאסר שהוטל, כך שסה"כ ירצה הנאשם 20 חודשי מאסר בפועל.  </w:t>
      </w:r>
    </w:p>
    <w:p w14:paraId="6742631C" w14:textId="77777777" w:rsidR="003E44A0" w:rsidRDefault="00602C03">
      <w:pPr>
        <w:spacing w:line="360" w:lineRule="auto"/>
        <w:jc w:val="both"/>
        <w:rPr>
          <w:b/>
          <w:bCs/>
          <w:rtl/>
        </w:rPr>
      </w:pPr>
      <w:r>
        <w:rPr>
          <w:rFonts w:hint="cs"/>
          <w:b/>
          <w:bCs/>
          <w:rtl/>
        </w:rPr>
        <w:t xml:space="preserve">מתקופה זו יש לנכות את ימי מעצרו של הנאשם  - 4/4/13 </w:t>
      </w:r>
      <w:r>
        <w:rPr>
          <w:b/>
          <w:bCs/>
          <w:rtl/>
        </w:rPr>
        <w:t>–</w:t>
      </w:r>
      <w:r>
        <w:rPr>
          <w:rFonts w:hint="cs"/>
          <w:b/>
          <w:bCs/>
          <w:rtl/>
        </w:rPr>
        <w:t xml:space="preserve"> 28/5/13.</w:t>
      </w:r>
    </w:p>
    <w:p w14:paraId="78E104E2" w14:textId="77777777" w:rsidR="003E44A0" w:rsidRDefault="003E44A0">
      <w:pPr>
        <w:spacing w:line="360" w:lineRule="auto"/>
        <w:jc w:val="both"/>
        <w:rPr>
          <w:b/>
          <w:bCs/>
          <w:rtl/>
        </w:rPr>
      </w:pPr>
    </w:p>
    <w:p w14:paraId="6B853887" w14:textId="77777777" w:rsidR="003E44A0" w:rsidRDefault="00602C03">
      <w:pPr>
        <w:spacing w:line="360" w:lineRule="auto"/>
        <w:jc w:val="both"/>
        <w:rPr>
          <w:b/>
          <w:bCs/>
          <w:rtl/>
        </w:rPr>
      </w:pPr>
      <w:r>
        <w:rPr>
          <w:rFonts w:hint="cs"/>
          <w:b/>
          <w:bCs/>
          <w:rtl/>
        </w:rPr>
        <w:t xml:space="preserve">כן אני גוזרת על הנאשם </w:t>
      </w:r>
      <w:r>
        <w:rPr>
          <w:b/>
          <w:bCs/>
          <w:rtl/>
        </w:rPr>
        <w:t>–</w:t>
      </w:r>
      <w:r>
        <w:rPr>
          <w:rFonts w:hint="cs"/>
          <w:b/>
          <w:bCs/>
          <w:rtl/>
        </w:rPr>
        <w:t xml:space="preserve"> </w:t>
      </w:r>
    </w:p>
    <w:p w14:paraId="70D67891" w14:textId="77777777" w:rsidR="003E44A0" w:rsidRDefault="003E44A0">
      <w:pPr>
        <w:spacing w:line="360" w:lineRule="auto"/>
        <w:jc w:val="both"/>
        <w:rPr>
          <w:b/>
          <w:bCs/>
          <w:rtl/>
        </w:rPr>
      </w:pPr>
    </w:p>
    <w:p w14:paraId="6EDC57AC" w14:textId="77777777" w:rsidR="003E44A0" w:rsidRDefault="00602C03">
      <w:pPr>
        <w:spacing w:line="360" w:lineRule="auto"/>
        <w:jc w:val="both"/>
        <w:rPr>
          <w:b/>
          <w:bCs/>
          <w:rtl/>
        </w:rPr>
      </w:pPr>
      <w:r>
        <w:rPr>
          <w:rFonts w:hint="cs"/>
          <w:b/>
          <w:bCs/>
          <w:rtl/>
        </w:rPr>
        <w:t xml:space="preserve">10 חודשי מאסר על תנאי למשך שלוש שנים שתחילתן מיום שחרורו ממאסר לבל יעבור עבירה כלשהי שעניינה אלימות או איומים. </w:t>
      </w:r>
    </w:p>
    <w:p w14:paraId="161C4B36" w14:textId="77777777" w:rsidR="003E44A0" w:rsidRDefault="003E44A0">
      <w:pPr>
        <w:spacing w:line="360" w:lineRule="auto"/>
        <w:jc w:val="both"/>
        <w:rPr>
          <w:b/>
          <w:bCs/>
          <w:rtl/>
        </w:rPr>
      </w:pPr>
    </w:p>
    <w:p w14:paraId="567E157B" w14:textId="77777777" w:rsidR="003E44A0" w:rsidRDefault="00602C03">
      <w:pPr>
        <w:spacing w:line="360" w:lineRule="auto"/>
        <w:jc w:val="both"/>
        <w:rPr>
          <w:b/>
          <w:bCs/>
          <w:rtl/>
        </w:rPr>
      </w:pPr>
      <w:r>
        <w:rPr>
          <w:rFonts w:hint="cs"/>
          <w:b/>
          <w:bCs/>
          <w:rtl/>
        </w:rPr>
        <w:t xml:space="preserve">6 חודשי מאסר על תנאי למשך שלוש שנים, שתחילתן מיום שחרורו ממאסר,  לבל יעבור עבירה כלשהי לפי </w:t>
      </w:r>
      <w:hyperlink r:id="rId9" w:history="1">
        <w:r w:rsidRPr="00602C03">
          <w:rPr>
            <w:b/>
            <w:bCs/>
            <w:color w:val="0000FF"/>
            <w:u w:val="single"/>
            <w:rtl/>
          </w:rPr>
          <w:t>פקודת הסמים המסוכנים</w:t>
        </w:r>
      </w:hyperlink>
      <w:r>
        <w:rPr>
          <w:rFonts w:hint="cs"/>
          <w:b/>
          <w:bCs/>
          <w:rtl/>
        </w:rPr>
        <w:t xml:space="preserve">. </w:t>
      </w:r>
    </w:p>
    <w:p w14:paraId="3E0AF8BC" w14:textId="77777777" w:rsidR="003E44A0" w:rsidRDefault="003E44A0">
      <w:pPr>
        <w:spacing w:line="360" w:lineRule="auto"/>
        <w:jc w:val="both"/>
        <w:rPr>
          <w:b/>
          <w:bCs/>
          <w:rtl/>
        </w:rPr>
      </w:pPr>
    </w:p>
    <w:p w14:paraId="45F51119" w14:textId="77777777" w:rsidR="003E44A0" w:rsidRDefault="00602C03">
      <w:pPr>
        <w:spacing w:line="360" w:lineRule="auto"/>
        <w:jc w:val="both"/>
        <w:rPr>
          <w:b/>
          <w:bCs/>
          <w:rtl/>
        </w:rPr>
      </w:pPr>
      <w:r>
        <w:rPr>
          <w:rFonts w:hint="cs"/>
          <w:b/>
          <w:bCs/>
          <w:rtl/>
        </w:rPr>
        <w:t xml:space="preserve">4 חודשי מאסר על תנאי למשך שלוש שנים שתחילתן מיום שחרורו ממאסר, לבל יעבור עבירה של הסגת גבול פלילית, או עבירה של היזק לרכוש במזיד, או עבירה כלשהי לפי </w:t>
      </w:r>
      <w:hyperlink r:id="rId10" w:history="1">
        <w:r w:rsidRPr="00602C03">
          <w:rPr>
            <w:b/>
            <w:bCs/>
            <w:color w:val="0000FF"/>
            <w:u w:val="single"/>
            <w:rtl/>
          </w:rPr>
          <w:t>חוק הכניסה לישראל</w:t>
        </w:r>
      </w:hyperlink>
      <w:r>
        <w:rPr>
          <w:rFonts w:hint="cs"/>
          <w:b/>
          <w:bCs/>
          <w:rtl/>
        </w:rPr>
        <w:t xml:space="preserve">. </w:t>
      </w:r>
    </w:p>
    <w:p w14:paraId="659DCCE3" w14:textId="77777777" w:rsidR="003E44A0" w:rsidRDefault="003E44A0">
      <w:pPr>
        <w:spacing w:line="360" w:lineRule="auto"/>
        <w:jc w:val="both"/>
        <w:rPr>
          <w:b/>
          <w:bCs/>
          <w:rtl/>
        </w:rPr>
      </w:pPr>
    </w:p>
    <w:p w14:paraId="71CA1460" w14:textId="77777777" w:rsidR="003E44A0" w:rsidRDefault="00602C03">
      <w:pPr>
        <w:spacing w:line="360" w:lineRule="auto"/>
        <w:jc w:val="both"/>
        <w:rPr>
          <w:b/>
          <w:bCs/>
          <w:rtl/>
        </w:rPr>
      </w:pPr>
      <w:r>
        <w:rPr>
          <w:rFonts w:hint="cs"/>
          <w:b/>
          <w:bCs/>
          <w:rtl/>
        </w:rPr>
        <w:t xml:space="preserve">בהתחשב בתקופת המאסר שהוטלה על הנאשם לא מצאתי להטיל קנס בנוסף. </w:t>
      </w:r>
    </w:p>
    <w:p w14:paraId="707CA700" w14:textId="77777777" w:rsidR="003E44A0" w:rsidRDefault="003E44A0">
      <w:pPr>
        <w:spacing w:line="360" w:lineRule="auto"/>
        <w:jc w:val="both"/>
        <w:rPr>
          <w:b/>
          <w:bCs/>
          <w:rtl/>
        </w:rPr>
      </w:pPr>
    </w:p>
    <w:p w14:paraId="791F9C37" w14:textId="77777777" w:rsidR="003E44A0" w:rsidRDefault="00602C03">
      <w:pPr>
        <w:spacing w:line="360" w:lineRule="auto"/>
        <w:jc w:val="both"/>
        <w:rPr>
          <w:b/>
          <w:bCs/>
          <w:rtl/>
        </w:rPr>
      </w:pPr>
      <w:r>
        <w:rPr>
          <w:rFonts w:hint="cs"/>
          <w:b/>
          <w:bCs/>
          <w:rtl/>
        </w:rPr>
        <w:t xml:space="preserve">אני מורה כי הנאשם ייפסל מלקבל ומלהחזיק רישיון נהיגה לתקופה של ארבעה חודשים בפועל וכן ארבעה חודשים על תנאי למשך שלוש שנים שתחילתן מיום שחרורו ממאסר, לבל יעבור עבירה </w:t>
      </w:r>
    </w:p>
    <w:p w14:paraId="4CB8D581" w14:textId="77777777" w:rsidR="003E44A0" w:rsidRDefault="00602C03">
      <w:pPr>
        <w:spacing w:line="360" w:lineRule="auto"/>
        <w:jc w:val="both"/>
        <w:rPr>
          <w:b/>
          <w:bCs/>
          <w:rtl/>
        </w:rPr>
      </w:pPr>
      <w:r>
        <w:rPr>
          <w:rFonts w:hint="cs"/>
          <w:b/>
          <w:bCs/>
          <w:rtl/>
        </w:rPr>
        <w:t xml:space="preserve">כלשהי לפי </w:t>
      </w:r>
      <w:hyperlink r:id="rId11" w:history="1">
        <w:r w:rsidRPr="00602C03">
          <w:rPr>
            <w:b/>
            <w:bCs/>
            <w:color w:val="0000FF"/>
            <w:u w:val="single"/>
            <w:rtl/>
          </w:rPr>
          <w:t>פקודת הסמים המסוכנים</w:t>
        </w:r>
      </w:hyperlink>
      <w:r>
        <w:rPr>
          <w:rFonts w:hint="cs"/>
          <w:b/>
          <w:bCs/>
          <w:rtl/>
        </w:rPr>
        <w:t xml:space="preserve">. </w:t>
      </w:r>
    </w:p>
    <w:p w14:paraId="69E38283" w14:textId="77777777" w:rsidR="003E44A0" w:rsidRDefault="00602C03">
      <w:pPr>
        <w:spacing w:line="360" w:lineRule="auto"/>
        <w:jc w:val="both"/>
        <w:rPr>
          <w:b/>
          <w:bCs/>
          <w:rtl/>
        </w:rPr>
      </w:pPr>
      <w:r>
        <w:rPr>
          <w:rFonts w:hint="cs"/>
          <w:b/>
          <w:bCs/>
          <w:rtl/>
        </w:rPr>
        <w:t xml:space="preserve">למען הסר ספק יובהר כי תחילתה של תקופת פסילת הרישיון בפועל היא מיום הפקדת הרישיון. </w:t>
      </w:r>
    </w:p>
    <w:p w14:paraId="5812D4D3" w14:textId="77777777" w:rsidR="003E44A0" w:rsidRDefault="003E44A0">
      <w:pPr>
        <w:spacing w:line="360" w:lineRule="auto"/>
        <w:jc w:val="both"/>
        <w:rPr>
          <w:b/>
          <w:bCs/>
          <w:rtl/>
        </w:rPr>
      </w:pPr>
    </w:p>
    <w:p w14:paraId="657B7871" w14:textId="77777777" w:rsidR="003E44A0" w:rsidRDefault="00602C03">
      <w:pPr>
        <w:spacing w:line="360" w:lineRule="auto"/>
        <w:jc w:val="both"/>
        <w:rPr>
          <w:b/>
          <w:bCs/>
          <w:rtl/>
        </w:rPr>
      </w:pPr>
      <w:r>
        <w:rPr>
          <w:rFonts w:hint="cs"/>
          <w:b/>
          <w:bCs/>
          <w:rtl/>
        </w:rPr>
        <w:t xml:space="preserve">סמים שנתפסו במהלך החקירות </w:t>
      </w:r>
      <w:r>
        <w:rPr>
          <w:b/>
          <w:bCs/>
          <w:rtl/>
        </w:rPr>
        <w:t>–</w:t>
      </w:r>
      <w:r>
        <w:rPr>
          <w:rFonts w:hint="cs"/>
          <w:b/>
          <w:bCs/>
          <w:rtl/>
        </w:rPr>
        <w:t xml:space="preserve"> יושמדו. </w:t>
      </w:r>
    </w:p>
    <w:p w14:paraId="4CC8866E" w14:textId="77777777" w:rsidR="003E44A0" w:rsidRDefault="003E44A0">
      <w:pPr>
        <w:spacing w:line="360" w:lineRule="auto"/>
        <w:jc w:val="both"/>
        <w:rPr>
          <w:b/>
          <w:bCs/>
          <w:rtl/>
        </w:rPr>
      </w:pPr>
    </w:p>
    <w:p w14:paraId="43D9FBB5" w14:textId="77777777" w:rsidR="003E44A0" w:rsidRDefault="00602C03">
      <w:pPr>
        <w:spacing w:line="360" w:lineRule="auto"/>
        <w:jc w:val="both"/>
        <w:rPr>
          <w:b/>
          <w:bCs/>
          <w:rtl/>
        </w:rPr>
      </w:pPr>
      <w:r>
        <w:rPr>
          <w:rFonts w:hint="cs"/>
          <w:b/>
          <w:bCs/>
          <w:rtl/>
        </w:rPr>
        <w:t>זכות ערעור כחוק.</w:t>
      </w:r>
    </w:p>
    <w:p w14:paraId="1C9A2F1D" w14:textId="77777777" w:rsidR="003E44A0" w:rsidRPr="00602C03" w:rsidRDefault="00602C03">
      <w:pPr>
        <w:spacing w:line="360" w:lineRule="auto"/>
        <w:jc w:val="both"/>
        <w:rPr>
          <w:b/>
          <w:bCs/>
          <w:color w:val="FFFFFF"/>
          <w:sz w:val="2"/>
          <w:szCs w:val="2"/>
          <w:rtl/>
        </w:rPr>
      </w:pPr>
      <w:r w:rsidRPr="00602C03">
        <w:rPr>
          <w:b/>
          <w:bCs/>
          <w:color w:val="FFFFFF"/>
          <w:sz w:val="2"/>
          <w:szCs w:val="2"/>
          <w:rtl/>
        </w:rPr>
        <w:t>5129371</w:t>
      </w:r>
    </w:p>
    <w:p w14:paraId="620E35A3" w14:textId="77777777" w:rsidR="003E44A0" w:rsidRDefault="00602C03">
      <w:pPr>
        <w:spacing w:line="360" w:lineRule="auto"/>
        <w:jc w:val="both"/>
        <w:rPr>
          <w:rFonts w:cs="FrankRuehl"/>
          <w:b/>
          <w:bCs/>
          <w:sz w:val="28"/>
          <w:szCs w:val="28"/>
          <w:rtl/>
        </w:rPr>
      </w:pPr>
      <w:r w:rsidRPr="00602C03">
        <w:rPr>
          <w:rFonts w:ascii="Arial" w:hAnsi="Arial"/>
          <w:b/>
          <w:bCs/>
          <w:color w:val="FFFFFF"/>
          <w:sz w:val="2"/>
          <w:szCs w:val="2"/>
          <w:rtl/>
        </w:rPr>
        <w:t>54678313</w:t>
      </w:r>
      <w:r>
        <w:rPr>
          <w:rFonts w:ascii="Arial" w:hAnsi="Arial"/>
          <w:b/>
          <w:bCs/>
          <w:rtl/>
        </w:rPr>
        <w:t xml:space="preserve">ניתן היום,  י' אייר תשע"ה, 29 אפריל 2015, במעמד הצדדים. </w:t>
      </w:r>
    </w:p>
    <w:p w14:paraId="562CA0B4" w14:textId="77777777" w:rsidR="003E44A0" w:rsidRDefault="00602C03">
      <w:pPr>
        <w:spacing w:line="360" w:lineRule="auto"/>
        <w:jc w:val="both"/>
      </w:pPr>
      <w:r>
        <w:rPr>
          <w:rFonts w:hint="cs"/>
          <w:b/>
          <w:bCs/>
          <w:rtl/>
        </w:rPr>
        <w:t xml:space="preserve">   </w:t>
      </w:r>
      <w:r>
        <w:rPr>
          <w:rFonts w:hint="cs"/>
          <w:b/>
          <w:bCs/>
          <w:rtl/>
        </w:rPr>
        <w:tab/>
      </w:r>
      <w:r>
        <w:rPr>
          <w:rFonts w:hint="cs"/>
          <w:b/>
          <w:bCs/>
          <w:rtl/>
        </w:rPr>
        <w:tab/>
      </w:r>
      <w:r>
        <w:rPr>
          <w:rFonts w:hint="cs"/>
          <w:b/>
          <w:bCs/>
          <w:rtl/>
        </w:rPr>
        <w:tab/>
      </w:r>
      <w:r>
        <w:rPr>
          <w:rFonts w:hint="cs"/>
          <w:b/>
          <w:bCs/>
          <w:rtl/>
        </w:rPr>
        <w:tab/>
      </w:r>
      <w:r>
        <w:rPr>
          <w:rFonts w:hint="cs"/>
          <w:b/>
          <w:bCs/>
          <w:rtl/>
        </w:rPr>
        <w:tab/>
      </w:r>
    </w:p>
    <w:p w14:paraId="091E0837" w14:textId="77777777" w:rsidR="003E44A0" w:rsidRDefault="003E44A0">
      <w:pPr>
        <w:spacing w:line="360" w:lineRule="auto"/>
        <w:jc w:val="both"/>
        <w:rPr>
          <w:rFonts w:ascii="Arial" w:hAnsi="Arial" w:cs="FrankRuehl"/>
          <w:b/>
          <w:bCs/>
          <w:sz w:val="28"/>
          <w:szCs w:val="28"/>
          <w:rtl/>
        </w:rPr>
      </w:pPr>
    </w:p>
    <w:p w14:paraId="602DCBE4" w14:textId="77777777" w:rsidR="003E44A0" w:rsidRDefault="003E44A0">
      <w:pPr>
        <w:spacing w:line="360" w:lineRule="auto"/>
        <w:jc w:val="both"/>
        <w:rPr>
          <w:rFonts w:cs="FrankRuehl"/>
          <w:b/>
          <w:bCs/>
          <w:sz w:val="28"/>
          <w:szCs w:val="28"/>
          <w:rtl/>
        </w:rPr>
      </w:pPr>
    </w:p>
    <w:p w14:paraId="57F3E695" w14:textId="77777777" w:rsidR="003E44A0" w:rsidRDefault="003E44A0">
      <w:pPr>
        <w:pStyle w:val="a3"/>
        <w:spacing w:line="360" w:lineRule="auto"/>
        <w:jc w:val="both"/>
        <w:rPr>
          <w:b/>
          <w:bCs/>
          <w:rtl/>
        </w:rPr>
      </w:pPr>
    </w:p>
    <w:p w14:paraId="42E1CC87" w14:textId="77777777" w:rsidR="00602C03" w:rsidRPr="00602C03" w:rsidRDefault="00602C03" w:rsidP="00602C03">
      <w:pPr>
        <w:keepNext/>
        <w:rPr>
          <w:rFonts w:ascii="David" w:hAnsi="David"/>
          <w:color w:val="000000"/>
          <w:sz w:val="22"/>
          <w:szCs w:val="22"/>
          <w:rtl/>
        </w:rPr>
      </w:pPr>
    </w:p>
    <w:p w14:paraId="6B702E2F" w14:textId="77777777" w:rsidR="00602C03" w:rsidRPr="00602C03" w:rsidRDefault="00602C03" w:rsidP="00602C03">
      <w:pPr>
        <w:keepNext/>
        <w:rPr>
          <w:rFonts w:ascii="David" w:hAnsi="David"/>
          <w:color w:val="000000"/>
          <w:sz w:val="22"/>
          <w:szCs w:val="22"/>
          <w:rtl/>
        </w:rPr>
      </w:pPr>
      <w:r w:rsidRPr="00602C03">
        <w:rPr>
          <w:rFonts w:ascii="David" w:hAnsi="David"/>
          <w:color w:val="000000"/>
          <w:sz w:val="22"/>
          <w:szCs w:val="22"/>
          <w:rtl/>
        </w:rPr>
        <w:t>הה עינת רון 54678313</w:t>
      </w:r>
    </w:p>
    <w:p w14:paraId="49A8A46E" w14:textId="77777777" w:rsidR="00602C03" w:rsidRDefault="00602C03" w:rsidP="00602C03">
      <w:r w:rsidRPr="00602C03">
        <w:rPr>
          <w:color w:val="000000"/>
          <w:rtl/>
        </w:rPr>
        <w:t>נוסח מסמך זה כפוף לשינויי ניסוח ועריכה</w:t>
      </w:r>
    </w:p>
    <w:p w14:paraId="65B8E467" w14:textId="77777777" w:rsidR="00602C03" w:rsidRDefault="00602C03" w:rsidP="00602C03">
      <w:pPr>
        <w:rPr>
          <w:rtl/>
        </w:rPr>
      </w:pPr>
    </w:p>
    <w:p w14:paraId="011F3876" w14:textId="77777777" w:rsidR="00602C03" w:rsidRDefault="00602C03" w:rsidP="00602C03">
      <w:pPr>
        <w:jc w:val="center"/>
        <w:rPr>
          <w:color w:val="0000FF"/>
          <w:u w:val="single"/>
        </w:rPr>
      </w:pPr>
      <w:hyperlink r:id="rId12" w:history="1">
        <w:r>
          <w:rPr>
            <w:color w:val="0000FF"/>
            <w:u w:val="single"/>
            <w:rtl/>
          </w:rPr>
          <w:t>בעניין עריכה ושינויים במסמכי פסיקה, חקיקה ועוד באתר נבו – הקש כאן</w:t>
        </w:r>
      </w:hyperlink>
    </w:p>
    <w:p w14:paraId="25C5AFB4" w14:textId="77777777" w:rsidR="003E44A0" w:rsidRPr="00602C03" w:rsidRDefault="00DC43CA" w:rsidP="00602C03">
      <w:pPr>
        <w:jc w:val="center"/>
        <w:rPr>
          <w:color w:val="0000FF"/>
          <w:u w:val="single"/>
        </w:rPr>
      </w:pPr>
      <w:r>
        <w:rPr>
          <w:rFonts w:hint="cs"/>
          <w:color w:val="0000FF"/>
          <w:u w:val="single"/>
          <w:rtl/>
        </w:rPr>
        <w:t xml:space="preserve">  </w:t>
      </w:r>
    </w:p>
    <w:sectPr w:rsidR="003E44A0" w:rsidRPr="00602C03" w:rsidSect="00602C03">
      <w:headerReference w:type="even" r:id="rId13"/>
      <w:headerReference w:type="default" r:id="rId14"/>
      <w:footerReference w:type="even" r:id="rId15"/>
      <w:footerReference w:type="default" r:id="rId1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3497DB" w14:textId="77777777" w:rsidR="00CF2D9B" w:rsidRDefault="00CF2D9B">
      <w:r>
        <w:separator/>
      </w:r>
    </w:p>
  </w:endnote>
  <w:endnote w:type="continuationSeparator" w:id="0">
    <w:p w14:paraId="03936E7E" w14:textId="77777777" w:rsidR="00CF2D9B" w:rsidRDefault="00CF2D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2D703B" w14:textId="77777777" w:rsidR="005B4DF4" w:rsidRDefault="005B4DF4" w:rsidP="00602C0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373D9B" w14:textId="77777777" w:rsidR="005B4DF4" w:rsidRPr="00602C03" w:rsidRDefault="005B4DF4" w:rsidP="00602C03">
    <w:pPr>
      <w:pStyle w:val="a4"/>
      <w:pBdr>
        <w:top w:val="single" w:sz="4" w:space="1" w:color="auto"/>
        <w:between w:val="single" w:sz="4" w:space="0" w:color="auto"/>
      </w:pBdr>
      <w:spacing w:after="60"/>
      <w:jc w:val="center"/>
      <w:rPr>
        <w:rFonts w:ascii="FrankRuehl" w:hAnsi="FrankRuehl" w:cs="FrankRuehl"/>
        <w:color w:val="000000"/>
      </w:rPr>
    </w:pPr>
    <w:r w:rsidRPr="00602C0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DB6E2" w14:textId="77777777" w:rsidR="005B4DF4" w:rsidRDefault="005B4DF4" w:rsidP="00602C0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E278B">
      <w:rPr>
        <w:rFonts w:ascii="FrankRuehl" w:hAnsi="FrankRuehl" w:cs="FrankRuehl"/>
        <w:noProof/>
        <w:rtl/>
      </w:rPr>
      <w:t>1</w:t>
    </w:r>
    <w:r>
      <w:rPr>
        <w:rFonts w:ascii="FrankRuehl" w:hAnsi="FrankRuehl" w:cs="FrankRuehl"/>
        <w:rtl/>
      </w:rPr>
      <w:fldChar w:fldCharType="end"/>
    </w:r>
  </w:p>
  <w:p w14:paraId="7E0DB186" w14:textId="77777777" w:rsidR="005B4DF4" w:rsidRPr="00602C03" w:rsidRDefault="005B4DF4" w:rsidP="00602C03">
    <w:pPr>
      <w:pStyle w:val="a4"/>
      <w:pBdr>
        <w:top w:val="single" w:sz="4" w:space="1" w:color="auto"/>
        <w:between w:val="single" w:sz="4" w:space="0" w:color="auto"/>
      </w:pBdr>
      <w:spacing w:after="60"/>
      <w:jc w:val="center"/>
      <w:rPr>
        <w:rFonts w:ascii="FrankRuehl" w:hAnsi="FrankRuehl" w:cs="FrankRuehl"/>
        <w:color w:val="000000"/>
      </w:rPr>
    </w:pPr>
    <w:r w:rsidRPr="00602C03">
      <w:rPr>
        <w:rFonts w:ascii="FrankRuehl" w:hAnsi="FrankRuehl" w:cs="FrankRuehl"/>
        <w:color w:val="000000"/>
      </w:rPr>
      <w:pict w14:anchorId="7A596E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02300" w14:textId="77777777" w:rsidR="00CF2D9B" w:rsidRDefault="00CF2D9B">
      <w:r>
        <w:separator/>
      </w:r>
    </w:p>
  </w:footnote>
  <w:footnote w:type="continuationSeparator" w:id="0">
    <w:p w14:paraId="2DBBE05D" w14:textId="77777777" w:rsidR="00CF2D9B" w:rsidRDefault="00CF2D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01062" w14:textId="77777777" w:rsidR="005B4DF4" w:rsidRPr="00602C03" w:rsidRDefault="005B4DF4" w:rsidP="00602C0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16798-04-13</w:t>
    </w:r>
    <w:r>
      <w:rPr>
        <w:rFonts w:ascii="David" w:hAnsi="David"/>
        <w:color w:val="000000"/>
        <w:sz w:val="22"/>
        <w:szCs w:val="22"/>
        <w:rtl/>
      </w:rPr>
      <w:tab/>
      <w:t xml:space="preserve"> מדינת ישראל נ' איילון גווילי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4F8C0" w14:textId="77777777" w:rsidR="005B4DF4" w:rsidRPr="00602C03" w:rsidRDefault="005B4DF4" w:rsidP="00602C0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16798-04-13</w:t>
    </w:r>
    <w:r>
      <w:rPr>
        <w:rFonts w:ascii="David" w:hAnsi="David"/>
        <w:color w:val="000000"/>
        <w:sz w:val="22"/>
        <w:szCs w:val="22"/>
        <w:rtl/>
      </w:rPr>
      <w:tab/>
      <w:t xml:space="preserve"> מדינת ישראל נ' איילון גווילי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E44A0"/>
    <w:rsid w:val="002E278B"/>
    <w:rsid w:val="003E44A0"/>
    <w:rsid w:val="0058644B"/>
    <w:rsid w:val="005B4DF4"/>
    <w:rsid w:val="00602C03"/>
    <w:rsid w:val="00611D54"/>
    <w:rsid w:val="0063403B"/>
    <w:rsid w:val="009011AF"/>
    <w:rsid w:val="00907631"/>
    <w:rsid w:val="00AB2E56"/>
    <w:rsid w:val="00CF2D9B"/>
    <w:rsid w:val="00D53231"/>
    <w:rsid w:val="00D60F40"/>
    <w:rsid w:val="00DC43CA"/>
    <w:rsid w:val="00F93B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03C466C"/>
  <w15:chartTrackingRefBased/>
  <w15:docId w15:val="{7A9C36C3-A787-4416-9594-BF8098C5A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E44A0"/>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E44A0"/>
    <w:pPr>
      <w:tabs>
        <w:tab w:val="center" w:pos="4153"/>
        <w:tab w:val="right" w:pos="8306"/>
      </w:tabs>
    </w:pPr>
  </w:style>
  <w:style w:type="paragraph" w:styleId="a4">
    <w:name w:val="footer"/>
    <w:basedOn w:val="a"/>
    <w:rsid w:val="003E44A0"/>
    <w:pPr>
      <w:tabs>
        <w:tab w:val="center" w:pos="4153"/>
        <w:tab w:val="right" w:pos="8306"/>
      </w:tabs>
    </w:pPr>
  </w:style>
  <w:style w:type="character" w:styleId="a5">
    <w:name w:val="page number"/>
    <w:basedOn w:val="a0"/>
    <w:rsid w:val="003E44A0"/>
  </w:style>
  <w:style w:type="character" w:styleId="Hyperlink">
    <w:name w:val="Hyperlink"/>
    <w:rsid w:val="00602C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90721"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aw/90721" TargetMode="External"/><Relationship Id="rId4" Type="http://schemas.openxmlformats.org/officeDocument/2006/relationships/footnotes" Target="footnotes.xml"/><Relationship Id="rId9" Type="http://schemas.openxmlformats.org/officeDocument/2006/relationships/hyperlink" Target="http://www.nevo.co.il/law/4216"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2243</Words>
  <Characters>11217</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13434</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8257637</vt:i4>
      </vt:variant>
      <vt:variant>
        <vt:i4>15</vt:i4>
      </vt:variant>
      <vt:variant>
        <vt:i4>0</vt:i4>
      </vt:variant>
      <vt:variant>
        <vt:i4>5</vt:i4>
      </vt:variant>
      <vt:variant>
        <vt:lpwstr>http://www.nevo.co.il/law/4216</vt:lpwstr>
      </vt:variant>
      <vt:variant>
        <vt:lpwstr/>
      </vt:variant>
      <vt:variant>
        <vt:i4>7864430</vt:i4>
      </vt:variant>
      <vt:variant>
        <vt:i4>12</vt:i4>
      </vt:variant>
      <vt:variant>
        <vt:i4>0</vt:i4>
      </vt:variant>
      <vt:variant>
        <vt:i4>5</vt:i4>
      </vt:variant>
      <vt:variant>
        <vt:lpwstr>http://www.nevo.co.il/law/90721</vt:lpwstr>
      </vt:variant>
      <vt:variant>
        <vt:lpwstr/>
      </vt:variant>
      <vt:variant>
        <vt:i4>8257637</vt:i4>
      </vt:variant>
      <vt:variant>
        <vt:i4>9</vt:i4>
      </vt:variant>
      <vt:variant>
        <vt:i4>0</vt:i4>
      </vt:variant>
      <vt:variant>
        <vt:i4>5</vt:i4>
      </vt:variant>
      <vt:variant>
        <vt:lpwstr>http://www.nevo.co.il/law/4216</vt:lpwstr>
      </vt:variant>
      <vt:variant>
        <vt:lpwstr/>
      </vt:variant>
      <vt:variant>
        <vt:i4>8257637</vt:i4>
      </vt:variant>
      <vt:variant>
        <vt:i4>6</vt:i4>
      </vt:variant>
      <vt:variant>
        <vt:i4>0</vt:i4>
      </vt:variant>
      <vt:variant>
        <vt:i4>5</vt:i4>
      </vt:variant>
      <vt:variant>
        <vt:lpwstr>http://www.nevo.co.il/law/4216</vt:lpwstr>
      </vt:variant>
      <vt:variant>
        <vt:lpwstr/>
      </vt:variant>
      <vt:variant>
        <vt:i4>7864430</vt:i4>
      </vt:variant>
      <vt:variant>
        <vt:i4>3</vt:i4>
      </vt:variant>
      <vt:variant>
        <vt:i4>0</vt:i4>
      </vt:variant>
      <vt:variant>
        <vt:i4>5</vt:i4>
      </vt:variant>
      <vt:variant>
        <vt:lpwstr>http://www.nevo.co.il/law/90721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2025-04-22T22:00:00Z</dcterms:created>
  <dcterms:modified xsi:type="dcterms:W3CDTF">2025-04-22T22:00:00Z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16798</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איילון גווילי</vt:lpwstr>
  </property>
  <property fmtid="{D5CDD505-2E9C-101B-9397-08002B2CF9AE}" pid="10" name="LAWYER">
    <vt:lpwstr>מיקי ברגר;אורון שוורץ</vt:lpwstr>
  </property>
  <property fmtid="{D5CDD505-2E9C-101B-9397-08002B2CF9AE}" pid="11" name="JUDGE">
    <vt:lpwstr>הה עינת רון</vt:lpwstr>
  </property>
  <property fmtid="{D5CDD505-2E9C-101B-9397-08002B2CF9AE}" pid="12" name="CITY">
    <vt:lpwstr>פ"ת</vt:lpwstr>
  </property>
  <property fmtid="{D5CDD505-2E9C-101B-9397-08002B2CF9AE}" pid="13" name="DATE">
    <vt:lpwstr>20150429</vt:lpwstr>
  </property>
  <property fmtid="{D5CDD505-2E9C-101B-9397-08002B2CF9AE}" pid="14" name="TYPE_N_DATE">
    <vt:lpwstr>38020150429</vt:lpwstr>
  </property>
  <property fmtid="{D5CDD505-2E9C-101B-9397-08002B2CF9AE}" pid="15" name="WORDNUMPAGES">
    <vt:lpwstr>8</vt:lpwstr>
  </property>
  <property fmtid="{D5CDD505-2E9C-101B-9397-08002B2CF9AE}" pid="16" name="TYPE_ABS_DATE">
    <vt:lpwstr>380020150429</vt:lpwstr>
  </property>
  <property fmtid="{D5CDD505-2E9C-101B-9397-08002B2CF9AE}" pid="17" name="ISABSTRACT">
    <vt:lpwstr>Y</vt:lpwstr>
  </property>
  <property fmtid="{D5CDD505-2E9C-101B-9397-08002B2CF9AE}" pid="18" name="LAWLISTTMP1">
    <vt:lpwstr>4216:3</vt:lpwstr>
  </property>
  <property fmtid="{D5CDD505-2E9C-101B-9397-08002B2CF9AE}" pid="19" name="LAWLISTTMP2">
    <vt:lpwstr>90721</vt:lpwstr>
  </property>
</Properties>
</file>