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6D1A70" w:rsidRPr="00262689" w14:paraId="23F1EFBD" w14:textId="77777777">
        <w:trPr>
          <w:trHeight w:hRule="exact" w:val="418"/>
          <w:jc w:val="center"/>
        </w:trPr>
        <w:tc>
          <w:tcPr>
            <w:tcW w:w="8721" w:type="dxa"/>
            <w:gridSpan w:val="2"/>
          </w:tcPr>
          <w:p w14:paraId="7961471C" w14:textId="77777777" w:rsidR="006D1A70" w:rsidRPr="00262689" w:rsidRDefault="00262689">
            <w:pPr>
              <w:pStyle w:val="a3"/>
              <w:jc w:val="center"/>
              <w:rPr>
                <w:rFonts w:ascii="Tahoma" w:hAnsi="Tahoma" w:cs="Tahoma"/>
                <w:color w:val="000080"/>
                <w:rtl/>
              </w:rPr>
            </w:pPr>
            <w:bookmarkStart w:id="0" w:name="FirstLawyer"/>
            <w:bookmarkStart w:id="1" w:name="LastJudge"/>
            <w:r w:rsidRPr="00262689">
              <w:rPr>
                <w:rFonts w:ascii="Tahoma" w:hAnsi="Tahoma" w:cs="Tahoma"/>
                <w:b/>
                <w:bCs/>
                <w:color w:val="000080"/>
                <w:rtl/>
              </w:rPr>
              <w:t>בית משפט השלום ברמלה</w:t>
            </w:r>
          </w:p>
        </w:tc>
      </w:tr>
      <w:tr w:rsidR="006D1A70" w:rsidRPr="00262689" w14:paraId="7EC8FD1D" w14:textId="77777777">
        <w:trPr>
          <w:trHeight w:val="337"/>
          <w:jc w:val="center"/>
        </w:trPr>
        <w:tc>
          <w:tcPr>
            <w:tcW w:w="5060" w:type="dxa"/>
          </w:tcPr>
          <w:p w14:paraId="1386F52A" w14:textId="77777777" w:rsidR="006D1A70" w:rsidRPr="00262689" w:rsidRDefault="00262689">
            <w:pPr>
              <w:rPr>
                <w:rFonts w:cs="FrankRuehl"/>
                <w:sz w:val="28"/>
                <w:szCs w:val="28"/>
                <w:rtl/>
              </w:rPr>
            </w:pPr>
            <w:r w:rsidRPr="00262689">
              <w:rPr>
                <w:rFonts w:cs="FrankRuehl"/>
                <w:sz w:val="28"/>
                <w:szCs w:val="28"/>
                <w:rtl/>
              </w:rPr>
              <w:t>ת"פ</w:t>
            </w:r>
            <w:r w:rsidRPr="00262689">
              <w:rPr>
                <w:rFonts w:cs="FrankRuehl" w:hint="cs"/>
                <w:sz w:val="28"/>
                <w:szCs w:val="28"/>
                <w:rtl/>
              </w:rPr>
              <w:t xml:space="preserve"> </w:t>
            </w:r>
            <w:r w:rsidRPr="00262689">
              <w:rPr>
                <w:rFonts w:cs="FrankRuehl"/>
                <w:sz w:val="28"/>
                <w:szCs w:val="28"/>
                <w:rtl/>
              </w:rPr>
              <w:t>34656-04-13</w:t>
            </w:r>
            <w:r w:rsidRPr="00262689">
              <w:rPr>
                <w:rFonts w:cs="FrankRuehl" w:hint="cs"/>
                <w:sz w:val="28"/>
                <w:szCs w:val="28"/>
                <w:rtl/>
              </w:rPr>
              <w:t xml:space="preserve"> </w:t>
            </w:r>
            <w:r w:rsidRPr="00262689">
              <w:rPr>
                <w:rFonts w:cs="FrankRuehl"/>
                <w:sz w:val="28"/>
                <w:szCs w:val="28"/>
                <w:rtl/>
              </w:rPr>
              <w:t>פרקליטות מחוז מרכז נ' דזנשוילי(עציר) ואח'</w:t>
            </w:r>
          </w:p>
          <w:p w14:paraId="3B77F505" w14:textId="77777777" w:rsidR="006D1A70" w:rsidRPr="00262689" w:rsidRDefault="006D1A70">
            <w:pPr>
              <w:pStyle w:val="a3"/>
              <w:rPr>
                <w:rFonts w:cs="FrankRuehl"/>
                <w:sz w:val="28"/>
                <w:szCs w:val="28"/>
                <w:rtl/>
              </w:rPr>
            </w:pPr>
          </w:p>
        </w:tc>
        <w:tc>
          <w:tcPr>
            <w:tcW w:w="3661" w:type="dxa"/>
          </w:tcPr>
          <w:p w14:paraId="03FF9377" w14:textId="77777777" w:rsidR="006D1A70" w:rsidRPr="00262689" w:rsidRDefault="006D1A70">
            <w:pPr>
              <w:pStyle w:val="a3"/>
              <w:jc w:val="right"/>
              <w:rPr>
                <w:rFonts w:cs="FrankRuehl"/>
                <w:sz w:val="28"/>
                <w:szCs w:val="28"/>
                <w:rtl/>
              </w:rPr>
            </w:pPr>
          </w:p>
        </w:tc>
      </w:tr>
    </w:tbl>
    <w:p w14:paraId="7FA34D46" w14:textId="77777777" w:rsidR="006D1A70" w:rsidRPr="00262689" w:rsidRDefault="00262689">
      <w:pPr>
        <w:pStyle w:val="a3"/>
        <w:rPr>
          <w:rtl/>
        </w:rPr>
      </w:pPr>
      <w:r w:rsidRPr="00262689">
        <w:rPr>
          <w:rFonts w:hint="cs"/>
          <w:rtl/>
        </w:rPr>
        <w:t xml:space="preserve"> </w:t>
      </w:r>
    </w:p>
    <w:p w14:paraId="36D86D7E" w14:textId="77777777" w:rsidR="006D1A70" w:rsidRPr="00262689" w:rsidRDefault="006D1A7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6"/>
        <w:gridCol w:w="3759"/>
      </w:tblGrid>
      <w:tr w:rsidR="006D1A70" w:rsidRPr="00262689" w14:paraId="64E1B5C3" w14:textId="77777777">
        <w:trPr>
          <w:trHeight w:val="295"/>
          <w:jc w:val="center"/>
        </w:trPr>
        <w:tc>
          <w:tcPr>
            <w:tcW w:w="945" w:type="dxa"/>
            <w:tcBorders>
              <w:top w:val="nil"/>
              <w:left w:val="nil"/>
              <w:bottom w:val="nil"/>
              <w:right w:val="nil"/>
            </w:tcBorders>
          </w:tcPr>
          <w:p w14:paraId="27ED4661" w14:textId="77777777" w:rsidR="006D1A70" w:rsidRPr="00262689" w:rsidRDefault="00262689">
            <w:pPr>
              <w:jc w:val="both"/>
              <w:rPr>
                <w:rFonts w:ascii="Arial" w:hAnsi="Arial"/>
                <w:b/>
                <w:bCs/>
                <w:sz w:val="28"/>
                <w:szCs w:val="28"/>
              </w:rPr>
            </w:pPr>
            <w:r w:rsidRPr="00262689">
              <w:rPr>
                <w:rFonts w:ascii="Arial" w:hAnsi="Arial" w:hint="cs"/>
                <w:b/>
                <w:bCs/>
                <w:sz w:val="28"/>
                <w:szCs w:val="28"/>
                <w:rtl/>
              </w:rPr>
              <w:t>ב</w:t>
            </w:r>
            <w:r w:rsidRPr="00262689">
              <w:rPr>
                <w:rFonts w:ascii="Arial" w:hAnsi="Arial"/>
                <w:b/>
                <w:bCs/>
                <w:sz w:val="28"/>
                <w:szCs w:val="28"/>
                <w:rtl/>
              </w:rPr>
              <w:t xml:space="preserve">פני </w:t>
            </w:r>
          </w:p>
        </w:tc>
        <w:tc>
          <w:tcPr>
            <w:tcW w:w="7875" w:type="dxa"/>
            <w:gridSpan w:val="2"/>
            <w:tcBorders>
              <w:top w:val="nil"/>
              <w:left w:val="nil"/>
              <w:bottom w:val="nil"/>
              <w:right w:val="nil"/>
            </w:tcBorders>
          </w:tcPr>
          <w:p w14:paraId="54B1B547" w14:textId="77777777" w:rsidR="006D1A70" w:rsidRPr="00262689" w:rsidRDefault="00262689">
            <w:pPr>
              <w:rPr>
                <w:rFonts w:ascii="Arial" w:hAnsi="Arial"/>
                <w:b/>
                <w:bCs/>
                <w:sz w:val="28"/>
                <w:szCs w:val="28"/>
                <w:rtl/>
              </w:rPr>
            </w:pPr>
            <w:r w:rsidRPr="00262689">
              <w:rPr>
                <w:rFonts w:ascii="Arial" w:hAnsi="Arial" w:hint="cs"/>
                <w:b/>
                <w:bCs/>
                <w:sz w:val="28"/>
                <w:szCs w:val="28"/>
                <w:rtl/>
              </w:rPr>
              <w:t>כבוד ה</w:t>
            </w:r>
            <w:r w:rsidRPr="00262689">
              <w:rPr>
                <w:rFonts w:hint="cs"/>
                <w:b/>
                <w:bCs/>
                <w:sz w:val="28"/>
                <w:szCs w:val="28"/>
                <w:rtl/>
              </w:rPr>
              <w:t>שופט</w:t>
            </w:r>
            <w:r w:rsidRPr="00262689">
              <w:rPr>
                <w:rFonts w:ascii="Arial" w:hAnsi="Arial" w:hint="cs"/>
                <w:b/>
                <w:bCs/>
                <w:sz w:val="28"/>
                <w:szCs w:val="28"/>
                <w:rtl/>
              </w:rPr>
              <w:t xml:space="preserve">  </w:t>
            </w:r>
            <w:r w:rsidRPr="00262689">
              <w:rPr>
                <w:rFonts w:hint="cs"/>
                <w:b/>
                <w:bCs/>
                <w:sz w:val="28"/>
                <w:szCs w:val="28"/>
                <w:rtl/>
              </w:rPr>
              <w:t>הישאם  אבו שחאדה</w:t>
            </w:r>
          </w:p>
          <w:p w14:paraId="40844DEB" w14:textId="77777777" w:rsidR="006D1A70" w:rsidRPr="00262689" w:rsidRDefault="006D1A70">
            <w:pPr>
              <w:rPr>
                <w:b/>
                <w:bCs/>
                <w:sz w:val="28"/>
                <w:szCs w:val="28"/>
                <w:rtl/>
              </w:rPr>
            </w:pPr>
          </w:p>
          <w:p w14:paraId="2EAE0424" w14:textId="77777777" w:rsidR="006D1A70" w:rsidRPr="00262689" w:rsidRDefault="006D1A70">
            <w:pPr>
              <w:jc w:val="both"/>
              <w:rPr>
                <w:rFonts w:ascii="Arial" w:hAnsi="Arial"/>
                <w:b/>
                <w:bCs/>
                <w:sz w:val="28"/>
                <w:szCs w:val="28"/>
              </w:rPr>
            </w:pPr>
          </w:p>
        </w:tc>
      </w:tr>
      <w:tr w:rsidR="006D1A70" w:rsidRPr="00262689" w14:paraId="2253E594" w14:textId="77777777">
        <w:trPr>
          <w:trHeight w:val="355"/>
          <w:jc w:val="center"/>
        </w:trPr>
        <w:tc>
          <w:tcPr>
            <w:tcW w:w="945" w:type="dxa"/>
            <w:tcBorders>
              <w:top w:val="nil"/>
              <w:left w:val="nil"/>
              <w:bottom w:val="nil"/>
              <w:right w:val="nil"/>
            </w:tcBorders>
          </w:tcPr>
          <w:p w14:paraId="4206EE21" w14:textId="77777777" w:rsidR="006D1A70" w:rsidRPr="00262689" w:rsidRDefault="00262689">
            <w:pPr>
              <w:jc w:val="both"/>
              <w:rPr>
                <w:rFonts w:ascii="Arial" w:hAnsi="Arial"/>
                <w:b/>
                <w:bCs/>
                <w:sz w:val="28"/>
                <w:szCs w:val="28"/>
              </w:rPr>
            </w:pPr>
            <w:bookmarkStart w:id="2" w:name="FirstAppellant"/>
            <w:r w:rsidRPr="00262689">
              <w:rPr>
                <w:rFonts w:ascii="Arial" w:hAnsi="Arial" w:hint="cs"/>
                <w:b/>
                <w:bCs/>
                <w:sz w:val="28"/>
                <w:szCs w:val="28"/>
                <w:rtl/>
              </w:rPr>
              <w:t>בעניין:</w:t>
            </w:r>
          </w:p>
        </w:tc>
        <w:tc>
          <w:tcPr>
            <w:tcW w:w="4116" w:type="dxa"/>
            <w:tcBorders>
              <w:top w:val="nil"/>
              <w:left w:val="nil"/>
              <w:bottom w:val="nil"/>
              <w:right w:val="nil"/>
            </w:tcBorders>
          </w:tcPr>
          <w:p w14:paraId="1EEA3E3C" w14:textId="77777777" w:rsidR="006D1A70" w:rsidRPr="00262689" w:rsidRDefault="00262689">
            <w:pPr>
              <w:rPr>
                <w:b/>
                <w:bCs/>
                <w:sz w:val="28"/>
                <w:szCs w:val="28"/>
              </w:rPr>
            </w:pPr>
            <w:r w:rsidRPr="00262689">
              <w:rPr>
                <w:rFonts w:hint="cs"/>
                <w:b/>
                <w:bCs/>
                <w:sz w:val="28"/>
                <w:szCs w:val="28"/>
                <w:rtl/>
              </w:rPr>
              <w:t xml:space="preserve">המאשימה – מדינת ישראל </w:t>
            </w:r>
            <w:r w:rsidRPr="00262689">
              <w:rPr>
                <w:rFonts w:hint="cs"/>
                <w:b/>
                <w:bCs/>
                <w:sz w:val="28"/>
                <w:szCs w:val="28"/>
                <w:rtl/>
              </w:rPr>
              <w:br/>
              <w:t>באמצעות פרקליטות מחוז מרכז</w:t>
            </w:r>
            <w:r w:rsidRPr="00262689">
              <w:rPr>
                <w:rFonts w:hint="cs"/>
                <w:b/>
                <w:bCs/>
                <w:sz w:val="28"/>
                <w:szCs w:val="28"/>
                <w:rtl/>
              </w:rPr>
              <w:br/>
              <w:t xml:space="preserve">ע"י עוה"ד ינאי גורני </w:t>
            </w:r>
          </w:p>
        </w:tc>
        <w:tc>
          <w:tcPr>
            <w:tcW w:w="3759" w:type="dxa"/>
            <w:tcBorders>
              <w:top w:val="nil"/>
              <w:left w:val="nil"/>
              <w:bottom w:val="nil"/>
              <w:right w:val="nil"/>
            </w:tcBorders>
          </w:tcPr>
          <w:p w14:paraId="1B6239E6" w14:textId="77777777" w:rsidR="006D1A70" w:rsidRPr="00262689" w:rsidRDefault="006D1A70">
            <w:pPr>
              <w:jc w:val="both"/>
              <w:rPr>
                <w:rFonts w:ascii="Arial" w:hAnsi="Arial" w:cs="FrankRuehl"/>
                <w:sz w:val="28"/>
                <w:szCs w:val="28"/>
              </w:rPr>
            </w:pPr>
          </w:p>
        </w:tc>
      </w:tr>
      <w:bookmarkEnd w:id="2"/>
      <w:tr w:rsidR="006D1A70" w:rsidRPr="00262689" w14:paraId="6467F710" w14:textId="77777777">
        <w:trPr>
          <w:gridAfter w:val="2"/>
          <w:wAfter w:w="7875" w:type="dxa"/>
          <w:trHeight w:val="355"/>
          <w:jc w:val="center"/>
        </w:trPr>
        <w:tc>
          <w:tcPr>
            <w:tcW w:w="945" w:type="dxa"/>
            <w:tcBorders>
              <w:top w:val="nil"/>
              <w:left w:val="nil"/>
              <w:bottom w:val="nil"/>
              <w:right w:val="nil"/>
            </w:tcBorders>
          </w:tcPr>
          <w:p w14:paraId="079B1B03" w14:textId="77777777" w:rsidR="006D1A70" w:rsidRPr="00262689" w:rsidRDefault="006D1A70">
            <w:pPr>
              <w:jc w:val="both"/>
              <w:rPr>
                <w:rFonts w:ascii="Arial" w:hAnsi="Arial"/>
                <w:b/>
                <w:bCs/>
                <w:sz w:val="28"/>
                <w:szCs w:val="28"/>
                <w:rtl/>
              </w:rPr>
            </w:pPr>
          </w:p>
        </w:tc>
      </w:tr>
      <w:tr w:rsidR="006D1A70" w:rsidRPr="00262689" w14:paraId="0B7C0273" w14:textId="77777777">
        <w:trPr>
          <w:trHeight w:val="355"/>
          <w:jc w:val="center"/>
        </w:trPr>
        <w:tc>
          <w:tcPr>
            <w:tcW w:w="945" w:type="dxa"/>
            <w:tcBorders>
              <w:top w:val="nil"/>
              <w:left w:val="nil"/>
              <w:bottom w:val="nil"/>
              <w:right w:val="nil"/>
            </w:tcBorders>
          </w:tcPr>
          <w:p w14:paraId="037E0AC4" w14:textId="77777777" w:rsidR="006D1A70" w:rsidRPr="00262689" w:rsidRDefault="006D1A70">
            <w:pPr>
              <w:jc w:val="both"/>
              <w:rPr>
                <w:rFonts w:ascii="Arial" w:hAnsi="Arial"/>
                <w:b/>
                <w:bCs/>
                <w:sz w:val="28"/>
                <w:szCs w:val="28"/>
                <w:rtl/>
              </w:rPr>
            </w:pPr>
          </w:p>
        </w:tc>
        <w:tc>
          <w:tcPr>
            <w:tcW w:w="7875" w:type="dxa"/>
            <w:gridSpan w:val="2"/>
            <w:tcBorders>
              <w:top w:val="nil"/>
              <w:left w:val="nil"/>
              <w:bottom w:val="nil"/>
              <w:right w:val="nil"/>
            </w:tcBorders>
          </w:tcPr>
          <w:p w14:paraId="156FAE8A" w14:textId="77777777" w:rsidR="006D1A70" w:rsidRPr="00262689" w:rsidRDefault="006D1A70">
            <w:pPr>
              <w:jc w:val="center"/>
              <w:rPr>
                <w:rFonts w:ascii="Arial" w:hAnsi="Arial"/>
                <w:b/>
                <w:bCs/>
                <w:sz w:val="28"/>
                <w:szCs w:val="28"/>
                <w:rtl/>
              </w:rPr>
            </w:pPr>
          </w:p>
          <w:p w14:paraId="7887937C" w14:textId="77777777" w:rsidR="006D1A70" w:rsidRPr="00262689" w:rsidRDefault="00262689">
            <w:pPr>
              <w:jc w:val="center"/>
              <w:rPr>
                <w:rFonts w:ascii="Arial" w:hAnsi="Arial"/>
                <w:b/>
                <w:bCs/>
                <w:sz w:val="28"/>
                <w:szCs w:val="28"/>
                <w:rtl/>
              </w:rPr>
            </w:pPr>
            <w:r w:rsidRPr="00262689">
              <w:rPr>
                <w:rFonts w:ascii="Arial" w:hAnsi="Arial"/>
                <w:b/>
                <w:bCs/>
                <w:sz w:val="28"/>
                <w:szCs w:val="28"/>
                <w:rtl/>
              </w:rPr>
              <w:t>נגד</w:t>
            </w:r>
          </w:p>
          <w:p w14:paraId="0431F476" w14:textId="77777777" w:rsidR="006D1A70" w:rsidRPr="00262689" w:rsidRDefault="006D1A70">
            <w:pPr>
              <w:jc w:val="both"/>
              <w:rPr>
                <w:rFonts w:ascii="Arial" w:hAnsi="Arial"/>
                <w:b/>
                <w:bCs/>
                <w:sz w:val="28"/>
                <w:szCs w:val="28"/>
              </w:rPr>
            </w:pPr>
          </w:p>
        </w:tc>
      </w:tr>
      <w:tr w:rsidR="006D1A70" w:rsidRPr="00262689" w14:paraId="06E0DD58" w14:textId="77777777">
        <w:trPr>
          <w:trHeight w:val="355"/>
          <w:jc w:val="center"/>
        </w:trPr>
        <w:tc>
          <w:tcPr>
            <w:tcW w:w="945" w:type="dxa"/>
            <w:tcBorders>
              <w:top w:val="nil"/>
              <w:left w:val="nil"/>
              <w:bottom w:val="nil"/>
              <w:right w:val="nil"/>
            </w:tcBorders>
          </w:tcPr>
          <w:p w14:paraId="2F76B65E" w14:textId="77777777" w:rsidR="006D1A70" w:rsidRPr="00262689" w:rsidRDefault="006D1A70">
            <w:pPr>
              <w:rPr>
                <w:rFonts w:ascii="Arial" w:hAnsi="Arial"/>
                <w:b/>
                <w:bCs/>
                <w:sz w:val="28"/>
                <w:szCs w:val="28"/>
                <w:rtl/>
              </w:rPr>
            </w:pPr>
          </w:p>
        </w:tc>
        <w:tc>
          <w:tcPr>
            <w:tcW w:w="4116" w:type="dxa"/>
            <w:tcBorders>
              <w:top w:val="nil"/>
              <w:left w:val="nil"/>
              <w:bottom w:val="nil"/>
              <w:right w:val="nil"/>
            </w:tcBorders>
          </w:tcPr>
          <w:p w14:paraId="783EFDA6" w14:textId="77777777" w:rsidR="006D1A70" w:rsidRPr="00262689" w:rsidRDefault="00262689">
            <w:pPr>
              <w:rPr>
                <w:b/>
                <w:bCs/>
                <w:sz w:val="28"/>
                <w:szCs w:val="28"/>
                <w:rtl/>
              </w:rPr>
            </w:pPr>
            <w:r w:rsidRPr="00262689">
              <w:rPr>
                <w:rFonts w:hint="cs"/>
                <w:b/>
                <w:bCs/>
                <w:sz w:val="28"/>
                <w:szCs w:val="28"/>
                <w:rtl/>
              </w:rPr>
              <w:t xml:space="preserve">הנאשם - אמזר דזנשוילי </w:t>
            </w:r>
            <w:r w:rsidRPr="00262689">
              <w:rPr>
                <w:rFonts w:hint="cs"/>
                <w:b/>
                <w:bCs/>
                <w:sz w:val="28"/>
                <w:szCs w:val="28"/>
                <w:rtl/>
              </w:rPr>
              <w:br/>
              <w:t xml:space="preserve">ע"י עוה"ד ארז מלמד  </w:t>
            </w:r>
          </w:p>
          <w:p w14:paraId="2395D0C7" w14:textId="77777777" w:rsidR="006D1A70" w:rsidRPr="00262689" w:rsidRDefault="006D1A70">
            <w:pPr>
              <w:rPr>
                <w:b/>
                <w:bCs/>
                <w:sz w:val="28"/>
                <w:szCs w:val="28"/>
                <w:rtl/>
              </w:rPr>
            </w:pPr>
          </w:p>
        </w:tc>
        <w:tc>
          <w:tcPr>
            <w:tcW w:w="3759" w:type="dxa"/>
            <w:tcBorders>
              <w:top w:val="nil"/>
              <w:left w:val="nil"/>
              <w:bottom w:val="nil"/>
              <w:right w:val="nil"/>
            </w:tcBorders>
          </w:tcPr>
          <w:p w14:paraId="4577255B" w14:textId="77777777" w:rsidR="006D1A70" w:rsidRPr="00262689" w:rsidRDefault="006D1A70">
            <w:pPr>
              <w:jc w:val="right"/>
              <w:rPr>
                <w:rFonts w:ascii="Arial" w:hAnsi="Arial" w:cs="FrankRuehl"/>
                <w:sz w:val="28"/>
                <w:szCs w:val="28"/>
              </w:rPr>
            </w:pPr>
          </w:p>
        </w:tc>
      </w:tr>
      <w:tr w:rsidR="006D1A70" w:rsidRPr="00262689" w14:paraId="15E2BAA0" w14:textId="77777777">
        <w:trPr>
          <w:gridAfter w:val="2"/>
          <w:wAfter w:w="7875" w:type="dxa"/>
          <w:trHeight w:val="355"/>
          <w:jc w:val="center"/>
        </w:trPr>
        <w:tc>
          <w:tcPr>
            <w:tcW w:w="945" w:type="dxa"/>
            <w:tcBorders>
              <w:top w:val="nil"/>
              <w:left w:val="nil"/>
              <w:bottom w:val="nil"/>
              <w:right w:val="nil"/>
            </w:tcBorders>
          </w:tcPr>
          <w:p w14:paraId="7B981ECE" w14:textId="77777777" w:rsidR="006D1A70" w:rsidRPr="00262689" w:rsidRDefault="006D1A70">
            <w:pPr>
              <w:jc w:val="both"/>
              <w:rPr>
                <w:rFonts w:ascii="Arial" w:hAnsi="Arial" w:cs="FrankRuehl"/>
                <w:sz w:val="28"/>
                <w:szCs w:val="28"/>
                <w:rtl/>
              </w:rPr>
            </w:pPr>
          </w:p>
        </w:tc>
      </w:tr>
      <w:tr w:rsidR="006D1A70" w:rsidRPr="00262689" w14:paraId="01480137" w14:textId="77777777">
        <w:trPr>
          <w:trHeight w:val="355"/>
          <w:jc w:val="center"/>
        </w:trPr>
        <w:tc>
          <w:tcPr>
            <w:tcW w:w="8820" w:type="dxa"/>
            <w:gridSpan w:val="3"/>
            <w:tcBorders>
              <w:top w:val="nil"/>
              <w:left w:val="nil"/>
              <w:bottom w:val="nil"/>
              <w:right w:val="nil"/>
            </w:tcBorders>
          </w:tcPr>
          <w:p w14:paraId="361E5448" w14:textId="77777777" w:rsidR="00B24449" w:rsidRPr="00B24449" w:rsidRDefault="00B24449" w:rsidP="00B24449">
            <w:pPr>
              <w:spacing w:after="120" w:line="240" w:lineRule="exact"/>
              <w:ind w:left="283" w:hanging="283"/>
              <w:jc w:val="both"/>
              <w:rPr>
                <w:rFonts w:ascii="FrankRuehl" w:hAnsi="FrankRuehl" w:cs="FrankRuehl"/>
                <w:rtl/>
              </w:rPr>
            </w:pPr>
            <w:r w:rsidRPr="00B24449">
              <w:rPr>
                <w:rFonts w:ascii="FrankRuehl" w:hAnsi="FrankRuehl" w:cs="FrankRuehl"/>
                <w:rtl/>
              </w:rPr>
              <w:t xml:space="preserve">חקיקה שאוזכרה: </w:t>
            </w:r>
          </w:p>
          <w:p w14:paraId="449424EC" w14:textId="77777777" w:rsidR="00B24449" w:rsidRPr="00B24449" w:rsidRDefault="00B24449" w:rsidP="00B24449">
            <w:pPr>
              <w:spacing w:after="120" w:line="240" w:lineRule="exact"/>
              <w:ind w:left="283" w:hanging="283"/>
              <w:jc w:val="both"/>
              <w:rPr>
                <w:rFonts w:ascii="FrankRuehl" w:hAnsi="FrankRuehl" w:cs="FrankRuehl"/>
                <w:rtl/>
              </w:rPr>
            </w:pPr>
            <w:hyperlink r:id="rId6" w:history="1">
              <w:r w:rsidRPr="00B24449">
                <w:rPr>
                  <w:rFonts w:ascii="FrankRuehl" w:hAnsi="FrankRuehl" w:cs="FrankRuehl"/>
                  <w:color w:val="0000FF"/>
                  <w:u w:val="single"/>
                  <w:rtl/>
                </w:rPr>
                <w:t>פקודת הסמים המסוכנים [נוסח חדש], תשל"ג-1973</w:t>
              </w:r>
            </w:hyperlink>
            <w:r w:rsidRPr="00B24449">
              <w:rPr>
                <w:rFonts w:ascii="FrankRuehl" w:hAnsi="FrankRuehl" w:cs="FrankRuehl"/>
                <w:rtl/>
              </w:rPr>
              <w:t xml:space="preserve">: סע'  </w:t>
            </w:r>
            <w:hyperlink r:id="rId7" w:history="1">
              <w:r w:rsidRPr="00B24449">
                <w:rPr>
                  <w:rFonts w:ascii="FrankRuehl" w:hAnsi="FrankRuehl" w:cs="FrankRuehl"/>
                  <w:color w:val="0000FF"/>
                  <w:u w:val="single"/>
                  <w:rtl/>
                </w:rPr>
                <w:t>7(א)</w:t>
              </w:r>
            </w:hyperlink>
            <w:r w:rsidRPr="00B24449">
              <w:rPr>
                <w:rFonts w:ascii="FrankRuehl" w:hAnsi="FrankRuehl" w:cs="FrankRuehl"/>
                <w:rtl/>
              </w:rPr>
              <w:t xml:space="preserve">, </w:t>
            </w:r>
            <w:hyperlink r:id="rId8" w:history="1">
              <w:r w:rsidRPr="00B24449">
                <w:rPr>
                  <w:rFonts w:ascii="FrankRuehl" w:hAnsi="FrankRuehl" w:cs="FrankRuehl"/>
                  <w:color w:val="0000FF"/>
                  <w:u w:val="single"/>
                  <w:rtl/>
                </w:rPr>
                <w:t>7(ג)</w:t>
              </w:r>
            </w:hyperlink>
            <w:r w:rsidRPr="00B24449">
              <w:rPr>
                <w:rFonts w:ascii="FrankRuehl" w:hAnsi="FrankRuehl" w:cs="FrankRuehl"/>
                <w:rtl/>
              </w:rPr>
              <w:t xml:space="preserve">, </w:t>
            </w:r>
            <w:hyperlink r:id="rId9" w:history="1">
              <w:r w:rsidRPr="00B24449">
                <w:rPr>
                  <w:rFonts w:ascii="FrankRuehl" w:hAnsi="FrankRuehl" w:cs="FrankRuehl"/>
                  <w:color w:val="0000FF"/>
                  <w:u w:val="single"/>
                  <w:rtl/>
                </w:rPr>
                <w:t>10</w:t>
              </w:r>
            </w:hyperlink>
            <w:r w:rsidRPr="00B24449">
              <w:rPr>
                <w:rFonts w:ascii="FrankRuehl" w:hAnsi="FrankRuehl" w:cs="FrankRuehl"/>
                <w:rtl/>
              </w:rPr>
              <w:t xml:space="preserve">, </w:t>
            </w:r>
            <w:hyperlink r:id="rId10" w:history="1">
              <w:r w:rsidRPr="00B24449">
                <w:rPr>
                  <w:rFonts w:ascii="FrankRuehl" w:hAnsi="FrankRuehl" w:cs="FrankRuehl"/>
                  <w:color w:val="0000FF"/>
                  <w:u w:val="single"/>
                  <w:rtl/>
                </w:rPr>
                <w:t>36ח</w:t>
              </w:r>
            </w:hyperlink>
          </w:p>
          <w:p w14:paraId="0259589D" w14:textId="77777777" w:rsidR="00B24449" w:rsidRPr="00B24449" w:rsidRDefault="00B24449" w:rsidP="00B24449">
            <w:pPr>
              <w:spacing w:after="120" w:line="240" w:lineRule="exact"/>
              <w:ind w:left="283" w:hanging="283"/>
              <w:jc w:val="both"/>
              <w:rPr>
                <w:rFonts w:ascii="FrankRuehl" w:hAnsi="FrankRuehl" w:cs="FrankRuehl"/>
                <w:rtl/>
              </w:rPr>
            </w:pPr>
            <w:hyperlink r:id="rId11" w:history="1">
              <w:r w:rsidRPr="00B24449">
                <w:rPr>
                  <w:rFonts w:ascii="FrankRuehl" w:hAnsi="FrankRuehl" w:cs="FrankRuehl"/>
                  <w:color w:val="0000FF"/>
                  <w:u w:val="single"/>
                  <w:rtl/>
                </w:rPr>
                <w:t>חוק העונשין, תשל"ז-1977</w:t>
              </w:r>
            </w:hyperlink>
            <w:r w:rsidRPr="00B24449">
              <w:rPr>
                <w:rFonts w:ascii="FrankRuehl" w:hAnsi="FrankRuehl" w:cs="FrankRuehl"/>
                <w:rtl/>
              </w:rPr>
              <w:t xml:space="preserve">: סע'  </w:t>
            </w:r>
            <w:hyperlink r:id="rId12" w:history="1">
              <w:r w:rsidRPr="00B24449">
                <w:rPr>
                  <w:rFonts w:ascii="FrankRuehl" w:hAnsi="FrankRuehl" w:cs="FrankRuehl"/>
                  <w:color w:val="0000FF"/>
                  <w:u w:val="single"/>
                  <w:rtl/>
                </w:rPr>
                <w:t>40ד</w:t>
              </w:r>
            </w:hyperlink>
          </w:p>
          <w:p w14:paraId="38A94192" w14:textId="77777777" w:rsidR="00B24449" w:rsidRDefault="00B24449">
            <w:pPr>
              <w:jc w:val="center"/>
              <w:rPr>
                <w:rFonts w:ascii="Arial" w:hAnsi="Arial" w:cs="FrankRuehl" w:hint="cs"/>
                <w:b/>
                <w:bCs/>
                <w:sz w:val="32"/>
                <w:szCs w:val="32"/>
                <w:rtl/>
              </w:rPr>
            </w:pPr>
          </w:p>
          <w:p w14:paraId="50456345" w14:textId="77777777" w:rsidR="00B24449" w:rsidRDefault="00B24449">
            <w:pPr>
              <w:jc w:val="center"/>
              <w:rPr>
                <w:rFonts w:ascii="Arial" w:hAnsi="Arial" w:cs="FrankRuehl" w:hint="cs"/>
                <w:b/>
                <w:bCs/>
                <w:sz w:val="32"/>
                <w:szCs w:val="32"/>
                <w:rtl/>
              </w:rPr>
            </w:pPr>
          </w:p>
          <w:p w14:paraId="10FE27C2" w14:textId="77777777" w:rsidR="006D1A70" w:rsidRPr="00262689" w:rsidRDefault="00262689">
            <w:pPr>
              <w:jc w:val="center"/>
              <w:rPr>
                <w:rFonts w:ascii="Arial" w:hAnsi="Arial" w:cs="FrankRuehl"/>
                <w:sz w:val="32"/>
                <w:szCs w:val="32"/>
                <w:rtl/>
              </w:rPr>
            </w:pPr>
            <w:bookmarkStart w:id="3" w:name="PsakDin"/>
            <w:r w:rsidRPr="00262689">
              <w:rPr>
                <w:rFonts w:ascii="Arial" w:hAnsi="Arial" w:cs="FrankRuehl" w:hint="cs"/>
                <w:b/>
                <w:bCs/>
                <w:sz w:val="32"/>
                <w:szCs w:val="32"/>
                <w:rtl/>
              </w:rPr>
              <w:t xml:space="preserve">ג ז ר </w:t>
            </w:r>
            <w:r w:rsidRPr="00262689">
              <w:rPr>
                <w:rFonts w:ascii="Arial" w:hAnsi="Arial" w:cs="FrankRuehl"/>
                <w:b/>
                <w:bCs/>
                <w:sz w:val="32"/>
                <w:szCs w:val="32"/>
                <w:rtl/>
              </w:rPr>
              <w:t>–</w:t>
            </w:r>
            <w:r w:rsidRPr="00262689">
              <w:rPr>
                <w:rFonts w:ascii="Arial" w:hAnsi="Arial" w:cs="FrankRuehl" w:hint="cs"/>
                <w:b/>
                <w:bCs/>
                <w:sz w:val="32"/>
                <w:szCs w:val="32"/>
                <w:rtl/>
              </w:rPr>
              <w:t xml:space="preserve"> ד י ן</w:t>
            </w:r>
            <w:bookmarkEnd w:id="3"/>
          </w:p>
        </w:tc>
      </w:tr>
    </w:tbl>
    <w:p w14:paraId="42635640" w14:textId="77777777" w:rsidR="006D1A70" w:rsidRPr="00262689" w:rsidRDefault="006D1A70">
      <w:pPr>
        <w:rPr>
          <w:rFonts w:ascii="Arial" w:hAnsi="Arial"/>
          <w:rtl/>
        </w:rPr>
      </w:pPr>
    </w:p>
    <w:p w14:paraId="77F0A2B9" w14:textId="77777777" w:rsidR="006D1A70" w:rsidRPr="00262689" w:rsidRDefault="00262689">
      <w:pPr>
        <w:rPr>
          <w:rFonts w:ascii="Arial" w:hAnsi="Arial"/>
          <w:b/>
          <w:bCs/>
          <w:sz w:val="28"/>
          <w:szCs w:val="28"/>
          <w:rtl/>
        </w:rPr>
      </w:pPr>
      <w:r w:rsidRPr="00262689">
        <w:rPr>
          <w:rFonts w:ascii="Arial" w:hAnsi="Arial" w:hint="cs"/>
          <w:b/>
          <w:bCs/>
          <w:sz w:val="28"/>
          <w:szCs w:val="28"/>
          <w:rtl/>
        </w:rPr>
        <w:t xml:space="preserve">כתב האישום </w:t>
      </w:r>
    </w:p>
    <w:p w14:paraId="659F97D4" w14:textId="77777777" w:rsidR="006D1A70" w:rsidRPr="00262689" w:rsidRDefault="006D1A70">
      <w:pPr>
        <w:rPr>
          <w:rFonts w:ascii="Arial" w:hAnsi="Arial"/>
          <w:b/>
          <w:bCs/>
          <w:sz w:val="28"/>
          <w:szCs w:val="28"/>
          <w:rtl/>
        </w:rPr>
      </w:pPr>
    </w:p>
    <w:p w14:paraId="36908D56" w14:textId="77777777" w:rsidR="006D1A70" w:rsidRPr="00262689" w:rsidRDefault="006D1A70">
      <w:pPr>
        <w:rPr>
          <w:rFonts w:ascii="Arial" w:hAnsi="Arial"/>
          <w:rtl/>
        </w:rPr>
      </w:pPr>
    </w:p>
    <w:p w14:paraId="628AF69B" w14:textId="77777777" w:rsidR="006D1A70" w:rsidRPr="00262689" w:rsidRDefault="00262689">
      <w:pPr>
        <w:spacing w:line="360" w:lineRule="auto"/>
        <w:ind w:left="720" w:hanging="720"/>
        <w:jc w:val="both"/>
        <w:rPr>
          <w:rFonts w:ascii="Arial" w:hAnsi="Arial"/>
          <w:rtl/>
        </w:rPr>
      </w:pPr>
      <w:r w:rsidRPr="00262689">
        <w:rPr>
          <w:rFonts w:ascii="Arial" w:hAnsi="Arial" w:hint="cs"/>
          <w:rtl/>
        </w:rPr>
        <w:t>1.</w:t>
      </w:r>
      <w:r w:rsidRPr="00262689">
        <w:rPr>
          <w:rFonts w:ascii="Arial" w:hAnsi="Arial" w:hint="cs"/>
          <w:rtl/>
        </w:rPr>
        <w:tab/>
      </w:r>
      <w:bookmarkStart w:id="4" w:name="ABSTRACT_START"/>
      <w:bookmarkEnd w:id="4"/>
      <w:r w:rsidRPr="00262689">
        <w:rPr>
          <w:rFonts w:ascii="Arial" w:hAnsi="Arial" w:hint="cs"/>
          <w:rtl/>
        </w:rPr>
        <w:t xml:space="preserve">הנאשם הורשע על פי הודאתו בעובדות כתב האישום המתוקן בביצוען של העבירות הבאות: החזקת סם שלא לצריכה עצמית לפי </w:t>
      </w:r>
      <w:hyperlink r:id="rId13" w:history="1">
        <w:r w:rsidR="00B24449" w:rsidRPr="00B24449">
          <w:rPr>
            <w:rFonts w:ascii="Arial" w:hAnsi="Arial"/>
            <w:color w:val="0000FF"/>
            <w:u w:val="single"/>
            <w:rtl/>
          </w:rPr>
          <w:t>סעיפים 7(א)</w:t>
        </w:r>
      </w:hyperlink>
      <w:r w:rsidRPr="00262689">
        <w:rPr>
          <w:rFonts w:ascii="Arial" w:hAnsi="Arial" w:hint="cs"/>
          <w:rtl/>
        </w:rPr>
        <w:t xml:space="preserve"> ו-</w:t>
      </w:r>
      <w:hyperlink r:id="rId14" w:history="1">
        <w:r w:rsidR="00B24449" w:rsidRPr="00B24449">
          <w:rPr>
            <w:rFonts w:ascii="Arial" w:hAnsi="Arial"/>
            <w:color w:val="0000FF"/>
            <w:u w:val="single"/>
            <w:rtl/>
          </w:rPr>
          <w:t>7(ג)</w:t>
        </w:r>
      </w:hyperlink>
      <w:r w:rsidRPr="00262689">
        <w:rPr>
          <w:rFonts w:ascii="Arial" w:hAnsi="Arial" w:hint="cs"/>
          <w:rtl/>
        </w:rPr>
        <w:t xml:space="preserve"> רישא ל</w:t>
      </w:r>
      <w:hyperlink r:id="rId15" w:history="1">
        <w:r w:rsidRPr="00262689">
          <w:rPr>
            <w:rFonts w:ascii="Arial" w:hAnsi="Arial"/>
            <w:color w:val="0000FF"/>
            <w:u w:val="single"/>
            <w:rtl/>
          </w:rPr>
          <w:t>פקודת הסמים המסוכנים</w:t>
        </w:r>
      </w:hyperlink>
      <w:r w:rsidRPr="00262689">
        <w:rPr>
          <w:rFonts w:ascii="Arial" w:hAnsi="Arial" w:hint="cs"/>
          <w:rtl/>
        </w:rPr>
        <w:t xml:space="preserve"> [נוסח חדש] התשל"ג </w:t>
      </w:r>
      <w:r w:rsidRPr="00262689">
        <w:rPr>
          <w:rFonts w:ascii="Arial" w:hAnsi="Arial"/>
          <w:rtl/>
        </w:rPr>
        <w:t>–</w:t>
      </w:r>
      <w:r w:rsidRPr="00262689">
        <w:rPr>
          <w:rFonts w:ascii="Arial" w:hAnsi="Arial" w:hint="cs"/>
          <w:rtl/>
        </w:rPr>
        <w:t xml:space="preserve"> 1973 (להלן: </w:t>
      </w:r>
      <w:r w:rsidRPr="00262689">
        <w:rPr>
          <w:rFonts w:ascii="Arial" w:hAnsi="Arial" w:hint="cs"/>
          <w:b/>
          <w:bCs/>
          <w:rtl/>
        </w:rPr>
        <w:t>פקודת הסמים המסוכנים</w:t>
      </w:r>
      <w:r w:rsidRPr="00262689">
        <w:rPr>
          <w:rFonts w:ascii="Arial" w:hAnsi="Arial" w:hint="cs"/>
          <w:rtl/>
        </w:rPr>
        <w:t xml:space="preserve">), וכן עבירה של החזקת כלים המשמשים להכנת סם מסוכן לפי </w:t>
      </w:r>
      <w:hyperlink r:id="rId16" w:history="1">
        <w:r w:rsidR="00B24449" w:rsidRPr="00B24449">
          <w:rPr>
            <w:rFonts w:ascii="Arial" w:hAnsi="Arial"/>
            <w:color w:val="0000FF"/>
            <w:u w:val="single"/>
            <w:rtl/>
          </w:rPr>
          <w:t>סעיף 10</w:t>
        </w:r>
      </w:hyperlink>
      <w:r w:rsidRPr="00262689">
        <w:rPr>
          <w:rFonts w:ascii="Arial" w:hAnsi="Arial" w:hint="cs"/>
          <w:rtl/>
        </w:rPr>
        <w:t xml:space="preserve"> רישא לפקודת הסמים המסוכנים</w:t>
      </w:r>
      <w:bookmarkStart w:id="5" w:name="ABSTRACT_END"/>
      <w:bookmarkEnd w:id="5"/>
      <w:r w:rsidRPr="00262689">
        <w:rPr>
          <w:rFonts w:ascii="Arial" w:hAnsi="Arial" w:hint="cs"/>
          <w:rtl/>
        </w:rPr>
        <w:t xml:space="preserve">. </w:t>
      </w:r>
    </w:p>
    <w:p w14:paraId="08237466" w14:textId="77777777" w:rsidR="006D1A70" w:rsidRPr="00262689" w:rsidRDefault="006D1A70">
      <w:pPr>
        <w:spacing w:line="360" w:lineRule="auto"/>
        <w:jc w:val="both"/>
        <w:rPr>
          <w:rFonts w:ascii="Arial" w:hAnsi="Arial"/>
          <w:rtl/>
        </w:rPr>
      </w:pPr>
    </w:p>
    <w:p w14:paraId="53352999" w14:textId="77777777" w:rsidR="006D1A70" w:rsidRPr="00262689" w:rsidRDefault="00262689">
      <w:pPr>
        <w:spacing w:line="360" w:lineRule="auto"/>
        <w:ind w:left="720" w:hanging="720"/>
        <w:jc w:val="both"/>
        <w:rPr>
          <w:rFonts w:ascii="Arial" w:hAnsi="Arial"/>
          <w:rtl/>
        </w:rPr>
      </w:pPr>
      <w:r w:rsidRPr="00262689">
        <w:rPr>
          <w:rFonts w:ascii="Arial" w:hAnsi="Arial" w:hint="cs"/>
          <w:rtl/>
        </w:rPr>
        <w:t>2.</w:t>
      </w:r>
      <w:r w:rsidRPr="00262689">
        <w:rPr>
          <w:rFonts w:ascii="Arial" w:hAnsi="Arial" w:hint="cs"/>
          <w:rtl/>
        </w:rPr>
        <w:tab/>
        <w:t>על פי עובדות כתב האישום ביום 10.4.13 בשעה 10:30 או בסמוך לכך, החזיק הנאשם בדירתו שבתחומי העיר לוד, סמים מסוכנים שלא לצריכתו העצמית על פי הפירוט שלהלן:</w:t>
      </w:r>
    </w:p>
    <w:p w14:paraId="3989A36E" w14:textId="77777777" w:rsidR="006D1A70" w:rsidRPr="00262689" w:rsidRDefault="006D1A70">
      <w:pPr>
        <w:spacing w:line="360" w:lineRule="auto"/>
        <w:ind w:left="720" w:hanging="720"/>
        <w:jc w:val="both"/>
        <w:rPr>
          <w:rFonts w:ascii="Arial" w:hAnsi="Arial"/>
          <w:rtl/>
        </w:rPr>
      </w:pPr>
    </w:p>
    <w:p w14:paraId="704F8C6C" w14:textId="77777777" w:rsidR="006D1A70" w:rsidRPr="00262689" w:rsidRDefault="00262689">
      <w:pPr>
        <w:spacing w:line="360" w:lineRule="auto"/>
        <w:ind w:left="1440" w:hanging="720"/>
        <w:jc w:val="both"/>
        <w:rPr>
          <w:rFonts w:ascii="Arial" w:hAnsi="Arial"/>
          <w:rtl/>
        </w:rPr>
      </w:pPr>
      <w:r w:rsidRPr="00262689">
        <w:rPr>
          <w:rFonts w:ascii="Arial" w:hAnsi="Arial" w:hint="cs"/>
          <w:rtl/>
        </w:rPr>
        <w:t>א.</w:t>
      </w:r>
      <w:r w:rsidRPr="00262689">
        <w:rPr>
          <w:rFonts w:ascii="Arial" w:hAnsi="Arial" w:hint="cs"/>
          <w:rtl/>
        </w:rPr>
        <w:tab/>
        <w:t xml:space="preserve">סם מסוג חשיש במשקל 5.43 גרם נטו כשהוא עטוף בשקית. הסם הוחזק בקופסא במגירה בשידה בחדר השינה. </w:t>
      </w:r>
    </w:p>
    <w:p w14:paraId="36CB06CB" w14:textId="77777777" w:rsidR="006D1A70" w:rsidRPr="00262689" w:rsidRDefault="006D1A70">
      <w:pPr>
        <w:spacing w:line="360" w:lineRule="auto"/>
        <w:ind w:left="720" w:hanging="720"/>
        <w:jc w:val="both"/>
        <w:rPr>
          <w:rFonts w:ascii="Arial" w:hAnsi="Arial"/>
          <w:rtl/>
        </w:rPr>
      </w:pPr>
    </w:p>
    <w:p w14:paraId="25D06174" w14:textId="77777777" w:rsidR="006D1A70" w:rsidRPr="00262689" w:rsidRDefault="00262689">
      <w:pPr>
        <w:spacing w:line="360" w:lineRule="auto"/>
        <w:ind w:left="1440" w:hanging="720"/>
        <w:jc w:val="both"/>
        <w:rPr>
          <w:rFonts w:ascii="Arial" w:hAnsi="Arial"/>
          <w:rtl/>
        </w:rPr>
      </w:pPr>
      <w:r w:rsidRPr="00262689">
        <w:rPr>
          <w:rFonts w:ascii="Arial" w:hAnsi="Arial" w:hint="cs"/>
          <w:rtl/>
        </w:rPr>
        <w:t>ב.</w:t>
      </w:r>
      <w:r w:rsidRPr="00262689">
        <w:rPr>
          <w:rFonts w:ascii="Arial" w:hAnsi="Arial" w:hint="cs"/>
          <w:rtl/>
        </w:rPr>
        <w:tab/>
        <w:t xml:space="preserve">סם מסוג הרואין במשקל 30.95 גרם עטוף בשקית שקופה. הסם הוחזק בקופסא שחורה על השולחן בסמוך לכניסה למטבח (להלן: </w:t>
      </w:r>
      <w:r w:rsidRPr="00262689">
        <w:rPr>
          <w:rFonts w:ascii="Arial" w:hAnsi="Arial" w:hint="cs"/>
          <w:b/>
          <w:bCs/>
          <w:rtl/>
        </w:rPr>
        <w:t>הקופסא</w:t>
      </w:r>
      <w:r w:rsidRPr="00262689">
        <w:rPr>
          <w:rFonts w:ascii="Arial" w:hAnsi="Arial" w:hint="cs"/>
          <w:rtl/>
        </w:rPr>
        <w:t xml:space="preserve">). </w:t>
      </w:r>
    </w:p>
    <w:p w14:paraId="46377276" w14:textId="77777777" w:rsidR="006D1A70" w:rsidRPr="00262689" w:rsidRDefault="006D1A70">
      <w:pPr>
        <w:spacing w:line="360" w:lineRule="auto"/>
        <w:ind w:left="720" w:hanging="720"/>
        <w:jc w:val="both"/>
        <w:rPr>
          <w:rFonts w:ascii="Arial" w:hAnsi="Arial"/>
          <w:rtl/>
        </w:rPr>
      </w:pPr>
    </w:p>
    <w:p w14:paraId="582EF21B" w14:textId="77777777" w:rsidR="006D1A70" w:rsidRPr="00262689" w:rsidRDefault="00262689">
      <w:pPr>
        <w:spacing w:line="360" w:lineRule="auto"/>
        <w:ind w:left="1440" w:hanging="720"/>
        <w:jc w:val="both"/>
        <w:rPr>
          <w:rFonts w:ascii="Arial" w:hAnsi="Arial"/>
          <w:rtl/>
        </w:rPr>
      </w:pPr>
      <w:r w:rsidRPr="00262689">
        <w:rPr>
          <w:rFonts w:ascii="Arial" w:hAnsi="Arial" w:hint="cs"/>
          <w:rtl/>
        </w:rPr>
        <w:t>ג.</w:t>
      </w:r>
      <w:r w:rsidRPr="00262689">
        <w:rPr>
          <w:rFonts w:ascii="Arial" w:hAnsi="Arial" w:hint="cs"/>
          <w:rtl/>
        </w:rPr>
        <w:tab/>
        <w:t xml:space="preserve">סם מסוג הרואין עטוף בשקית שקופה, וזאת במשקל 65.91 גרם. את הסם החזיק בקופסא. </w:t>
      </w:r>
    </w:p>
    <w:p w14:paraId="1C0ADC76" w14:textId="77777777" w:rsidR="006D1A70" w:rsidRPr="00262689" w:rsidRDefault="006D1A70">
      <w:pPr>
        <w:spacing w:line="360" w:lineRule="auto"/>
        <w:ind w:left="720" w:hanging="720"/>
        <w:jc w:val="both"/>
        <w:rPr>
          <w:rFonts w:ascii="Arial" w:hAnsi="Arial"/>
          <w:rtl/>
        </w:rPr>
      </w:pPr>
    </w:p>
    <w:p w14:paraId="67B86EDC" w14:textId="77777777" w:rsidR="006D1A70" w:rsidRPr="00262689" w:rsidRDefault="00262689">
      <w:pPr>
        <w:spacing w:line="360" w:lineRule="auto"/>
        <w:ind w:left="1440" w:hanging="720"/>
        <w:jc w:val="both"/>
        <w:rPr>
          <w:rFonts w:ascii="Arial" w:hAnsi="Arial"/>
          <w:rtl/>
        </w:rPr>
      </w:pPr>
      <w:r w:rsidRPr="00262689">
        <w:rPr>
          <w:rFonts w:ascii="Arial" w:hAnsi="Arial" w:hint="cs"/>
          <w:rtl/>
        </w:rPr>
        <w:t>ד.</w:t>
      </w:r>
      <w:r w:rsidRPr="00262689">
        <w:rPr>
          <w:rFonts w:ascii="Arial" w:hAnsi="Arial" w:hint="cs"/>
          <w:rtl/>
        </w:rPr>
        <w:tab/>
        <w:t xml:space="preserve">סם מסוג חשיש, במשקל 405.97 גרם מחולק לאריזות ואשר הוחזקו ע"י הנאשם בקופסא. </w:t>
      </w:r>
    </w:p>
    <w:p w14:paraId="2981DF84" w14:textId="77777777" w:rsidR="006D1A70" w:rsidRPr="00262689" w:rsidRDefault="00262689">
      <w:pPr>
        <w:spacing w:line="360" w:lineRule="auto"/>
        <w:ind w:left="720" w:hanging="720"/>
        <w:jc w:val="both"/>
        <w:rPr>
          <w:rFonts w:ascii="Arial" w:hAnsi="Arial"/>
          <w:rtl/>
        </w:rPr>
      </w:pPr>
      <w:r w:rsidRPr="00262689">
        <w:rPr>
          <w:rFonts w:ascii="Arial" w:hAnsi="Arial" w:hint="cs"/>
          <w:rtl/>
        </w:rPr>
        <w:tab/>
      </w:r>
    </w:p>
    <w:p w14:paraId="76688C83" w14:textId="77777777" w:rsidR="006D1A70" w:rsidRPr="00262689" w:rsidRDefault="00262689">
      <w:pPr>
        <w:spacing w:line="360" w:lineRule="auto"/>
        <w:ind w:left="1440" w:hanging="720"/>
        <w:jc w:val="both"/>
        <w:rPr>
          <w:rFonts w:ascii="Arial" w:hAnsi="Arial"/>
          <w:rtl/>
        </w:rPr>
      </w:pPr>
      <w:r w:rsidRPr="00262689">
        <w:rPr>
          <w:rFonts w:ascii="Arial" w:hAnsi="Arial" w:hint="cs"/>
          <w:rtl/>
        </w:rPr>
        <w:t>ה.</w:t>
      </w:r>
      <w:r w:rsidRPr="00262689">
        <w:rPr>
          <w:rFonts w:ascii="Arial" w:hAnsi="Arial" w:hint="cs"/>
          <w:rtl/>
        </w:rPr>
        <w:tab/>
        <w:t xml:space="preserve">סם מסוג קוקאין במשקל כולל של 6.4199 גרם, מחולק לשתי אריזות ואשר הוחזקו ע"י הנאשם בקופסא. </w:t>
      </w:r>
    </w:p>
    <w:p w14:paraId="23E37B52" w14:textId="77777777" w:rsidR="006D1A70" w:rsidRPr="00262689" w:rsidRDefault="006D1A70">
      <w:pPr>
        <w:spacing w:line="360" w:lineRule="auto"/>
        <w:ind w:left="720" w:hanging="720"/>
        <w:jc w:val="both"/>
        <w:rPr>
          <w:rFonts w:ascii="Arial" w:hAnsi="Arial"/>
          <w:rtl/>
        </w:rPr>
      </w:pPr>
    </w:p>
    <w:p w14:paraId="68FECAD5" w14:textId="77777777" w:rsidR="006D1A70" w:rsidRPr="00262689" w:rsidRDefault="00262689">
      <w:pPr>
        <w:spacing w:line="360" w:lineRule="auto"/>
        <w:ind w:left="720" w:hanging="720"/>
        <w:jc w:val="both"/>
        <w:rPr>
          <w:rFonts w:ascii="Arial" w:hAnsi="Arial"/>
          <w:rtl/>
        </w:rPr>
      </w:pPr>
      <w:r w:rsidRPr="00262689">
        <w:rPr>
          <w:rFonts w:ascii="Arial" w:hAnsi="Arial" w:hint="cs"/>
          <w:rtl/>
        </w:rPr>
        <w:t>3.</w:t>
      </w:r>
      <w:r w:rsidRPr="00262689">
        <w:rPr>
          <w:rFonts w:ascii="Arial" w:hAnsi="Arial" w:hint="cs"/>
          <w:rtl/>
        </w:rPr>
        <w:tab/>
        <w:t xml:space="preserve">בקופסא נמצאו גם שני סרגלים מברזל, סכין יפנית וקרש חיתוך ועליהם שרידי סם מסוג חשיש. כמו  כן, נמצאו כלים נוספים ביניהם משקל אלקטרוני וכפית מברזל עליה נמצאו שרידי הרואין המשמשים כלים להכנת סם מסוכן. כמו כן, באותו מועד, הנאשם החזיק בעסק שנקרא "אינטרנט קפה" שבתחומי העיר לוד, בכיס מעיל שהיה מונח על כיסא ליד הקופה מאחורי דלפק, סם מסוכן מסוג חשיש במשקל 4.62 גרם נטו. </w:t>
      </w:r>
    </w:p>
    <w:p w14:paraId="11B8499D" w14:textId="77777777" w:rsidR="006D1A70" w:rsidRPr="00262689" w:rsidRDefault="006D1A70">
      <w:pPr>
        <w:spacing w:line="360" w:lineRule="auto"/>
        <w:ind w:left="720" w:hanging="720"/>
        <w:jc w:val="both"/>
        <w:rPr>
          <w:rFonts w:ascii="Arial" w:hAnsi="Arial"/>
          <w:rtl/>
        </w:rPr>
      </w:pPr>
    </w:p>
    <w:p w14:paraId="65ECC5A7" w14:textId="77777777" w:rsidR="006D1A70" w:rsidRPr="00262689" w:rsidRDefault="00262689">
      <w:pPr>
        <w:spacing w:line="360" w:lineRule="auto"/>
        <w:jc w:val="both"/>
        <w:rPr>
          <w:rFonts w:ascii="Arial" w:hAnsi="Arial"/>
          <w:b/>
          <w:bCs/>
          <w:sz w:val="28"/>
          <w:szCs w:val="28"/>
          <w:rtl/>
        </w:rPr>
      </w:pPr>
      <w:r w:rsidRPr="00262689">
        <w:rPr>
          <w:rFonts w:ascii="Arial" w:hAnsi="Arial" w:hint="cs"/>
          <w:b/>
          <w:bCs/>
          <w:sz w:val="28"/>
          <w:szCs w:val="28"/>
          <w:rtl/>
        </w:rPr>
        <w:t>עברו הפלילי של הנאשם</w:t>
      </w:r>
    </w:p>
    <w:p w14:paraId="47678BA8" w14:textId="77777777" w:rsidR="006D1A70" w:rsidRPr="00262689" w:rsidRDefault="006D1A70">
      <w:pPr>
        <w:spacing w:line="360" w:lineRule="auto"/>
        <w:jc w:val="both"/>
        <w:rPr>
          <w:rFonts w:ascii="Arial" w:hAnsi="Arial"/>
          <w:rtl/>
        </w:rPr>
      </w:pPr>
    </w:p>
    <w:p w14:paraId="6A658CC3" w14:textId="77777777" w:rsidR="006D1A70" w:rsidRPr="00262689" w:rsidRDefault="00262689">
      <w:pPr>
        <w:spacing w:line="360" w:lineRule="auto"/>
        <w:ind w:left="720" w:hanging="720"/>
        <w:jc w:val="both"/>
        <w:rPr>
          <w:rFonts w:ascii="Arial" w:hAnsi="Arial"/>
          <w:rtl/>
        </w:rPr>
      </w:pPr>
      <w:r w:rsidRPr="00262689">
        <w:rPr>
          <w:rFonts w:ascii="Arial" w:hAnsi="Arial" w:hint="cs"/>
          <w:rtl/>
        </w:rPr>
        <w:t>4.</w:t>
      </w:r>
      <w:r w:rsidRPr="00262689">
        <w:rPr>
          <w:rFonts w:ascii="Arial" w:hAnsi="Arial" w:hint="cs"/>
          <w:rtl/>
        </w:rPr>
        <w:tab/>
        <w:t>לחובתו של הנאשם חמש הרשעות קודמות וזאת בין השנים 2000 ועד 2011. שתי הרשעותיו האחרונות הינן בתחום הסמים ואשר בגינן תלויים ועומדים כנגדו שני מאסרים מותנים שהינם ברי הפעלה במקרה שבפני:</w:t>
      </w:r>
    </w:p>
    <w:p w14:paraId="54D601C9" w14:textId="77777777" w:rsidR="006D1A70" w:rsidRPr="00262689" w:rsidRDefault="006D1A70">
      <w:pPr>
        <w:spacing w:line="360" w:lineRule="auto"/>
        <w:jc w:val="both"/>
        <w:rPr>
          <w:rFonts w:ascii="Arial" w:hAnsi="Arial"/>
          <w:rtl/>
        </w:rPr>
      </w:pPr>
    </w:p>
    <w:p w14:paraId="310F59E8" w14:textId="77777777" w:rsidR="006D1A70" w:rsidRPr="00262689" w:rsidRDefault="00262689">
      <w:pPr>
        <w:spacing w:line="360" w:lineRule="auto"/>
        <w:ind w:firstLine="720"/>
        <w:jc w:val="both"/>
        <w:rPr>
          <w:rFonts w:ascii="Arial" w:hAnsi="Arial"/>
          <w:rtl/>
        </w:rPr>
      </w:pPr>
      <w:r w:rsidRPr="00262689">
        <w:rPr>
          <w:rFonts w:ascii="Arial" w:hAnsi="Arial" w:hint="cs"/>
          <w:rtl/>
        </w:rPr>
        <w:t>א.</w:t>
      </w:r>
      <w:r w:rsidRPr="00262689">
        <w:rPr>
          <w:rFonts w:ascii="Arial" w:hAnsi="Arial" w:hint="cs"/>
          <w:rtl/>
        </w:rPr>
        <w:tab/>
        <w:t xml:space="preserve">תשעה חודשים מ-ת"פ 3224/08 של בית משפט השלום ברמלה, מיום 4.2.10. </w:t>
      </w:r>
    </w:p>
    <w:p w14:paraId="34F8E39C" w14:textId="77777777" w:rsidR="006D1A70" w:rsidRPr="00262689" w:rsidRDefault="006D1A70">
      <w:pPr>
        <w:spacing w:line="360" w:lineRule="auto"/>
        <w:ind w:firstLine="720"/>
        <w:jc w:val="both"/>
        <w:rPr>
          <w:rFonts w:ascii="Arial" w:hAnsi="Arial"/>
          <w:rtl/>
        </w:rPr>
      </w:pPr>
    </w:p>
    <w:p w14:paraId="4B40B8B4" w14:textId="77777777" w:rsidR="006D1A70" w:rsidRPr="00262689" w:rsidRDefault="00262689">
      <w:pPr>
        <w:spacing w:line="360" w:lineRule="auto"/>
        <w:ind w:left="1440" w:hanging="720"/>
        <w:jc w:val="both"/>
        <w:rPr>
          <w:rFonts w:ascii="Arial" w:hAnsi="Arial"/>
          <w:rtl/>
        </w:rPr>
      </w:pPr>
      <w:r w:rsidRPr="00262689">
        <w:rPr>
          <w:rFonts w:ascii="Arial" w:hAnsi="Arial" w:hint="cs"/>
          <w:rtl/>
        </w:rPr>
        <w:t>ב.</w:t>
      </w:r>
      <w:r w:rsidRPr="00262689">
        <w:rPr>
          <w:rFonts w:ascii="Arial" w:hAnsi="Arial" w:hint="cs"/>
          <w:rtl/>
        </w:rPr>
        <w:tab/>
        <w:t>חמשיה חודשים מ-</w:t>
      </w:r>
      <w:hyperlink r:id="rId17" w:history="1">
        <w:r w:rsidRPr="00262689">
          <w:rPr>
            <w:rFonts w:ascii="Arial" w:hAnsi="Arial"/>
            <w:color w:val="0000FF"/>
            <w:u w:val="single"/>
            <w:rtl/>
          </w:rPr>
          <w:t>ת"פ 19137-11-10</w:t>
        </w:r>
      </w:hyperlink>
      <w:r w:rsidRPr="00262689">
        <w:rPr>
          <w:rFonts w:ascii="Arial" w:hAnsi="Arial" w:hint="cs"/>
          <w:rtl/>
        </w:rPr>
        <w:t xml:space="preserve"> של בית משפט השלום בראשון לציון מיום 10.10.11. </w:t>
      </w:r>
    </w:p>
    <w:p w14:paraId="0CFAB3DA" w14:textId="77777777" w:rsidR="006D1A70" w:rsidRPr="00262689" w:rsidRDefault="006D1A70">
      <w:pPr>
        <w:spacing w:line="360" w:lineRule="auto"/>
        <w:jc w:val="both"/>
        <w:rPr>
          <w:rFonts w:ascii="Arial" w:hAnsi="Arial"/>
          <w:rtl/>
        </w:rPr>
      </w:pPr>
    </w:p>
    <w:p w14:paraId="08D2593D" w14:textId="77777777" w:rsidR="006D1A70" w:rsidRPr="00262689" w:rsidRDefault="00262689">
      <w:pPr>
        <w:spacing w:line="360" w:lineRule="auto"/>
        <w:jc w:val="both"/>
        <w:rPr>
          <w:rFonts w:ascii="Arial" w:hAnsi="Arial"/>
          <w:b/>
          <w:bCs/>
          <w:sz w:val="28"/>
          <w:szCs w:val="28"/>
          <w:rtl/>
        </w:rPr>
      </w:pPr>
      <w:r w:rsidRPr="00262689">
        <w:rPr>
          <w:rFonts w:ascii="Arial" w:hAnsi="Arial" w:hint="cs"/>
          <w:b/>
          <w:bCs/>
          <w:sz w:val="28"/>
          <w:szCs w:val="28"/>
          <w:rtl/>
        </w:rPr>
        <w:t xml:space="preserve">תסקירי שירות המבחן </w:t>
      </w:r>
    </w:p>
    <w:p w14:paraId="08B61EA1" w14:textId="77777777" w:rsidR="006D1A70" w:rsidRPr="00262689" w:rsidRDefault="006D1A70">
      <w:pPr>
        <w:spacing w:line="360" w:lineRule="auto"/>
        <w:jc w:val="both"/>
        <w:rPr>
          <w:rFonts w:ascii="Arial" w:hAnsi="Arial"/>
          <w:rtl/>
        </w:rPr>
      </w:pPr>
    </w:p>
    <w:p w14:paraId="4DC1B312" w14:textId="77777777" w:rsidR="006D1A70" w:rsidRPr="00262689" w:rsidRDefault="00262689">
      <w:pPr>
        <w:spacing w:line="360" w:lineRule="auto"/>
        <w:ind w:left="720" w:hanging="720"/>
        <w:jc w:val="both"/>
        <w:rPr>
          <w:rFonts w:ascii="Arial" w:hAnsi="Arial"/>
          <w:rtl/>
        </w:rPr>
      </w:pPr>
      <w:r w:rsidRPr="00262689">
        <w:rPr>
          <w:rFonts w:ascii="Arial" w:hAnsi="Arial" w:hint="cs"/>
          <w:rtl/>
        </w:rPr>
        <w:t>5.</w:t>
      </w:r>
      <w:r w:rsidRPr="00262689">
        <w:rPr>
          <w:rFonts w:ascii="Arial" w:hAnsi="Arial" w:hint="cs"/>
          <w:rtl/>
        </w:rPr>
        <w:tab/>
        <w:t xml:space="preserve">התקבלו שלושה תסקירים משירות המבחן בעניינו של הנאשם. נביא את עיקרי הדברים בתמצית: </w:t>
      </w:r>
    </w:p>
    <w:p w14:paraId="1AFF964E" w14:textId="77777777" w:rsidR="006D1A70" w:rsidRPr="00262689" w:rsidRDefault="006D1A70">
      <w:pPr>
        <w:spacing w:line="360" w:lineRule="auto"/>
        <w:jc w:val="both"/>
        <w:rPr>
          <w:rFonts w:ascii="Arial" w:hAnsi="Arial"/>
          <w:rtl/>
        </w:rPr>
      </w:pPr>
    </w:p>
    <w:p w14:paraId="5A35DCDD" w14:textId="77777777" w:rsidR="006D1A70" w:rsidRPr="00262689" w:rsidRDefault="00262689">
      <w:pPr>
        <w:spacing w:line="360" w:lineRule="auto"/>
        <w:ind w:left="1440" w:hanging="720"/>
        <w:jc w:val="both"/>
        <w:rPr>
          <w:rFonts w:ascii="Arial" w:hAnsi="Arial"/>
          <w:rtl/>
        </w:rPr>
      </w:pPr>
      <w:r w:rsidRPr="00262689">
        <w:rPr>
          <w:rFonts w:ascii="Arial" w:hAnsi="Arial" w:hint="cs"/>
          <w:rtl/>
        </w:rPr>
        <w:lastRenderedPageBreak/>
        <w:t xml:space="preserve">א. </w:t>
      </w:r>
      <w:r w:rsidRPr="00262689">
        <w:rPr>
          <w:rFonts w:ascii="Arial" w:hAnsi="Arial" w:hint="cs"/>
          <w:rtl/>
        </w:rPr>
        <w:tab/>
        <w:t xml:space="preserve">הנאשם בן 42 שנים ואב לשני ילדים מנישואים קודמים שהינם כיום בגיל ההתבגרות. בנוסף, מנישואיו הנוכחיים, הוא אב לילד ואשתו בהריון בילדם השני. </w:t>
      </w:r>
    </w:p>
    <w:p w14:paraId="5F6702C5" w14:textId="77777777" w:rsidR="006D1A70" w:rsidRPr="00262689" w:rsidRDefault="006D1A70">
      <w:pPr>
        <w:spacing w:line="360" w:lineRule="auto"/>
        <w:ind w:left="1440" w:hanging="720"/>
        <w:jc w:val="both"/>
        <w:rPr>
          <w:rFonts w:ascii="Arial" w:hAnsi="Arial"/>
          <w:rtl/>
        </w:rPr>
      </w:pPr>
    </w:p>
    <w:p w14:paraId="0DE21C68" w14:textId="77777777" w:rsidR="006D1A70" w:rsidRPr="00262689" w:rsidRDefault="00262689">
      <w:pPr>
        <w:spacing w:line="360" w:lineRule="auto"/>
        <w:ind w:left="1440" w:hanging="720"/>
        <w:jc w:val="both"/>
        <w:rPr>
          <w:rFonts w:ascii="Arial" w:hAnsi="Arial"/>
          <w:rtl/>
        </w:rPr>
      </w:pPr>
      <w:r w:rsidRPr="00262689">
        <w:rPr>
          <w:rFonts w:ascii="Arial" w:hAnsi="Arial" w:hint="cs"/>
          <w:rtl/>
        </w:rPr>
        <w:t>ב.</w:t>
      </w:r>
      <w:r w:rsidRPr="00262689">
        <w:rPr>
          <w:rFonts w:ascii="Arial" w:hAnsi="Arial" w:hint="cs"/>
          <w:rtl/>
        </w:rPr>
        <w:tab/>
        <w:t xml:space="preserve">הנאשם לאורך מספר רב של שנים ניהל אורח חיים המאופיין בהתמכרות לסמים ולהימורים וצבר חוב משמעותי לגורמים שונים ב-"שוק האפור" עקב התמכרותו להימורים. </w:t>
      </w:r>
    </w:p>
    <w:p w14:paraId="36687748" w14:textId="77777777" w:rsidR="006D1A70" w:rsidRPr="00262689" w:rsidRDefault="006D1A70">
      <w:pPr>
        <w:spacing w:line="360" w:lineRule="auto"/>
        <w:jc w:val="both"/>
        <w:rPr>
          <w:rFonts w:ascii="Arial" w:hAnsi="Arial"/>
          <w:rtl/>
        </w:rPr>
      </w:pPr>
    </w:p>
    <w:p w14:paraId="60B4D328" w14:textId="77777777" w:rsidR="006D1A70" w:rsidRPr="00262689" w:rsidRDefault="00262689">
      <w:pPr>
        <w:spacing w:line="360" w:lineRule="auto"/>
        <w:ind w:left="1440" w:hanging="720"/>
        <w:jc w:val="both"/>
        <w:rPr>
          <w:rFonts w:ascii="Arial" w:hAnsi="Arial"/>
          <w:rtl/>
        </w:rPr>
      </w:pPr>
      <w:r w:rsidRPr="00262689">
        <w:rPr>
          <w:rFonts w:ascii="Arial" w:hAnsi="Arial" w:hint="cs"/>
          <w:rtl/>
        </w:rPr>
        <w:t>ג.</w:t>
      </w:r>
      <w:r w:rsidRPr="00262689">
        <w:rPr>
          <w:rFonts w:ascii="Arial" w:hAnsi="Arial" w:hint="cs"/>
          <w:rtl/>
        </w:rPr>
        <w:tab/>
        <w:t xml:space="preserve">במסגרת ההליך הנוכחי הנאשם שוחרר ממעצרו ושולב במרכז לגמילה מסמים. הנאשם עבר את הליך הגמילה בהצלחה ושומר כיום על ניקיונו מסמים. </w:t>
      </w:r>
    </w:p>
    <w:p w14:paraId="141582BF" w14:textId="77777777" w:rsidR="006D1A70" w:rsidRPr="00262689" w:rsidRDefault="006D1A70">
      <w:pPr>
        <w:spacing w:line="360" w:lineRule="auto"/>
        <w:ind w:left="1440" w:hanging="720"/>
        <w:jc w:val="both"/>
        <w:rPr>
          <w:rFonts w:ascii="Arial" w:hAnsi="Arial"/>
          <w:rtl/>
        </w:rPr>
      </w:pPr>
    </w:p>
    <w:p w14:paraId="18458B5E" w14:textId="77777777" w:rsidR="006D1A70" w:rsidRPr="00262689" w:rsidRDefault="00262689">
      <w:pPr>
        <w:spacing w:line="360" w:lineRule="auto"/>
        <w:ind w:left="1440" w:hanging="720"/>
        <w:jc w:val="both"/>
        <w:rPr>
          <w:rFonts w:ascii="Arial" w:hAnsi="Arial"/>
          <w:rtl/>
        </w:rPr>
      </w:pPr>
      <w:r w:rsidRPr="00262689">
        <w:rPr>
          <w:rFonts w:ascii="Arial" w:hAnsi="Arial" w:hint="cs"/>
          <w:rtl/>
        </w:rPr>
        <w:t>ד.</w:t>
      </w:r>
      <w:r w:rsidRPr="00262689">
        <w:rPr>
          <w:rFonts w:ascii="Arial" w:hAnsi="Arial" w:hint="cs"/>
          <w:rtl/>
        </w:rPr>
        <w:tab/>
        <w:t xml:space="preserve">הנאשם שולב בעמותת "אפשר" לצורך גמילה מהימורים ואף הציג אישור שהינו ממשיך בהליך הטיפולי ולא היו לו מעידות של הימורים לא חוקיים. </w:t>
      </w:r>
    </w:p>
    <w:p w14:paraId="3F004E8B" w14:textId="77777777" w:rsidR="006D1A70" w:rsidRPr="00262689" w:rsidRDefault="006D1A70">
      <w:pPr>
        <w:spacing w:line="360" w:lineRule="auto"/>
        <w:ind w:left="1440" w:hanging="720"/>
        <w:jc w:val="both"/>
        <w:rPr>
          <w:rFonts w:ascii="Arial" w:hAnsi="Arial"/>
          <w:rtl/>
        </w:rPr>
      </w:pPr>
    </w:p>
    <w:p w14:paraId="09D20995" w14:textId="77777777" w:rsidR="006D1A70" w:rsidRPr="00262689" w:rsidRDefault="00262689">
      <w:pPr>
        <w:spacing w:line="360" w:lineRule="auto"/>
        <w:ind w:left="1440" w:hanging="720"/>
        <w:jc w:val="both"/>
        <w:rPr>
          <w:rFonts w:ascii="Arial" w:hAnsi="Arial"/>
          <w:rtl/>
        </w:rPr>
      </w:pPr>
      <w:r w:rsidRPr="00262689">
        <w:rPr>
          <w:rFonts w:ascii="Arial" w:hAnsi="Arial" w:hint="cs"/>
          <w:rtl/>
        </w:rPr>
        <w:t>ה.</w:t>
      </w:r>
      <w:r w:rsidRPr="00262689">
        <w:rPr>
          <w:rFonts w:ascii="Arial" w:hAnsi="Arial" w:hint="cs"/>
          <w:rtl/>
        </w:rPr>
        <w:tab/>
        <w:t xml:space="preserve">בסופו של יום, שירות המבחן המליץ על הארכת המאסר המותנה של תשעה חודשים, הפעלת המאסר המותנה של חמישה חודשים וריצויו בדרך של עבודות שירות וכן הטלת צו מבחן למשך שנה וחצי. </w:t>
      </w:r>
    </w:p>
    <w:p w14:paraId="59C65FDC" w14:textId="77777777" w:rsidR="006D1A70" w:rsidRPr="00262689" w:rsidRDefault="006D1A70">
      <w:pPr>
        <w:spacing w:line="360" w:lineRule="auto"/>
        <w:ind w:left="720" w:hanging="720"/>
        <w:jc w:val="both"/>
        <w:rPr>
          <w:rFonts w:ascii="Arial" w:hAnsi="Arial"/>
          <w:rtl/>
        </w:rPr>
      </w:pPr>
    </w:p>
    <w:p w14:paraId="2A5866BF" w14:textId="77777777" w:rsidR="006D1A70" w:rsidRPr="00262689" w:rsidRDefault="00262689">
      <w:pPr>
        <w:spacing w:line="360" w:lineRule="auto"/>
        <w:ind w:left="720" w:hanging="720"/>
        <w:jc w:val="both"/>
        <w:rPr>
          <w:rFonts w:ascii="Arial" w:hAnsi="Arial"/>
          <w:b/>
          <w:bCs/>
          <w:sz w:val="28"/>
          <w:szCs w:val="28"/>
          <w:rtl/>
        </w:rPr>
      </w:pPr>
      <w:r w:rsidRPr="00262689">
        <w:rPr>
          <w:rFonts w:ascii="Arial" w:hAnsi="Arial" w:hint="cs"/>
          <w:b/>
          <w:bCs/>
          <w:sz w:val="28"/>
          <w:szCs w:val="28"/>
          <w:rtl/>
        </w:rPr>
        <w:t>טענות הצדדים לעונש</w:t>
      </w:r>
    </w:p>
    <w:p w14:paraId="1C6A6F7A" w14:textId="77777777" w:rsidR="006D1A70" w:rsidRPr="00262689" w:rsidRDefault="006D1A70">
      <w:pPr>
        <w:spacing w:line="360" w:lineRule="auto"/>
        <w:ind w:left="720" w:hanging="720"/>
        <w:jc w:val="both"/>
        <w:rPr>
          <w:rFonts w:ascii="Arial" w:hAnsi="Arial"/>
          <w:rtl/>
        </w:rPr>
      </w:pPr>
    </w:p>
    <w:p w14:paraId="3A4356BD" w14:textId="77777777" w:rsidR="006D1A70" w:rsidRPr="00262689" w:rsidRDefault="00262689">
      <w:pPr>
        <w:spacing w:line="360" w:lineRule="auto"/>
        <w:ind w:left="720" w:hanging="720"/>
        <w:jc w:val="both"/>
        <w:rPr>
          <w:rFonts w:ascii="Arial" w:hAnsi="Arial"/>
          <w:rtl/>
        </w:rPr>
      </w:pPr>
      <w:r w:rsidRPr="00262689">
        <w:rPr>
          <w:rFonts w:ascii="Arial" w:hAnsi="Arial" w:hint="cs"/>
          <w:rtl/>
        </w:rPr>
        <w:t>6.</w:t>
      </w:r>
      <w:r w:rsidRPr="00262689">
        <w:rPr>
          <w:rFonts w:ascii="Arial" w:hAnsi="Arial" w:hint="cs"/>
          <w:rtl/>
        </w:rPr>
        <w:tab/>
        <w:t xml:space="preserve">המאשימה עמדה על החומרה הרבה שבביצוע עבירות סמים וזאת במיוחד לאור סוגי הסמים שהוחזקו והכמות הנכבדה שנתפסה של סמים מסוג הרואין, קוקאין וחשיש. כמו כן, הדגישה את עברו הפלילי של הנאשם והמאסרים המותנים שתלויים ועומדים כנגדו. לגבי ההליך השיקומי שאותו עבר הנאשם, באת כח המאשימה טענה שאין בהליך זה בכדי להצדיק סטייה ממתחם העונש ההולם שלטענתה נע בין 30 ל- 60 חודשי מאסר בפועל. לפיכך, המאשימה סבורה שדינו של הנאשם למאסר מאחורי סורג ובריח. </w:t>
      </w:r>
    </w:p>
    <w:p w14:paraId="44636C13" w14:textId="77777777" w:rsidR="006D1A70" w:rsidRPr="00262689" w:rsidRDefault="006D1A70">
      <w:pPr>
        <w:spacing w:line="360" w:lineRule="auto"/>
        <w:jc w:val="both"/>
        <w:rPr>
          <w:rFonts w:ascii="Arial" w:hAnsi="Arial"/>
          <w:rtl/>
        </w:rPr>
      </w:pPr>
    </w:p>
    <w:p w14:paraId="3535DF75" w14:textId="77777777" w:rsidR="006D1A70" w:rsidRPr="00262689" w:rsidRDefault="00262689">
      <w:pPr>
        <w:spacing w:line="360" w:lineRule="auto"/>
        <w:ind w:left="720" w:hanging="720"/>
        <w:jc w:val="both"/>
        <w:rPr>
          <w:rFonts w:ascii="Arial" w:hAnsi="Arial"/>
          <w:rtl/>
        </w:rPr>
      </w:pPr>
      <w:r w:rsidRPr="00262689">
        <w:rPr>
          <w:rFonts w:ascii="Arial" w:hAnsi="Arial" w:hint="cs"/>
          <w:rtl/>
        </w:rPr>
        <w:t>7.</w:t>
      </w:r>
      <w:r w:rsidRPr="00262689">
        <w:rPr>
          <w:rFonts w:ascii="Arial" w:hAnsi="Arial" w:hint="cs"/>
          <w:rtl/>
        </w:rPr>
        <w:tab/>
        <w:t>ב"כ הנאשם לא חלק על כך שמדיניות הענישה הנוהגת בעבירות שבוצעו ע"י הנאשם עניינה מאסר בפועל מאחורי סורג ובריח ולתקופה לא קצרה. עם זאת, טען כי בנסיבותיו של הנאשם, מן הראוי שבית משפט יסטה ממתחם העונש ההולם מטעמים של שיקום. הנאשם עבר הליך שיקומי בשני מסלולים מקבילים, הן מסלול ההתמכרות לסמים והן מסלול ההתמכרות להימורים. כמו כן, הדגיש שלמרות שהנאשם ניסה להיגמל מסמים בעבר, מעולם לא עבר הליך שיקומי אינטנסיבי ומשמעותי כמו זה שעבר במסגרת ההליך הנוכחי. לפיכך, עתר שלא להשית על הנאשם עונש מאסר מאחורי סורג ובריח וזאת על מנת שלא לגדוע את ההליכים הטיפוליים שעבר.</w:t>
      </w:r>
    </w:p>
    <w:p w14:paraId="6ECA5B13" w14:textId="77777777" w:rsidR="006D1A70" w:rsidRPr="00262689" w:rsidRDefault="006D1A70">
      <w:pPr>
        <w:spacing w:line="360" w:lineRule="auto"/>
        <w:jc w:val="both"/>
        <w:rPr>
          <w:rFonts w:ascii="Arial" w:hAnsi="Arial"/>
          <w:rtl/>
        </w:rPr>
      </w:pPr>
    </w:p>
    <w:p w14:paraId="6414E45B" w14:textId="77777777" w:rsidR="006D1A70" w:rsidRPr="00262689" w:rsidRDefault="00262689">
      <w:pPr>
        <w:spacing w:line="360" w:lineRule="auto"/>
        <w:jc w:val="both"/>
        <w:rPr>
          <w:rFonts w:ascii="Arial" w:hAnsi="Arial"/>
          <w:b/>
          <w:bCs/>
          <w:sz w:val="28"/>
          <w:szCs w:val="28"/>
          <w:rtl/>
        </w:rPr>
      </w:pPr>
      <w:r w:rsidRPr="00262689">
        <w:rPr>
          <w:rFonts w:ascii="Arial" w:hAnsi="Arial" w:hint="cs"/>
          <w:b/>
          <w:bCs/>
          <w:sz w:val="28"/>
          <w:szCs w:val="28"/>
          <w:rtl/>
        </w:rPr>
        <w:t>מתחם העונש ההולם</w:t>
      </w:r>
    </w:p>
    <w:p w14:paraId="10896C06" w14:textId="77777777" w:rsidR="006D1A70" w:rsidRPr="00262689" w:rsidRDefault="006D1A70">
      <w:pPr>
        <w:spacing w:line="360" w:lineRule="auto"/>
        <w:jc w:val="both"/>
        <w:rPr>
          <w:rFonts w:ascii="Arial" w:hAnsi="Arial"/>
          <w:rtl/>
        </w:rPr>
      </w:pPr>
    </w:p>
    <w:p w14:paraId="0301EA6A" w14:textId="77777777" w:rsidR="006D1A70" w:rsidRPr="00262689" w:rsidRDefault="00262689">
      <w:pPr>
        <w:spacing w:line="360" w:lineRule="auto"/>
        <w:ind w:left="720" w:hanging="720"/>
        <w:jc w:val="both"/>
        <w:rPr>
          <w:rFonts w:ascii="Arial" w:hAnsi="Arial"/>
          <w:rtl/>
        </w:rPr>
      </w:pPr>
      <w:r w:rsidRPr="00262689">
        <w:rPr>
          <w:rFonts w:ascii="Arial" w:hAnsi="Arial" w:hint="cs"/>
          <w:rtl/>
        </w:rPr>
        <w:t>8.</w:t>
      </w:r>
      <w:r w:rsidRPr="00262689">
        <w:rPr>
          <w:rFonts w:ascii="Arial" w:hAnsi="Arial" w:hint="cs"/>
          <w:rtl/>
        </w:rPr>
        <w:tab/>
        <w:t xml:space="preserve">על מנת ללמוד על מתחם העונש ההולם לעבירות נשוא כתב האישום, יש לתת את הדעת למדיניות הענישה הנוהגת בעבירות של החזקת סם שלא לצריכה עצמית, וזאת תוך שימת דגש על </w:t>
      </w:r>
      <w:r w:rsidRPr="00262689">
        <w:rPr>
          <w:rFonts w:ascii="Arial" w:hAnsi="Arial" w:hint="cs"/>
          <w:b/>
          <w:bCs/>
          <w:rtl/>
        </w:rPr>
        <w:t>סוגי</w:t>
      </w:r>
      <w:r w:rsidRPr="00262689">
        <w:rPr>
          <w:rFonts w:ascii="Arial" w:hAnsi="Arial" w:hint="cs"/>
          <w:rtl/>
        </w:rPr>
        <w:t xml:space="preserve"> הסמים שהוחזקו וכן </w:t>
      </w:r>
      <w:r w:rsidRPr="00262689">
        <w:rPr>
          <w:rFonts w:ascii="Arial" w:hAnsi="Arial" w:hint="cs"/>
          <w:b/>
          <w:bCs/>
          <w:rtl/>
        </w:rPr>
        <w:t>הכמות</w:t>
      </w:r>
      <w:r w:rsidRPr="00262689">
        <w:rPr>
          <w:rFonts w:ascii="Arial" w:hAnsi="Arial" w:hint="cs"/>
          <w:rtl/>
        </w:rPr>
        <w:t xml:space="preserve"> שהוחזקה לגבי כל סוג סם. סמים מסוג הרואין וקוקאין הוגדרו בפסיקה כסמים "קשים" ובעוד שסם מסוג חשיש הוגדר כסם "קל". אולם, לא ניתן להתעלם מהכמות הלא מבוטלת של  סם מסוג חשיש שהוחזקה. את הסמים מסוג קוקאין והרואין יש לראות תחת קטגוריה אחת וסך הכל הכמות שהוחזקה על ידי הנאשם שבפניי בקטגוריה זו היא כ- </w:t>
      </w:r>
      <w:r w:rsidRPr="00262689">
        <w:rPr>
          <w:rFonts w:ascii="Arial" w:hAnsi="Arial" w:hint="cs"/>
          <w:b/>
          <w:bCs/>
          <w:rtl/>
        </w:rPr>
        <w:t>102 גרם</w:t>
      </w:r>
      <w:r w:rsidRPr="00262689">
        <w:rPr>
          <w:rFonts w:ascii="Arial" w:hAnsi="Arial" w:hint="cs"/>
          <w:rtl/>
        </w:rPr>
        <w:t xml:space="preserve">. לכמות זו מתווספת כמות של </w:t>
      </w:r>
      <w:r w:rsidRPr="00262689">
        <w:rPr>
          <w:rFonts w:ascii="Arial" w:hAnsi="Arial" w:hint="cs"/>
          <w:b/>
          <w:bCs/>
          <w:rtl/>
        </w:rPr>
        <w:t>כ-415 גרם</w:t>
      </w:r>
      <w:r w:rsidRPr="00262689">
        <w:rPr>
          <w:rFonts w:ascii="Arial" w:hAnsi="Arial" w:hint="cs"/>
          <w:rtl/>
        </w:rPr>
        <w:t xml:space="preserve"> חשיש. בעיני, מתחם העונש ההולם שלו עתרה המאשימה, קרי, בין 30 ל-60 חודשי מאסר בפועל, וזאת לאירוע הכולל נשוא כתב האישום, הוא מתחם נכון ומתאים. להלן הפסיקה שהובילה אותי למסקנה שהמתחם האמור הוא המתחם הנכון, וזאת בדגש על סוג הסם (הירואין וקוקאין) והכמות (עשרות גרמים): </w:t>
      </w:r>
    </w:p>
    <w:p w14:paraId="7B8A9BE0" w14:textId="77777777" w:rsidR="006D1A70" w:rsidRPr="00262689" w:rsidRDefault="006D1A70">
      <w:pPr>
        <w:spacing w:line="360" w:lineRule="auto"/>
        <w:ind w:left="720" w:hanging="720"/>
        <w:jc w:val="both"/>
        <w:rPr>
          <w:rFonts w:ascii="Arial" w:hAnsi="Arial"/>
          <w:rtl/>
        </w:rPr>
      </w:pPr>
    </w:p>
    <w:p w14:paraId="0F8AE980" w14:textId="77777777" w:rsidR="006D1A70" w:rsidRPr="00262689" w:rsidRDefault="00262689">
      <w:pPr>
        <w:spacing w:line="360" w:lineRule="auto"/>
        <w:ind w:left="1440" w:hanging="720"/>
        <w:jc w:val="both"/>
        <w:rPr>
          <w:rFonts w:ascii="Arial" w:hAnsi="Arial"/>
          <w:rtl/>
        </w:rPr>
      </w:pPr>
      <w:r w:rsidRPr="00262689">
        <w:rPr>
          <w:rFonts w:ascii="Arial" w:hAnsi="Arial" w:hint="cs"/>
          <w:rtl/>
        </w:rPr>
        <w:t>א.</w:t>
      </w:r>
      <w:r w:rsidRPr="00262689">
        <w:rPr>
          <w:rFonts w:ascii="Arial" w:hAnsi="Arial" w:hint="cs"/>
          <w:rtl/>
        </w:rPr>
        <w:tab/>
      </w:r>
      <w:hyperlink r:id="rId18" w:history="1">
        <w:r w:rsidRPr="00262689">
          <w:rPr>
            <w:rFonts w:ascii="Arial" w:hAnsi="Arial"/>
            <w:color w:val="0000FF"/>
            <w:u w:val="single"/>
            <w:rtl/>
          </w:rPr>
          <w:t>ע"פ 3117/12</w:t>
        </w:r>
      </w:hyperlink>
      <w:r w:rsidRPr="00262689">
        <w:rPr>
          <w:rFonts w:ascii="Arial" w:hAnsi="Arial" w:hint="cs"/>
          <w:rtl/>
        </w:rPr>
        <w:t xml:space="preserve"> </w:t>
      </w:r>
      <w:r w:rsidRPr="00262689">
        <w:rPr>
          <w:rFonts w:ascii="Arial" w:hAnsi="Arial" w:hint="cs"/>
          <w:b/>
          <w:bCs/>
          <w:rtl/>
        </w:rPr>
        <w:t>אביב נ' מדינת ישראל</w:t>
      </w:r>
      <w:r w:rsidRPr="00262689">
        <w:rPr>
          <w:rFonts w:ascii="Arial" w:hAnsi="Arial" w:hint="cs"/>
          <w:rtl/>
        </w:rPr>
        <w:t xml:space="preserve"> [פורסם בנבו] (6.9.12). המערער מכר לסוכן משטרתי סם מסוכן מסוג קוקאין במשקל של 100 גרם ונדון לשלוש שנות מאסר בפועל, מאסר על תנאי וכן חולט רכב לטובת המדינה וכן סכום כסף של 20,000 ₪. ערעורו לבית המשפט העליון נדחה. </w:t>
      </w:r>
    </w:p>
    <w:p w14:paraId="5F2C8720" w14:textId="77777777" w:rsidR="006D1A70" w:rsidRPr="00262689" w:rsidRDefault="006D1A70">
      <w:pPr>
        <w:spacing w:line="360" w:lineRule="auto"/>
        <w:ind w:left="720" w:hanging="720"/>
        <w:jc w:val="both"/>
        <w:rPr>
          <w:rFonts w:ascii="Arial" w:hAnsi="Arial"/>
          <w:rtl/>
        </w:rPr>
      </w:pPr>
    </w:p>
    <w:p w14:paraId="4A48B63C" w14:textId="77777777" w:rsidR="006D1A70" w:rsidRPr="00262689" w:rsidRDefault="00262689">
      <w:pPr>
        <w:spacing w:line="360" w:lineRule="auto"/>
        <w:ind w:left="1440" w:hanging="720"/>
        <w:jc w:val="both"/>
        <w:rPr>
          <w:rFonts w:ascii="Arial" w:hAnsi="Arial"/>
          <w:rtl/>
        </w:rPr>
      </w:pPr>
      <w:r w:rsidRPr="00262689">
        <w:rPr>
          <w:rFonts w:ascii="Arial" w:hAnsi="Arial" w:hint="cs"/>
          <w:rtl/>
        </w:rPr>
        <w:t>ב.</w:t>
      </w:r>
      <w:r w:rsidRPr="00262689">
        <w:rPr>
          <w:rFonts w:ascii="Arial" w:hAnsi="Arial" w:hint="cs"/>
          <w:rtl/>
        </w:rPr>
        <w:tab/>
      </w:r>
      <w:hyperlink r:id="rId19" w:history="1">
        <w:r w:rsidRPr="00262689">
          <w:rPr>
            <w:rFonts w:ascii="Arial" w:hAnsi="Arial"/>
            <w:color w:val="0000FF"/>
            <w:u w:val="single"/>
            <w:rtl/>
          </w:rPr>
          <w:t>ע"פ 1905/12</w:t>
        </w:r>
      </w:hyperlink>
      <w:r w:rsidRPr="00262689">
        <w:rPr>
          <w:rFonts w:ascii="Arial" w:hAnsi="Arial" w:hint="cs"/>
          <w:rtl/>
        </w:rPr>
        <w:t xml:space="preserve"> </w:t>
      </w:r>
      <w:r w:rsidRPr="00262689">
        <w:rPr>
          <w:rFonts w:ascii="Arial" w:hAnsi="Arial" w:hint="cs"/>
          <w:b/>
          <w:bCs/>
          <w:rtl/>
        </w:rPr>
        <w:t>דהן נ' מדינת ישראל</w:t>
      </w:r>
      <w:r w:rsidRPr="00262689">
        <w:rPr>
          <w:rFonts w:ascii="Arial" w:hAnsi="Arial" w:hint="cs"/>
          <w:rtl/>
        </w:rPr>
        <w:t xml:space="preserve"> [פורסם בנבו] (8.11.12). המערער מכר לסוכן משטרתי סם במשקל של 100 גרם קוקאין. במועד אחר סייע לאחר למכור לסוכן 90 גרם קוקאין. המערער נדון ל-44 חודשי מאסר בפועל. ערעורו לבית המשפט העליון נדחה. </w:t>
      </w:r>
    </w:p>
    <w:p w14:paraId="6283ECF1" w14:textId="77777777" w:rsidR="006D1A70" w:rsidRPr="00262689" w:rsidRDefault="006D1A70">
      <w:pPr>
        <w:spacing w:line="360" w:lineRule="auto"/>
        <w:ind w:left="720" w:hanging="720"/>
        <w:jc w:val="both"/>
        <w:rPr>
          <w:rFonts w:ascii="Arial" w:hAnsi="Arial"/>
          <w:rtl/>
        </w:rPr>
      </w:pPr>
    </w:p>
    <w:p w14:paraId="7A25CEE3" w14:textId="77777777" w:rsidR="006D1A70" w:rsidRPr="00262689" w:rsidRDefault="00262689">
      <w:pPr>
        <w:spacing w:line="360" w:lineRule="auto"/>
        <w:ind w:left="1440" w:hanging="720"/>
        <w:jc w:val="both"/>
        <w:rPr>
          <w:rFonts w:ascii="Arial" w:hAnsi="Arial"/>
          <w:rtl/>
        </w:rPr>
      </w:pPr>
      <w:r w:rsidRPr="00262689">
        <w:rPr>
          <w:rFonts w:ascii="Arial" w:hAnsi="Arial" w:hint="cs"/>
          <w:rtl/>
        </w:rPr>
        <w:t>ג.</w:t>
      </w:r>
      <w:r w:rsidRPr="00262689">
        <w:rPr>
          <w:rFonts w:ascii="Arial" w:hAnsi="Arial" w:hint="cs"/>
          <w:rtl/>
        </w:rPr>
        <w:tab/>
      </w:r>
      <w:hyperlink r:id="rId20" w:history="1">
        <w:r w:rsidRPr="00262689">
          <w:rPr>
            <w:rFonts w:ascii="Arial" w:hAnsi="Arial"/>
            <w:color w:val="0000FF"/>
            <w:u w:val="single"/>
            <w:rtl/>
          </w:rPr>
          <w:t>ע"פ 354/14</w:t>
        </w:r>
      </w:hyperlink>
      <w:r w:rsidRPr="00262689">
        <w:rPr>
          <w:rFonts w:ascii="Arial" w:hAnsi="Arial" w:hint="cs"/>
          <w:rtl/>
        </w:rPr>
        <w:t xml:space="preserve"> </w:t>
      </w:r>
      <w:r w:rsidRPr="00262689">
        <w:rPr>
          <w:rFonts w:ascii="Arial" w:hAnsi="Arial" w:hint="cs"/>
          <w:b/>
          <w:bCs/>
          <w:rtl/>
        </w:rPr>
        <w:t>אלולידי נ' מדינת ישראל</w:t>
      </w:r>
      <w:r w:rsidRPr="00262689">
        <w:rPr>
          <w:rFonts w:ascii="Arial" w:hAnsi="Arial" w:hint="cs"/>
          <w:rtl/>
        </w:rPr>
        <w:t xml:space="preserve"> [פורסם בנבו] (1.7.14). המערער מכר לסוכן משטרתי 120 גרם הרואין. בית המשפט המחוזי בבאר שבע קבע שמתחם העונש ההולם נע בין 3 ל-5 שנות מאסר והשית עליו 3 שנות מאסר בפועל. ערעורו לבית המשפט העליון נדחה. </w:t>
      </w:r>
    </w:p>
    <w:p w14:paraId="177EC58A" w14:textId="77777777" w:rsidR="006D1A70" w:rsidRPr="00262689" w:rsidRDefault="006D1A70">
      <w:pPr>
        <w:spacing w:line="360" w:lineRule="auto"/>
        <w:ind w:left="720" w:hanging="720"/>
        <w:jc w:val="both"/>
        <w:rPr>
          <w:rFonts w:ascii="Arial" w:hAnsi="Arial"/>
          <w:rtl/>
        </w:rPr>
      </w:pPr>
    </w:p>
    <w:p w14:paraId="756D0856" w14:textId="77777777" w:rsidR="006D1A70" w:rsidRPr="00262689" w:rsidRDefault="00262689">
      <w:pPr>
        <w:spacing w:line="360" w:lineRule="auto"/>
        <w:ind w:left="1440" w:hanging="720"/>
        <w:jc w:val="both"/>
        <w:rPr>
          <w:rFonts w:ascii="Arial" w:hAnsi="Arial"/>
          <w:rtl/>
        </w:rPr>
      </w:pPr>
      <w:r w:rsidRPr="00262689">
        <w:rPr>
          <w:rFonts w:ascii="Arial" w:hAnsi="Arial" w:hint="cs"/>
          <w:rtl/>
        </w:rPr>
        <w:t>ד.</w:t>
      </w:r>
      <w:r w:rsidRPr="00262689">
        <w:rPr>
          <w:rFonts w:ascii="Arial" w:hAnsi="Arial" w:hint="cs"/>
          <w:rtl/>
        </w:rPr>
        <w:tab/>
      </w:r>
      <w:hyperlink r:id="rId21" w:history="1">
        <w:r w:rsidRPr="00262689">
          <w:rPr>
            <w:rFonts w:ascii="Arial" w:hAnsi="Arial"/>
            <w:color w:val="0000FF"/>
            <w:u w:val="single"/>
            <w:rtl/>
          </w:rPr>
          <w:t>ע"פ 810/11</w:t>
        </w:r>
      </w:hyperlink>
      <w:r w:rsidRPr="00262689">
        <w:rPr>
          <w:rFonts w:ascii="Arial" w:hAnsi="Arial" w:hint="cs"/>
          <w:rtl/>
        </w:rPr>
        <w:t xml:space="preserve"> </w:t>
      </w:r>
      <w:r w:rsidRPr="00262689">
        <w:rPr>
          <w:rFonts w:ascii="Arial" w:hAnsi="Arial" w:hint="cs"/>
          <w:b/>
          <w:bCs/>
          <w:rtl/>
        </w:rPr>
        <w:t>בורגרקר נ' מדינת ישראל</w:t>
      </w:r>
      <w:r w:rsidRPr="00262689">
        <w:rPr>
          <w:rFonts w:ascii="Arial" w:hAnsi="Arial" w:hint="cs"/>
          <w:rtl/>
        </w:rPr>
        <w:t xml:space="preserve"> [פורסם בנבו] (30.5.11). המערער החזיק 59.1 גרם הרואין והוטלו עליו 3 שנות מאסר בפועל. ערעורו לבית המשפט העליון נדחה. </w:t>
      </w:r>
    </w:p>
    <w:p w14:paraId="72E5B6D6" w14:textId="77777777" w:rsidR="006D1A70" w:rsidRPr="00262689" w:rsidRDefault="006D1A70">
      <w:pPr>
        <w:spacing w:line="360" w:lineRule="auto"/>
        <w:ind w:left="720" w:hanging="720"/>
        <w:jc w:val="both"/>
        <w:rPr>
          <w:rFonts w:ascii="Arial" w:hAnsi="Arial"/>
          <w:rtl/>
        </w:rPr>
      </w:pPr>
    </w:p>
    <w:p w14:paraId="71A429A6" w14:textId="77777777" w:rsidR="006D1A70" w:rsidRPr="00262689" w:rsidRDefault="00262689">
      <w:pPr>
        <w:spacing w:line="360" w:lineRule="auto"/>
        <w:ind w:left="1440" w:hanging="720"/>
        <w:jc w:val="both"/>
        <w:rPr>
          <w:rFonts w:ascii="Arial" w:hAnsi="Arial"/>
          <w:rtl/>
        </w:rPr>
      </w:pPr>
      <w:r w:rsidRPr="00262689">
        <w:rPr>
          <w:rFonts w:ascii="Arial" w:hAnsi="Arial" w:hint="cs"/>
          <w:rtl/>
        </w:rPr>
        <w:t>ה.</w:t>
      </w:r>
      <w:r w:rsidRPr="00262689">
        <w:rPr>
          <w:rFonts w:ascii="Arial" w:hAnsi="Arial" w:hint="cs"/>
          <w:rtl/>
        </w:rPr>
        <w:tab/>
      </w:r>
      <w:hyperlink r:id="rId22" w:history="1">
        <w:r w:rsidRPr="00262689">
          <w:rPr>
            <w:rFonts w:ascii="Arial" w:hAnsi="Arial"/>
            <w:color w:val="0000FF"/>
            <w:u w:val="single"/>
            <w:rtl/>
          </w:rPr>
          <w:t>ע"פ 2410/07</w:t>
        </w:r>
      </w:hyperlink>
      <w:r w:rsidRPr="00262689">
        <w:rPr>
          <w:rFonts w:ascii="Arial" w:hAnsi="Arial" w:hint="cs"/>
          <w:rtl/>
        </w:rPr>
        <w:t xml:space="preserve"> </w:t>
      </w:r>
      <w:r w:rsidRPr="00262689">
        <w:rPr>
          <w:rFonts w:ascii="Arial" w:hAnsi="Arial" w:hint="cs"/>
          <w:b/>
          <w:bCs/>
          <w:rtl/>
        </w:rPr>
        <w:t>תורכ נ' מדינת ישראל</w:t>
      </w:r>
      <w:r w:rsidRPr="00262689">
        <w:rPr>
          <w:rFonts w:ascii="Arial" w:hAnsi="Arial" w:hint="cs"/>
          <w:rtl/>
        </w:rPr>
        <w:t xml:space="preserve"> [פורסם בנבו] (18.10.07). כאן היה מדובר במערער שהחזיק 68.6 גרם קוקאין וכן הורשע בעבירה נוספת של החזקת כלים לפי </w:t>
      </w:r>
      <w:hyperlink r:id="rId23" w:history="1">
        <w:r w:rsidR="00B24449" w:rsidRPr="00B24449">
          <w:rPr>
            <w:rFonts w:ascii="Arial" w:hAnsi="Arial"/>
            <w:color w:val="0000FF"/>
            <w:u w:val="single"/>
            <w:rtl/>
          </w:rPr>
          <w:t>סעיף 10</w:t>
        </w:r>
      </w:hyperlink>
      <w:r w:rsidRPr="00262689">
        <w:rPr>
          <w:rFonts w:ascii="Arial" w:hAnsi="Arial" w:hint="cs"/>
          <w:rtl/>
        </w:rPr>
        <w:t xml:space="preserve"> ל</w:t>
      </w:r>
      <w:hyperlink r:id="rId24" w:history="1">
        <w:r w:rsidRPr="00262689">
          <w:rPr>
            <w:rFonts w:ascii="Arial" w:hAnsi="Arial"/>
            <w:color w:val="0000FF"/>
            <w:u w:val="single"/>
            <w:rtl/>
          </w:rPr>
          <w:t>פקודת הסמים המסוכנים</w:t>
        </w:r>
      </w:hyperlink>
      <w:r w:rsidRPr="00262689">
        <w:rPr>
          <w:rFonts w:ascii="Arial" w:hAnsi="Arial" w:hint="cs"/>
          <w:rtl/>
        </w:rPr>
        <w:t xml:space="preserve">. המערער נדון ל-3 שנות מאסר בפועל וערעורו לבית המשפט העליון נדחה. </w:t>
      </w:r>
    </w:p>
    <w:p w14:paraId="41DEB386" w14:textId="77777777" w:rsidR="006D1A70" w:rsidRPr="00262689" w:rsidRDefault="006D1A70">
      <w:pPr>
        <w:spacing w:line="360" w:lineRule="auto"/>
        <w:ind w:left="720" w:hanging="720"/>
        <w:jc w:val="both"/>
        <w:rPr>
          <w:rFonts w:ascii="Arial" w:hAnsi="Arial"/>
          <w:rtl/>
        </w:rPr>
      </w:pPr>
    </w:p>
    <w:p w14:paraId="1799FD04" w14:textId="77777777" w:rsidR="006D1A70" w:rsidRPr="00262689" w:rsidRDefault="00262689">
      <w:pPr>
        <w:spacing w:line="360" w:lineRule="auto"/>
        <w:ind w:left="1440" w:hanging="720"/>
        <w:jc w:val="both"/>
        <w:rPr>
          <w:rFonts w:ascii="Arial" w:hAnsi="Arial"/>
          <w:rtl/>
        </w:rPr>
      </w:pPr>
      <w:r w:rsidRPr="00262689">
        <w:rPr>
          <w:rFonts w:ascii="Arial" w:hAnsi="Arial" w:hint="cs"/>
          <w:rtl/>
        </w:rPr>
        <w:t>ו.</w:t>
      </w:r>
      <w:r w:rsidRPr="00262689">
        <w:rPr>
          <w:rFonts w:ascii="Arial" w:hAnsi="Arial" w:hint="cs"/>
          <w:rtl/>
        </w:rPr>
        <w:tab/>
      </w:r>
      <w:hyperlink r:id="rId25" w:history="1">
        <w:r w:rsidRPr="00262689">
          <w:rPr>
            <w:rFonts w:ascii="Arial" w:hAnsi="Arial"/>
            <w:color w:val="0000FF"/>
            <w:u w:val="single"/>
            <w:rtl/>
          </w:rPr>
          <w:t>ע"פ 6658/04</w:t>
        </w:r>
      </w:hyperlink>
      <w:r w:rsidRPr="00262689">
        <w:rPr>
          <w:rFonts w:ascii="Arial" w:hAnsi="Arial" w:hint="cs"/>
          <w:rtl/>
        </w:rPr>
        <w:t xml:space="preserve"> </w:t>
      </w:r>
      <w:r w:rsidRPr="00262689">
        <w:rPr>
          <w:rFonts w:ascii="Arial" w:hAnsi="Arial" w:hint="cs"/>
          <w:b/>
          <w:bCs/>
          <w:rtl/>
        </w:rPr>
        <w:t>סאטל נ' מדינת ישראל</w:t>
      </w:r>
      <w:r w:rsidRPr="00262689">
        <w:rPr>
          <w:rFonts w:ascii="Arial" w:hAnsi="Arial" w:hint="cs"/>
          <w:rtl/>
        </w:rPr>
        <w:t xml:space="preserve"> [פורסם בנבו] (20.9.04). המערער החזיק 80 גרם הרואין. בית המשפט המחוזי גזר עליו שנת מאסר אחת בפועל. ערעורו לבית המשפט העליון נדחה ובעוד שערעור המדינה התקבל ומאסרו נקבע לשנתיים, כאשר בית המשפט העליון קובע כי אין זו מדרכה של ערכאת הערעור למצות את הדין עם מערערים ואילו אותו הרכב היה יושב בערכאה הראשונה, היה מושת עליו עונש חמור יותר מזה שנקבע. </w:t>
      </w:r>
    </w:p>
    <w:p w14:paraId="098C340F" w14:textId="77777777" w:rsidR="006D1A70" w:rsidRPr="00262689" w:rsidRDefault="006D1A70">
      <w:pPr>
        <w:spacing w:line="360" w:lineRule="auto"/>
        <w:ind w:left="1440" w:hanging="720"/>
        <w:jc w:val="both"/>
        <w:rPr>
          <w:rFonts w:ascii="Arial" w:hAnsi="Arial"/>
          <w:rtl/>
        </w:rPr>
      </w:pPr>
    </w:p>
    <w:p w14:paraId="62B5E05D" w14:textId="77777777" w:rsidR="006D1A70" w:rsidRPr="00262689" w:rsidRDefault="00262689">
      <w:pPr>
        <w:spacing w:line="360" w:lineRule="auto"/>
        <w:ind w:left="1440" w:hanging="720"/>
        <w:jc w:val="both"/>
        <w:rPr>
          <w:rFonts w:ascii="Arial" w:hAnsi="Arial"/>
          <w:rtl/>
        </w:rPr>
      </w:pPr>
      <w:r w:rsidRPr="00262689">
        <w:rPr>
          <w:rFonts w:ascii="Arial" w:hAnsi="Arial" w:hint="cs"/>
          <w:rtl/>
        </w:rPr>
        <w:t>ז.</w:t>
      </w:r>
      <w:r w:rsidRPr="00262689">
        <w:rPr>
          <w:rFonts w:ascii="Arial" w:hAnsi="Arial" w:hint="cs"/>
          <w:rtl/>
        </w:rPr>
        <w:tab/>
        <w:t xml:space="preserve">ע"פ 1282/07 </w:t>
      </w:r>
      <w:r w:rsidRPr="00262689">
        <w:rPr>
          <w:rFonts w:ascii="Arial" w:hAnsi="Arial" w:hint="cs"/>
          <w:b/>
          <w:bCs/>
          <w:rtl/>
        </w:rPr>
        <w:t>בן אבו נ' מדינת ישראל</w:t>
      </w:r>
      <w:r w:rsidRPr="00262689">
        <w:rPr>
          <w:rFonts w:ascii="Arial" w:hAnsi="Arial" w:hint="cs"/>
          <w:rtl/>
        </w:rPr>
        <w:t xml:space="preserve"> [פורסם בנבו] (25.7.07). המערער היה נהג מונית ללא עבר פלילי שנתבקש לבצע העברה של סמים באמצעות המונית שעליה עבד מאדם אחד שלא הכיר לאדם אחר שלא הכיר תמורת סך של 500 ₪. הוא הורשע בביצוע עבירה של החזקת סם שלא לצריכה עצמית. הסם היה מסוג הירואין  במשקל 97.74 גרם. המערער נדון ל- 28 חודשי מאסר בפועל. ערעורו לבית המשפט העליון נתקבל כך שהעונש הופחת ל- 24 חודשים. </w:t>
      </w:r>
    </w:p>
    <w:p w14:paraId="766D4379" w14:textId="77777777" w:rsidR="006D1A70" w:rsidRPr="00262689" w:rsidRDefault="006D1A70">
      <w:pPr>
        <w:spacing w:line="360" w:lineRule="auto"/>
        <w:ind w:left="1440" w:hanging="720"/>
        <w:jc w:val="both"/>
        <w:rPr>
          <w:rFonts w:ascii="Arial" w:hAnsi="Arial"/>
          <w:rtl/>
        </w:rPr>
      </w:pPr>
    </w:p>
    <w:p w14:paraId="58C2642E" w14:textId="77777777" w:rsidR="006D1A70" w:rsidRPr="00262689" w:rsidRDefault="00262689">
      <w:pPr>
        <w:spacing w:line="360" w:lineRule="auto"/>
        <w:ind w:left="1440" w:hanging="720"/>
        <w:jc w:val="both"/>
        <w:rPr>
          <w:rFonts w:ascii="Arial" w:hAnsi="Arial"/>
          <w:rtl/>
        </w:rPr>
      </w:pPr>
      <w:r w:rsidRPr="00262689">
        <w:rPr>
          <w:rFonts w:ascii="Arial" w:hAnsi="Arial" w:hint="cs"/>
          <w:rtl/>
        </w:rPr>
        <w:t>ח.</w:t>
      </w:r>
      <w:r w:rsidRPr="00262689">
        <w:rPr>
          <w:rFonts w:ascii="Arial" w:hAnsi="Arial" w:hint="cs"/>
          <w:rtl/>
        </w:rPr>
        <w:tab/>
      </w:r>
      <w:hyperlink r:id="rId26" w:history="1">
        <w:r w:rsidRPr="00262689">
          <w:rPr>
            <w:rFonts w:ascii="Arial" w:hAnsi="Arial"/>
            <w:color w:val="0000FF"/>
            <w:u w:val="single"/>
            <w:rtl/>
          </w:rPr>
          <w:t>עפ"ג 5694-02-14</w:t>
        </w:r>
      </w:hyperlink>
      <w:r w:rsidRPr="00262689">
        <w:rPr>
          <w:rFonts w:ascii="Arial" w:hAnsi="Arial" w:hint="cs"/>
          <w:rtl/>
        </w:rPr>
        <w:t xml:space="preserve"> </w:t>
      </w:r>
      <w:r w:rsidRPr="00262689">
        <w:rPr>
          <w:rFonts w:ascii="Arial" w:hAnsi="Arial" w:hint="cs"/>
          <w:b/>
          <w:bCs/>
          <w:rtl/>
        </w:rPr>
        <w:t>מדינת ישראל נ' אבו דחל</w:t>
      </w:r>
      <w:r w:rsidRPr="00262689">
        <w:rPr>
          <w:rFonts w:ascii="Arial" w:hAnsi="Arial" w:hint="cs"/>
          <w:rtl/>
        </w:rPr>
        <w:t xml:space="preserve"> [פורסם בנבו] (27.4.14) (בפני כבוד מותב השופטים, הנשיא טל, השופט מקובר השופט ד"ר בורנשטיין). כאן היה מדובר במי שהחזיק 68.19 גרם קוקאין, 2.95 גרם קוקאין ו- 27 גרם הירואין. סך הכל כ- 98 גרם סמים מאותה קטגוריה (הירואין וקוקאין) ונקבע שמתחם עונש שנע בין 30 ל- 60 חודשי מאסר בפועל הוא מתחם ראוי. </w:t>
      </w:r>
    </w:p>
    <w:p w14:paraId="348A0FDB" w14:textId="77777777" w:rsidR="006D1A70" w:rsidRPr="00262689" w:rsidRDefault="006D1A70">
      <w:pPr>
        <w:spacing w:line="360" w:lineRule="auto"/>
        <w:ind w:left="720" w:hanging="720"/>
        <w:jc w:val="both"/>
        <w:rPr>
          <w:rFonts w:ascii="Arial" w:hAnsi="Arial"/>
          <w:b/>
          <w:bCs/>
          <w:sz w:val="28"/>
          <w:szCs w:val="28"/>
          <w:rtl/>
        </w:rPr>
      </w:pPr>
    </w:p>
    <w:p w14:paraId="2F8F018D" w14:textId="77777777" w:rsidR="006D1A70" w:rsidRPr="00262689" w:rsidRDefault="00262689">
      <w:pPr>
        <w:spacing w:line="360" w:lineRule="auto"/>
        <w:ind w:left="720" w:hanging="720"/>
        <w:jc w:val="both"/>
        <w:rPr>
          <w:rFonts w:ascii="Arial" w:hAnsi="Arial"/>
          <w:b/>
          <w:bCs/>
          <w:sz w:val="28"/>
          <w:szCs w:val="28"/>
          <w:rtl/>
        </w:rPr>
      </w:pPr>
      <w:r w:rsidRPr="00262689">
        <w:rPr>
          <w:rFonts w:ascii="Arial" w:hAnsi="Arial" w:hint="cs"/>
          <w:b/>
          <w:bCs/>
          <w:sz w:val="28"/>
          <w:szCs w:val="28"/>
          <w:rtl/>
        </w:rPr>
        <w:t>שאלת החריגה ממתחם העונש ההולם מטעמים של שיקום</w:t>
      </w:r>
    </w:p>
    <w:p w14:paraId="1C3B5285" w14:textId="77777777" w:rsidR="006D1A70" w:rsidRPr="00262689" w:rsidRDefault="006D1A70">
      <w:pPr>
        <w:spacing w:line="360" w:lineRule="auto"/>
        <w:ind w:left="720" w:hanging="720"/>
        <w:jc w:val="both"/>
        <w:rPr>
          <w:rFonts w:ascii="Arial" w:hAnsi="Arial"/>
          <w:rtl/>
        </w:rPr>
      </w:pPr>
    </w:p>
    <w:p w14:paraId="2AD9790E" w14:textId="77777777" w:rsidR="006D1A70" w:rsidRPr="00262689" w:rsidRDefault="00262689">
      <w:pPr>
        <w:spacing w:line="360" w:lineRule="auto"/>
        <w:ind w:left="720" w:hanging="720"/>
        <w:jc w:val="both"/>
        <w:rPr>
          <w:rFonts w:ascii="Arial" w:hAnsi="Arial"/>
          <w:rtl/>
        </w:rPr>
      </w:pPr>
      <w:r w:rsidRPr="00262689">
        <w:rPr>
          <w:rFonts w:ascii="Arial" w:hAnsi="Arial" w:hint="cs"/>
          <w:rtl/>
        </w:rPr>
        <w:t>9.</w:t>
      </w:r>
      <w:r w:rsidRPr="00262689">
        <w:rPr>
          <w:rFonts w:ascii="Arial" w:hAnsi="Arial" w:hint="cs"/>
          <w:rtl/>
        </w:rPr>
        <w:tab/>
        <w:t xml:space="preserve">משקבענו שמתחם העונש ההולם, לעניין רכיב המאסר נע בין 30 ועד 60 חודשי מאסר בפועל, אדון כעת בטענתו של הנאשם שיש לסטות ממתחם העונש ההולם עד כדי אי הטלת מאסר בפועל. </w:t>
      </w:r>
    </w:p>
    <w:p w14:paraId="7405E586" w14:textId="77777777" w:rsidR="006D1A70" w:rsidRPr="00262689" w:rsidRDefault="006D1A70">
      <w:pPr>
        <w:spacing w:line="360" w:lineRule="auto"/>
        <w:ind w:left="720" w:hanging="720"/>
        <w:jc w:val="both"/>
        <w:rPr>
          <w:rFonts w:ascii="Arial" w:hAnsi="Arial"/>
          <w:rtl/>
        </w:rPr>
      </w:pPr>
    </w:p>
    <w:p w14:paraId="214344E9" w14:textId="77777777" w:rsidR="006D1A70" w:rsidRPr="00262689" w:rsidRDefault="00262689">
      <w:pPr>
        <w:spacing w:line="360" w:lineRule="auto"/>
        <w:ind w:left="720" w:hanging="720"/>
        <w:jc w:val="both"/>
        <w:rPr>
          <w:rFonts w:ascii="Arial" w:hAnsi="Arial"/>
          <w:rtl/>
        </w:rPr>
      </w:pPr>
      <w:r w:rsidRPr="00262689">
        <w:rPr>
          <w:rFonts w:ascii="Arial" w:hAnsi="Arial" w:hint="cs"/>
          <w:rtl/>
        </w:rPr>
        <w:t>10.</w:t>
      </w:r>
      <w:r w:rsidRPr="00262689">
        <w:rPr>
          <w:rFonts w:ascii="Arial" w:hAnsi="Arial" w:hint="cs"/>
          <w:rtl/>
        </w:rPr>
        <w:tab/>
      </w:r>
      <w:hyperlink r:id="rId27" w:history="1">
        <w:r w:rsidR="00B24449" w:rsidRPr="00B24449">
          <w:rPr>
            <w:rFonts w:ascii="Arial" w:hAnsi="Arial"/>
            <w:color w:val="0000FF"/>
            <w:u w:val="single"/>
            <w:rtl/>
          </w:rPr>
          <w:t>סעיף 40ד</w:t>
        </w:r>
      </w:hyperlink>
      <w:r w:rsidRPr="00262689">
        <w:rPr>
          <w:rFonts w:ascii="Arial" w:hAnsi="Arial" w:hint="cs"/>
          <w:rtl/>
        </w:rPr>
        <w:t xml:space="preserve"> ל</w:t>
      </w:r>
      <w:hyperlink r:id="rId28" w:history="1">
        <w:r w:rsidRPr="00262689">
          <w:rPr>
            <w:rFonts w:ascii="Arial" w:hAnsi="Arial"/>
            <w:color w:val="0000FF"/>
            <w:u w:val="single"/>
            <w:rtl/>
          </w:rPr>
          <w:t>חוק העונשין</w:t>
        </w:r>
      </w:hyperlink>
      <w:r w:rsidRPr="00262689">
        <w:rPr>
          <w:rFonts w:ascii="Arial" w:hAnsi="Arial" w:hint="cs"/>
          <w:rtl/>
        </w:rPr>
        <w:t xml:space="preserve"> מתיר חריגה לקולא ממתחם העונש ההולם במקרים שבהם בית משפט השתכנע כי יש סיכוי של ממש כי הנאשם ישתקם. יחד עם זאת, שאלת הסטיה ממתחם העונש ההולם כפופה תמיד לחומרת העבירה. חומרת העבירה יש בה בכדי להשפיע על שיקול דעתו של בית המשפט בשני מישורים:  </w:t>
      </w:r>
    </w:p>
    <w:p w14:paraId="2CB7629B" w14:textId="77777777" w:rsidR="006D1A70" w:rsidRPr="00262689" w:rsidRDefault="006D1A70">
      <w:pPr>
        <w:spacing w:line="360" w:lineRule="auto"/>
        <w:ind w:left="720" w:hanging="720"/>
        <w:jc w:val="both"/>
        <w:rPr>
          <w:rFonts w:ascii="Arial" w:hAnsi="Arial"/>
          <w:rtl/>
        </w:rPr>
      </w:pPr>
    </w:p>
    <w:p w14:paraId="124EA47C" w14:textId="77777777" w:rsidR="006D1A70" w:rsidRPr="00262689" w:rsidRDefault="00262689">
      <w:pPr>
        <w:spacing w:line="360" w:lineRule="auto"/>
        <w:ind w:left="1440" w:hanging="720"/>
        <w:jc w:val="both"/>
        <w:rPr>
          <w:rFonts w:ascii="Arial" w:hAnsi="Arial"/>
          <w:rtl/>
        </w:rPr>
      </w:pPr>
      <w:r w:rsidRPr="00262689">
        <w:rPr>
          <w:rFonts w:ascii="Arial" w:hAnsi="Arial" w:hint="cs"/>
          <w:rtl/>
        </w:rPr>
        <w:t>א.</w:t>
      </w:r>
      <w:r w:rsidRPr="00262689">
        <w:rPr>
          <w:rFonts w:ascii="Arial" w:hAnsi="Arial" w:hint="cs"/>
          <w:rtl/>
        </w:rPr>
        <w:tab/>
        <w:t xml:space="preserve">שלא לסטות כלל ממתחם העונש ההולם, על אף השיקום : כך למשל, ב- </w:t>
      </w:r>
      <w:hyperlink r:id="rId29" w:history="1">
        <w:r w:rsidRPr="00262689">
          <w:rPr>
            <w:rFonts w:ascii="Arial" w:hAnsi="Arial"/>
            <w:color w:val="0000FF"/>
            <w:u w:val="single"/>
            <w:rtl/>
          </w:rPr>
          <w:t>רע"פ 747/14</w:t>
        </w:r>
      </w:hyperlink>
      <w:r w:rsidRPr="00262689">
        <w:rPr>
          <w:rFonts w:ascii="Arial" w:hAnsi="Arial" w:hint="cs"/>
          <w:rtl/>
        </w:rPr>
        <w:t xml:space="preserve"> </w:t>
      </w:r>
      <w:r w:rsidRPr="00262689">
        <w:rPr>
          <w:rFonts w:ascii="Arial" w:hAnsi="Arial" w:hint="cs"/>
          <w:b/>
          <w:bCs/>
          <w:rtl/>
        </w:rPr>
        <w:t>לוי נ' מדינת ישראל</w:t>
      </w:r>
      <w:r w:rsidRPr="00262689">
        <w:rPr>
          <w:rFonts w:ascii="Arial" w:hAnsi="Arial" w:hint="cs"/>
          <w:rtl/>
        </w:rPr>
        <w:t xml:space="preserve"> [פורסם בנבו] (11.2.14) המערער החזיק 5 גרם הירואין ן- 0.095 גרם קוקאין. המערער השתלב במרכז לגמילה מסמים, עבר את הטיפול בהצלחה ושרות המבחן המליץ על העמדתו בפיקוחם. למרות זאת, הוא נדון למאסר בפועל מאחורי סורג ובריח ועתירתו לסטייה ממתחם העונש ההולם, שבגבול התחתון שלו כלל רכיב של מאסר בפועל, נדחתה. </w:t>
      </w:r>
    </w:p>
    <w:p w14:paraId="6E08EA28" w14:textId="77777777" w:rsidR="006D1A70" w:rsidRPr="00262689" w:rsidRDefault="006D1A70">
      <w:pPr>
        <w:spacing w:line="360" w:lineRule="auto"/>
        <w:ind w:left="720" w:hanging="720"/>
        <w:jc w:val="both"/>
        <w:rPr>
          <w:rFonts w:ascii="Arial" w:hAnsi="Arial"/>
          <w:rtl/>
        </w:rPr>
      </w:pPr>
    </w:p>
    <w:p w14:paraId="670BFAD0" w14:textId="77777777" w:rsidR="006D1A70" w:rsidRPr="00262689" w:rsidRDefault="00262689">
      <w:pPr>
        <w:spacing w:line="360" w:lineRule="auto"/>
        <w:ind w:left="1440" w:hanging="720"/>
        <w:jc w:val="both"/>
        <w:rPr>
          <w:rFonts w:ascii="Arial" w:hAnsi="Arial"/>
          <w:rtl/>
        </w:rPr>
      </w:pPr>
      <w:r w:rsidRPr="00262689">
        <w:rPr>
          <w:rFonts w:ascii="Arial" w:hAnsi="Arial" w:hint="cs"/>
          <w:rtl/>
        </w:rPr>
        <w:t>ב.</w:t>
      </w:r>
      <w:r w:rsidRPr="00262689">
        <w:rPr>
          <w:rFonts w:ascii="Arial" w:hAnsi="Arial" w:hint="cs"/>
          <w:rtl/>
        </w:rPr>
        <w:tab/>
        <w:t xml:space="preserve">מידת הסטייה: ככל שמדובר בעבירה בדרגת חומרה נמוכה, ניתן לחשוב על מקרים שבהם בית המשפט יסטה ממדיניות הענישה הנוהגת, כאשר נסיבות ביצועה  מחייבות ענישה מאחורי סורג ובריח, ע"י הימנעות מהטלת מאסר בפועל. לעומת זאת, ככל שמדובר בעבירה חמורה יותר, מידת הסטיה תהיה קטנה יותר. בפסיקה ניתן לראות דוגמאות שבהן עבירה בדרגת חומרה גבוהה הובילה את בית המשפט למסקנה שניתן לסטות מהמתחם עקב קיומו של סיכוי ממשי לשיקומו, וזאת על ידי הפחתת תקופת המאסר בפועל שהוטלה על הנאשם, אך לא עד כדי הימנעות מהטלת מאסר ממש: </w:t>
      </w:r>
    </w:p>
    <w:p w14:paraId="51A1E82F" w14:textId="77777777" w:rsidR="006D1A70" w:rsidRPr="00262689" w:rsidRDefault="006D1A70">
      <w:pPr>
        <w:spacing w:line="360" w:lineRule="auto"/>
        <w:ind w:left="720" w:hanging="720"/>
        <w:jc w:val="both"/>
        <w:rPr>
          <w:rFonts w:ascii="Arial" w:hAnsi="Arial"/>
          <w:rtl/>
        </w:rPr>
      </w:pPr>
    </w:p>
    <w:p w14:paraId="4B553F1F" w14:textId="77777777" w:rsidR="006D1A70" w:rsidRPr="00262689" w:rsidRDefault="00262689">
      <w:pPr>
        <w:spacing w:line="360" w:lineRule="auto"/>
        <w:ind w:left="2160" w:hanging="720"/>
        <w:jc w:val="both"/>
        <w:rPr>
          <w:rFonts w:ascii="Arial" w:hAnsi="Arial"/>
          <w:rtl/>
        </w:rPr>
      </w:pPr>
      <w:r w:rsidRPr="00262689">
        <w:rPr>
          <w:rFonts w:ascii="Arial" w:hAnsi="Arial" w:hint="cs"/>
          <w:rtl/>
        </w:rPr>
        <w:t>ב.1.</w:t>
      </w:r>
      <w:r w:rsidRPr="00262689">
        <w:rPr>
          <w:rFonts w:ascii="Arial" w:hAnsi="Arial" w:hint="cs"/>
          <w:rtl/>
        </w:rPr>
        <w:tab/>
      </w:r>
      <w:hyperlink r:id="rId30" w:history="1">
        <w:r w:rsidRPr="00262689">
          <w:rPr>
            <w:rFonts w:ascii="Arial" w:hAnsi="Arial"/>
            <w:color w:val="0000FF"/>
            <w:u w:val="single"/>
            <w:rtl/>
          </w:rPr>
          <w:t>ע"פ 1903/13</w:t>
        </w:r>
      </w:hyperlink>
      <w:r w:rsidRPr="00262689">
        <w:rPr>
          <w:rFonts w:ascii="Arial" w:hAnsi="Arial" w:hint="cs"/>
          <w:rtl/>
        </w:rPr>
        <w:t xml:space="preserve"> </w:t>
      </w:r>
      <w:r w:rsidRPr="00262689">
        <w:rPr>
          <w:rFonts w:ascii="Arial" w:hAnsi="Arial" w:hint="cs"/>
          <w:b/>
          <w:bCs/>
          <w:rtl/>
        </w:rPr>
        <w:t>עיאשה נ' מדינת ישראל</w:t>
      </w:r>
      <w:r w:rsidRPr="00262689">
        <w:rPr>
          <w:rFonts w:ascii="Arial" w:hAnsi="Arial" w:hint="cs"/>
          <w:rtl/>
        </w:rPr>
        <w:t xml:space="preserve"> [פורסם בנבו] (14.7.13). במקרה זה המערער הורשע בביצוע עבירות של קשירת קשר לפשע, בידוי ראיות, מסירת ידיעה כוזבת והחזקת נשק. המערער סיכם עם אחר שהחזיק נשק כדין במסגרת עבודתו כשומר, שאותו אחר ימסור לו את נשקו תמורת כסף, ובעוד שאותו אחר ימסור הודעה שקרית למשטרה שהותקף ע"י אלמונים ואלה גנבו את נשקו. המערער נדון ל-15 חודשי מאסר בפועל. בית המשפט המחוזי קבע שמתחם העונש ההולם לכלל האירוע נע בין 12 ועד 30 חודשי מאסר. בית המשפט העליון קבע שהמתחם הוא מתחם ראוי אך לאור העדר עבר פלילי והליך טיפולי שאותו עבר המערער בכלא וסיכוי נמוך להישנות ביצוע עבירות בעתיד, ניתן לסטות מהמתחם שנקבע מטעמים של שיקום. עונש המאסר בפועל הופחת ל- 10 חודשים (היינו חודשיים פחות מהגבול התחתון של המתחם). </w:t>
      </w:r>
    </w:p>
    <w:p w14:paraId="20635F41" w14:textId="77777777" w:rsidR="006D1A70" w:rsidRPr="00262689" w:rsidRDefault="006D1A70">
      <w:pPr>
        <w:spacing w:line="360" w:lineRule="auto"/>
        <w:ind w:left="2160" w:hanging="720"/>
        <w:jc w:val="both"/>
        <w:rPr>
          <w:rFonts w:ascii="Arial" w:hAnsi="Arial"/>
          <w:rtl/>
        </w:rPr>
      </w:pPr>
    </w:p>
    <w:p w14:paraId="1F4A1609" w14:textId="77777777" w:rsidR="006D1A70" w:rsidRPr="00262689" w:rsidRDefault="00262689">
      <w:pPr>
        <w:spacing w:line="360" w:lineRule="auto"/>
        <w:ind w:left="2160" w:hanging="720"/>
        <w:jc w:val="both"/>
        <w:rPr>
          <w:rFonts w:ascii="Arial" w:hAnsi="Arial"/>
          <w:rtl/>
        </w:rPr>
      </w:pPr>
      <w:r w:rsidRPr="00262689">
        <w:rPr>
          <w:rFonts w:ascii="Arial" w:hAnsi="Arial" w:hint="cs"/>
          <w:rtl/>
        </w:rPr>
        <w:t>ב.2</w:t>
      </w:r>
      <w:r w:rsidRPr="00262689">
        <w:rPr>
          <w:rFonts w:ascii="Arial" w:hAnsi="Arial" w:hint="cs"/>
          <w:rtl/>
        </w:rPr>
        <w:tab/>
      </w:r>
      <w:hyperlink r:id="rId31" w:history="1">
        <w:r w:rsidRPr="00262689">
          <w:rPr>
            <w:rFonts w:ascii="Arial" w:hAnsi="Arial"/>
            <w:color w:val="0000FF"/>
            <w:u w:val="single"/>
            <w:rtl/>
          </w:rPr>
          <w:t>רע"פ 5354/12</w:t>
        </w:r>
      </w:hyperlink>
      <w:r w:rsidRPr="00262689">
        <w:rPr>
          <w:rFonts w:ascii="Arial" w:hAnsi="Arial" w:hint="cs"/>
          <w:rtl/>
        </w:rPr>
        <w:t xml:space="preserve"> </w:t>
      </w:r>
      <w:r w:rsidRPr="00262689">
        <w:rPr>
          <w:rFonts w:ascii="Arial" w:hAnsi="Arial" w:hint="cs"/>
          <w:b/>
          <w:bCs/>
          <w:rtl/>
        </w:rPr>
        <w:t>קובר נ' מדינת ישראל</w:t>
      </w:r>
      <w:r w:rsidRPr="00262689">
        <w:rPr>
          <w:rFonts w:ascii="Arial" w:hAnsi="Arial" w:hint="cs"/>
          <w:rtl/>
        </w:rPr>
        <w:t xml:space="preserve"> [פורסם בנבו] (12.7.12). המבקש הורשע בעבירה של החזקת סם מסוג קוקאין במשקל 37.96 גרם שלא לצריכתו עצמית. כמו כן, נגמל מסמים לאחר שבמשך שנים היה מכור לסמים. בית המשפט השלום קבע שהמתחם בעניינו נע בין 18 ל- 36 חודשים ודן אותו ל- 14 חודשי מאסר. ערעורו לבית המשפט המחוזי נדחה וכן נדחתה בקשת רשות ערעור שהגיש לבית המשפט העליון. כבוד השופט שוהם קבע בפסקה 11 להחלטתו שאין בתהליך השיקום, מוצלח ככל שיהיה, כדי לאיין את חומרת המעשים ואת הצורך להעניש את המבקש במאסר מאחורי סורג ובריח. </w:t>
      </w:r>
    </w:p>
    <w:p w14:paraId="783C0D71" w14:textId="77777777" w:rsidR="006D1A70" w:rsidRPr="00262689" w:rsidRDefault="006D1A70">
      <w:pPr>
        <w:spacing w:line="360" w:lineRule="auto"/>
        <w:ind w:left="1440" w:hanging="720"/>
        <w:jc w:val="both"/>
        <w:rPr>
          <w:rFonts w:ascii="Arial" w:hAnsi="Arial"/>
          <w:rtl/>
        </w:rPr>
      </w:pPr>
    </w:p>
    <w:p w14:paraId="32DC8E67" w14:textId="77777777" w:rsidR="006D1A70" w:rsidRPr="00262689" w:rsidRDefault="00262689">
      <w:pPr>
        <w:spacing w:line="360" w:lineRule="auto"/>
        <w:ind w:left="2160" w:hanging="720"/>
        <w:jc w:val="both"/>
        <w:rPr>
          <w:rFonts w:ascii="Arial" w:hAnsi="Arial"/>
          <w:rtl/>
        </w:rPr>
      </w:pPr>
      <w:r w:rsidRPr="00262689">
        <w:rPr>
          <w:rFonts w:ascii="Arial" w:hAnsi="Arial" w:hint="cs"/>
          <w:rtl/>
        </w:rPr>
        <w:t>ב.3</w:t>
      </w:r>
      <w:r w:rsidRPr="00262689">
        <w:rPr>
          <w:rFonts w:ascii="Arial" w:hAnsi="Arial" w:hint="cs"/>
          <w:rtl/>
        </w:rPr>
        <w:tab/>
      </w:r>
      <w:hyperlink r:id="rId32" w:history="1">
        <w:r w:rsidRPr="00262689">
          <w:rPr>
            <w:rFonts w:ascii="Arial" w:hAnsi="Arial"/>
            <w:color w:val="0000FF"/>
            <w:u w:val="single"/>
            <w:rtl/>
          </w:rPr>
          <w:t>ע"פ 526/14</w:t>
        </w:r>
      </w:hyperlink>
      <w:r w:rsidRPr="00262689">
        <w:rPr>
          <w:rFonts w:ascii="Arial" w:hAnsi="Arial" w:hint="cs"/>
          <w:rtl/>
        </w:rPr>
        <w:t xml:space="preserve"> </w:t>
      </w:r>
      <w:r w:rsidRPr="00262689">
        <w:rPr>
          <w:rFonts w:ascii="Arial" w:hAnsi="Arial" w:hint="cs"/>
          <w:b/>
          <w:bCs/>
          <w:rtl/>
        </w:rPr>
        <w:t>פלוני נ' מדינת ישראל</w:t>
      </w:r>
      <w:r w:rsidRPr="00262689">
        <w:rPr>
          <w:rFonts w:ascii="Arial" w:hAnsi="Arial" w:hint="cs"/>
          <w:rtl/>
        </w:rPr>
        <w:t xml:space="preserve"> [פורסם בנבו] (12.3.14). המערער הורשע בביצוע עבירות של החזקת נשק וסחר בנשק. המערער מכר לסוכן משטרתי אקדח תמורת סך של 14,000 ₪. מתסקיר שירות המבחן עלה שהמערער נהג להשתמש ולסחור בסמים בעבר וכי היה בעת מתן גזר הדין בטיפול בשירות המבחן, אשר המליץ להסתפק בעבודות שירות וזאת נוכח ההליך הטיפולי החיובי בו החל. בית המשפט המחוזי גזר עליו 22 חודשי מאסר בפועל. בית המשפט העליון הפחית את תקופת המאסר ל-16 חודשים וזאת מאחר והמערער מגלה פוטנציאל שיקומי ממשי, לרבות ע"י הבנת היתרונות בניהול אורח חיים נורמטיבי מבלי לעשות שימוש בסמים. במילים אחרות, רכיב המאסר ממש בכל זאת נותר בעינו, על אף השיקום. </w:t>
      </w:r>
    </w:p>
    <w:p w14:paraId="524FE40D" w14:textId="77777777" w:rsidR="006D1A70" w:rsidRPr="00262689" w:rsidRDefault="006D1A70">
      <w:pPr>
        <w:spacing w:line="360" w:lineRule="auto"/>
        <w:ind w:left="720" w:hanging="720"/>
        <w:jc w:val="both"/>
        <w:rPr>
          <w:rFonts w:ascii="Arial" w:hAnsi="Arial"/>
          <w:rtl/>
        </w:rPr>
      </w:pPr>
    </w:p>
    <w:p w14:paraId="5DECB05F" w14:textId="77777777" w:rsidR="006D1A70" w:rsidRPr="00262689" w:rsidRDefault="00262689">
      <w:pPr>
        <w:spacing w:line="360" w:lineRule="auto"/>
        <w:ind w:left="720" w:hanging="720"/>
        <w:jc w:val="both"/>
        <w:rPr>
          <w:rFonts w:ascii="Arial" w:hAnsi="Arial"/>
          <w:rtl/>
        </w:rPr>
      </w:pPr>
      <w:r w:rsidRPr="00262689">
        <w:rPr>
          <w:rFonts w:ascii="Arial" w:hAnsi="Arial" w:hint="cs"/>
          <w:rtl/>
        </w:rPr>
        <w:t>11.</w:t>
      </w:r>
      <w:r w:rsidRPr="00262689">
        <w:rPr>
          <w:rFonts w:ascii="Arial" w:hAnsi="Arial" w:hint="cs"/>
          <w:rtl/>
        </w:rPr>
        <w:tab/>
        <w:t xml:space="preserve">במקרה שבפני, סוג הסמים וכמותם, כפי שהוחזקו ע"י הנאשם, מחייבים ענישה ממשית מאחורי סורג ובריח. יוזכר שמתחם העונש ההולם הרלוונטי לעבירות שבוצעו ע"י הנאשם, הוא מתחם שחלקו התחתון מתחיל מ-30 חודשי מאסר ובעוד שחלקו העליון מסתיים ב-60 חודשי מאסר. מדובר במתחם שהגבול התחתון שלו עומד על תקופת מאסר משמעותית. לא מקובלת עליי טענת ההגנה ששיקולי השיקום מצדיקים סטיה ממתחם העונש ההולם, עד כדי אי הטלת מאסר מאחורי סורג ובריח, וזאת לא כל שכן, לאור קיומם של שני מאסרים על תנאי משני תיקים שונים. </w:t>
      </w:r>
    </w:p>
    <w:p w14:paraId="5C370AB2" w14:textId="77777777" w:rsidR="006D1A70" w:rsidRPr="00262689" w:rsidRDefault="006D1A70">
      <w:pPr>
        <w:spacing w:line="360" w:lineRule="auto"/>
        <w:ind w:left="720" w:hanging="720"/>
        <w:jc w:val="both"/>
        <w:rPr>
          <w:rFonts w:ascii="Arial" w:hAnsi="Arial"/>
          <w:rtl/>
        </w:rPr>
      </w:pPr>
    </w:p>
    <w:p w14:paraId="46A234DE" w14:textId="77777777" w:rsidR="00B24449" w:rsidRDefault="00262689">
      <w:pPr>
        <w:spacing w:line="360" w:lineRule="auto"/>
        <w:ind w:left="720" w:hanging="720"/>
        <w:jc w:val="both"/>
        <w:rPr>
          <w:rFonts w:ascii="Arial" w:hAnsi="Arial"/>
          <w:rtl/>
        </w:rPr>
      </w:pPr>
      <w:r w:rsidRPr="00262689">
        <w:rPr>
          <w:rFonts w:ascii="Arial" w:hAnsi="Arial" w:hint="cs"/>
          <w:rtl/>
        </w:rPr>
        <w:t>12.</w:t>
      </w:r>
      <w:r w:rsidRPr="00262689">
        <w:rPr>
          <w:rFonts w:ascii="Arial" w:hAnsi="Arial" w:hint="cs"/>
          <w:rtl/>
        </w:rPr>
        <w:tab/>
        <w:t>יובהר שמקובלת עלי טענתו של הנאשם שיש לסטות ממתחם העונש ההולם לאור ההליך השיקומי שעבר, אך טענתו שאין להשית עליו עונש מאסר ממש דינה להידחות. הנני קובע כי שיקולי השיקום במקרה שבפני מצדיקים סטיה ממתחם העונש ההולם, כך שהעונש שייגזר על הנאשם יהיה של 22 חודשים (היינו סטייה לקולא של 8 חודשים מהגבול התחתון של</w:t>
      </w:r>
      <w:bookmarkStart w:id="6" w:name="LawTable"/>
      <w:bookmarkEnd w:id="6"/>
    </w:p>
    <w:p w14:paraId="57D2F932" w14:textId="77777777" w:rsidR="00B24449" w:rsidRPr="00B24449" w:rsidRDefault="00B24449" w:rsidP="00B24449">
      <w:pPr>
        <w:spacing w:after="120" w:line="240" w:lineRule="exact"/>
        <w:ind w:left="283" w:hanging="283"/>
        <w:jc w:val="both"/>
        <w:rPr>
          <w:rFonts w:ascii="FrankRuehl" w:hAnsi="FrankRuehl" w:cs="FrankRuehl"/>
          <w:rtl/>
        </w:rPr>
      </w:pPr>
    </w:p>
    <w:p w14:paraId="53AED71E" w14:textId="77777777" w:rsidR="00262689" w:rsidRPr="00262689" w:rsidRDefault="00262689" w:rsidP="00262689">
      <w:pPr>
        <w:spacing w:line="360" w:lineRule="auto"/>
        <w:ind w:left="720" w:hanging="720"/>
        <w:jc w:val="center"/>
        <w:rPr>
          <w:rFonts w:ascii="Arial" w:hAnsi="Arial"/>
          <w:bCs/>
          <w:rtl/>
        </w:rPr>
      </w:pPr>
      <w:bookmarkStart w:id="7" w:name="LawTable_End"/>
      <w:bookmarkEnd w:id="0"/>
      <w:bookmarkEnd w:id="1"/>
      <w:bookmarkEnd w:id="7"/>
      <w:r w:rsidRPr="00262689">
        <w:rPr>
          <w:rFonts w:ascii="Arial" w:hAnsi="Arial"/>
          <w:bCs/>
          <w:rtl/>
        </w:rPr>
        <w:t>המתחם). בנוסף, יש להפעיל את שני המאסרים המותנים, שהינם עונשים נפרדים וחיצוניים</w:t>
      </w:r>
    </w:p>
    <w:p w14:paraId="757F7F93" w14:textId="77777777" w:rsidR="006D1A70" w:rsidRDefault="00262689">
      <w:pPr>
        <w:spacing w:line="360" w:lineRule="auto"/>
        <w:ind w:left="720" w:hanging="720"/>
        <w:jc w:val="both"/>
        <w:rPr>
          <w:rFonts w:ascii="Arial" w:hAnsi="Arial"/>
          <w:rtl/>
        </w:rPr>
      </w:pPr>
      <w:r>
        <w:rPr>
          <w:rFonts w:ascii="Arial" w:hAnsi="Arial" w:hint="cs"/>
          <w:rtl/>
        </w:rPr>
        <w:t xml:space="preserve">למתחם שנקבע, כך שהמאסר על תנאי של 9 חודשים  יופעל במצטבר ובעוד שהמאסר על תנאי של 5 חודשים יופעל בחופף. סה"כ ירצה הנאשם 31 חודשי מאסר בפועל. </w:t>
      </w:r>
    </w:p>
    <w:p w14:paraId="374E16E6" w14:textId="77777777" w:rsidR="006D1A70" w:rsidRDefault="006D1A70">
      <w:pPr>
        <w:spacing w:line="360" w:lineRule="auto"/>
        <w:ind w:left="720" w:hanging="720"/>
        <w:jc w:val="both"/>
        <w:rPr>
          <w:rFonts w:ascii="Arial" w:hAnsi="Arial"/>
          <w:rtl/>
        </w:rPr>
      </w:pPr>
    </w:p>
    <w:p w14:paraId="49D14FFE" w14:textId="77777777" w:rsidR="006D1A70" w:rsidRDefault="00262689">
      <w:pPr>
        <w:spacing w:line="360" w:lineRule="auto"/>
        <w:ind w:left="720" w:hanging="720"/>
        <w:jc w:val="both"/>
        <w:rPr>
          <w:rFonts w:ascii="Arial" w:hAnsi="Arial"/>
          <w:rtl/>
        </w:rPr>
      </w:pPr>
      <w:r>
        <w:rPr>
          <w:rFonts w:ascii="Arial" w:hAnsi="Arial" w:hint="cs"/>
          <w:rtl/>
        </w:rPr>
        <w:t>13.</w:t>
      </w:r>
      <w:r>
        <w:rPr>
          <w:rFonts w:ascii="Arial" w:hAnsi="Arial" w:hint="cs"/>
          <w:rtl/>
        </w:rPr>
        <w:tab/>
        <w:t xml:space="preserve">דומני שהסטיה האמורה מהמתחם ואופן הפעלת המאסרים המותנים, אחד במצטבר ואחד בחופף, יש בה בכדי לאזן את מכלול השיקולים שעומדים על הפרק: האינטרס הציבורי, נסיבותיו האישיות של הנאשם, עובדת היותו נשוי ואב לילדים, ההליך השיקומי שעבר וההודיה וחסכון בזמן שיפוטי. עונש המאסר בפועל שיושת על הנאשם יש להוסיף עליו מאסר על תנאי, קנס ופסילת רישיון נהיגה. </w:t>
      </w:r>
    </w:p>
    <w:p w14:paraId="7DF6A653" w14:textId="77777777" w:rsidR="006D1A70" w:rsidRDefault="006D1A70">
      <w:pPr>
        <w:spacing w:line="360" w:lineRule="auto"/>
        <w:ind w:left="720" w:hanging="720"/>
        <w:jc w:val="both"/>
        <w:rPr>
          <w:rFonts w:ascii="Arial" w:hAnsi="Arial"/>
          <w:rtl/>
        </w:rPr>
      </w:pPr>
    </w:p>
    <w:p w14:paraId="7A57C34C" w14:textId="77777777" w:rsidR="006D1A70" w:rsidRDefault="00262689">
      <w:pPr>
        <w:spacing w:line="360" w:lineRule="auto"/>
        <w:ind w:left="720" w:hanging="720"/>
        <w:jc w:val="both"/>
        <w:rPr>
          <w:rFonts w:ascii="Arial" w:hAnsi="Arial"/>
          <w:rtl/>
        </w:rPr>
      </w:pPr>
      <w:r>
        <w:rPr>
          <w:rFonts w:ascii="Arial" w:hAnsi="Arial" w:hint="cs"/>
          <w:rtl/>
        </w:rPr>
        <w:t>14.</w:t>
      </w:r>
      <w:r>
        <w:rPr>
          <w:rFonts w:ascii="Arial" w:hAnsi="Arial" w:hint="cs"/>
          <w:rtl/>
        </w:rPr>
        <w:tab/>
        <w:t>אשר על כן, הנני משית על הנאשם את העונשים הבאים:</w:t>
      </w:r>
    </w:p>
    <w:p w14:paraId="13EC3246" w14:textId="77777777" w:rsidR="006D1A70" w:rsidRDefault="006D1A70">
      <w:pPr>
        <w:spacing w:line="360" w:lineRule="auto"/>
        <w:ind w:left="720" w:hanging="720"/>
        <w:jc w:val="both"/>
        <w:rPr>
          <w:rFonts w:ascii="Arial" w:hAnsi="Arial"/>
          <w:rtl/>
        </w:rPr>
      </w:pPr>
    </w:p>
    <w:p w14:paraId="67515E0D" w14:textId="77777777" w:rsidR="006D1A70" w:rsidRDefault="00262689">
      <w:pPr>
        <w:spacing w:line="360" w:lineRule="auto"/>
        <w:ind w:left="720"/>
        <w:jc w:val="both"/>
        <w:rPr>
          <w:rFonts w:ascii="Arial" w:hAnsi="Arial"/>
          <w:rtl/>
        </w:rPr>
      </w:pPr>
      <w:r>
        <w:rPr>
          <w:rFonts w:ascii="Arial" w:hAnsi="Arial" w:hint="cs"/>
          <w:rtl/>
        </w:rPr>
        <w:t>א.</w:t>
      </w:r>
      <w:r>
        <w:rPr>
          <w:rFonts w:ascii="Arial" w:hAnsi="Arial" w:hint="cs"/>
          <w:rtl/>
        </w:rPr>
        <w:tab/>
        <w:t xml:space="preserve">22 חודשי מאסר בפועל. </w:t>
      </w:r>
    </w:p>
    <w:p w14:paraId="37920286" w14:textId="77777777" w:rsidR="006D1A70" w:rsidRDefault="006D1A70">
      <w:pPr>
        <w:spacing w:line="360" w:lineRule="auto"/>
        <w:ind w:left="720"/>
        <w:jc w:val="both"/>
        <w:rPr>
          <w:rFonts w:ascii="Arial" w:hAnsi="Arial"/>
          <w:rtl/>
        </w:rPr>
      </w:pPr>
    </w:p>
    <w:p w14:paraId="7777946F" w14:textId="77777777" w:rsidR="006D1A70" w:rsidRDefault="00262689">
      <w:pPr>
        <w:spacing w:line="360" w:lineRule="auto"/>
        <w:ind w:left="1440" w:hanging="720"/>
        <w:jc w:val="both"/>
        <w:rPr>
          <w:rFonts w:ascii="Arial" w:hAnsi="Arial"/>
          <w:rtl/>
        </w:rPr>
      </w:pPr>
      <w:r>
        <w:rPr>
          <w:rFonts w:ascii="Arial" w:hAnsi="Arial" w:hint="cs"/>
          <w:rtl/>
        </w:rPr>
        <w:t>ב.</w:t>
      </w:r>
      <w:r>
        <w:rPr>
          <w:rFonts w:ascii="Arial" w:hAnsi="Arial" w:hint="cs"/>
          <w:rtl/>
        </w:rPr>
        <w:tab/>
        <w:t xml:space="preserve">הנני מורה על הפעלת המאסר המותנה של 9 חודשים שהושת על הנאשם ב-ת"פ 3224/08 בבית משפט השלום ברמלה ביום 4.2.10, וזאת במצטבר לעונש המאסר שהוטל לעיל. </w:t>
      </w:r>
    </w:p>
    <w:p w14:paraId="41866AA6" w14:textId="77777777" w:rsidR="006D1A70" w:rsidRDefault="006D1A70">
      <w:pPr>
        <w:spacing w:line="360" w:lineRule="auto"/>
        <w:ind w:left="720" w:hanging="720"/>
        <w:jc w:val="both"/>
        <w:rPr>
          <w:rFonts w:ascii="Arial" w:hAnsi="Arial"/>
          <w:rtl/>
        </w:rPr>
      </w:pPr>
    </w:p>
    <w:p w14:paraId="5CB633C0" w14:textId="77777777" w:rsidR="006D1A70" w:rsidRDefault="00262689">
      <w:pPr>
        <w:spacing w:line="360" w:lineRule="auto"/>
        <w:ind w:left="1440" w:hanging="720"/>
        <w:jc w:val="both"/>
        <w:rPr>
          <w:rFonts w:ascii="Arial" w:hAnsi="Arial"/>
          <w:rtl/>
        </w:rPr>
      </w:pPr>
      <w:r>
        <w:rPr>
          <w:rFonts w:ascii="Arial" w:hAnsi="Arial" w:hint="cs"/>
          <w:rtl/>
        </w:rPr>
        <w:t>ג.</w:t>
      </w:r>
      <w:r>
        <w:rPr>
          <w:rFonts w:ascii="Arial" w:hAnsi="Arial" w:hint="cs"/>
          <w:rtl/>
        </w:rPr>
        <w:tab/>
        <w:t>הנני מורה על הפעלת המאסר המותנה של 5 חודשים שהושת על הנאשם ב-</w:t>
      </w:r>
      <w:hyperlink r:id="rId33" w:history="1">
        <w:r w:rsidRPr="00262689">
          <w:rPr>
            <w:rFonts w:ascii="Arial" w:hAnsi="Arial"/>
            <w:color w:val="0000FF"/>
            <w:u w:val="single"/>
            <w:rtl/>
          </w:rPr>
          <w:t>ת"פ 19137-11-10</w:t>
        </w:r>
      </w:hyperlink>
      <w:r>
        <w:rPr>
          <w:rFonts w:ascii="Arial" w:hAnsi="Arial" w:hint="cs"/>
          <w:rtl/>
        </w:rPr>
        <w:t>, בבית משפט השלום בראשון לציון ביום 10.10.11, וזאת בחופף לתקופת המאסר שהוטלה לעיל.</w:t>
      </w:r>
    </w:p>
    <w:p w14:paraId="54EC3799" w14:textId="77777777" w:rsidR="006D1A70" w:rsidRDefault="006D1A70">
      <w:pPr>
        <w:spacing w:line="360" w:lineRule="auto"/>
        <w:ind w:left="720"/>
        <w:jc w:val="both"/>
        <w:rPr>
          <w:rFonts w:ascii="Arial" w:hAnsi="Arial"/>
          <w:rtl/>
        </w:rPr>
      </w:pPr>
    </w:p>
    <w:p w14:paraId="051DC32D" w14:textId="77777777" w:rsidR="006D1A70" w:rsidRDefault="00262689">
      <w:pPr>
        <w:spacing w:line="360" w:lineRule="auto"/>
        <w:ind w:left="1440"/>
        <w:jc w:val="both"/>
        <w:rPr>
          <w:rFonts w:ascii="Arial" w:hAnsi="Arial"/>
          <w:b/>
          <w:bCs/>
          <w:rtl/>
        </w:rPr>
      </w:pPr>
      <w:r>
        <w:rPr>
          <w:rFonts w:ascii="Arial" w:hAnsi="Arial" w:hint="cs"/>
          <w:b/>
          <w:bCs/>
          <w:rtl/>
        </w:rPr>
        <w:t xml:space="preserve">סה"כ ירצה הנאשם 31 חודשי מאסר בפועל בניכוי ימי מעצרו מיום 10.4.13 ועד יום 11.9.13. </w:t>
      </w:r>
    </w:p>
    <w:p w14:paraId="61D5399C" w14:textId="77777777" w:rsidR="006D1A70" w:rsidRDefault="006D1A70">
      <w:pPr>
        <w:spacing w:line="360" w:lineRule="auto"/>
        <w:ind w:left="720"/>
        <w:jc w:val="both"/>
        <w:rPr>
          <w:rFonts w:ascii="Arial" w:hAnsi="Arial"/>
          <w:rtl/>
        </w:rPr>
      </w:pPr>
    </w:p>
    <w:p w14:paraId="4C101294" w14:textId="77777777" w:rsidR="006D1A70" w:rsidRDefault="00262689">
      <w:pPr>
        <w:spacing w:line="360" w:lineRule="auto"/>
        <w:ind w:left="1440" w:hanging="720"/>
        <w:jc w:val="both"/>
        <w:rPr>
          <w:rFonts w:ascii="Arial" w:hAnsi="Arial"/>
          <w:rtl/>
        </w:rPr>
      </w:pPr>
      <w:r>
        <w:rPr>
          <w:rFonts w:ascii="Arial" w:hAnsi="Arial" w:hint="cs"/>
          <w:rtl/>
        </w:rPr>
        <w:t>ד.</w:t>
      </w:r>
      <w:r>
        <w:rPr>
          <w:rFonts w:ascii="Arial" w:hAnsi="Arial" w:hint="cs"/>
          <w:rtl/>
        </w:rPr>
        <w:tab/>
        <w:t xml:space="preserve">10 חודשי מאסר על תנאי והתנאי הוא שבמשך 3 שנים ממועד שחרורו, הנאשם לא יבצע עבירה לפי </w:t>
      </w:r>
      <w:hyperlink r:id="rId34" w:history="1">
        <w:r w:rsidRPr="00262689">
          <w:rPr>
            <w:rFonts w:ascii="Arial" w:hAnsi="Arial"/>
            <w:color w:val="0000FF"/>
            <w:u w:val="single"/>
            <w:rtl/>
          </w:rPr>
          <w:t>פקודת הסמים המסוכנים</w:t>
        </w:r>
      </w:hyperlink>
      <w:r>
        <w:rPr>
          <w:rFonts w:ascii="Arial" w:hAnsi="Arial" w:hint="cs"/>
          <w:rtl/>
        </w:rPr>
        <w:t xml:space="preserve"> מסוג פשע. </w:t>
      </w:r>
    </w:p>
    <w:p w14:paraId="1FA589BD" w14:textId="77777777" w:rsidR="006D1A70" w:rsidRDefault="006D1A70">
      <w:pPr>
        <w:spacing w:line="360" w:lineRule="auto"/>
        <w:ind w:left="720"/>
        <w:jc w:val="both"/>
        <w:rPr>
          <w:rFonts w:ascii="Arial" w:hAnsi="Arial"/>
          <w:rtl/>
        </w:rPr>
      </w:pPr>
    </w:p>
    <w:p w14:paraId="2CA1E690" w14:textId="77777777" w:rsidR="006D1A70" w:rsidRDefault="00262689">
      <w:pPr>
        <w:spacing w:line="360" w:lineRule="auto"/>
        <w:ind w:left="1440" w:hanging="720"/>
        <w:jc w:val="both"/>
        <w:rPr>
          <w:rFonts w:ascii="Arial" w:hAnsi="Arial"/>
          <w:rtl/>
        </w:rPr>
      </w:pPr>
      <w:r>
        <w:rPr>
          <w:rFonts w:ascii="Arial" w:hAnsi="Arial" w:hint="cs"/>
          <w:rtl/>
        </w:rPr>
        <w:t>ה.</w:t>
      </w:r>
      <w:r>
        <w:rPr>
          <w:rFonts w:ascii="Arial" w:hAnsi="Arial" w:hint="cs"/>
          <w:rtl/>
        </w:rPr>
        <w:tab/>
        <w:t xml:space="preserve">4 חודשי מאסר על תנאי והתנאי הוא שבמשך 3 שנים ממועד שחרורו, הנאשם לא יבצע עבירה לפי </w:t>
      </w:r>
      <w:hyperlink r:id="rId35" w:history="1">
        <w:r w:rsidRPr="00262689">
          <w:rPr>
            <w:rFonts w:ascii="Arial" w:hAnsi="Arial"/>
            <w:color w:val="0000FF"/>
            <w:u w:val="single"/>
            <w:rtl/>
          </w:rPr>
          <w:t>פקודת הסמים המסוכנים</w:t>
        </w:r>
      </w:hyperlink>
      <w:r>
        <w:rPr>
          <w:rFonts w:ascii="Arial" w:hAnsi="Arial" w:hint="cs"/>
          <w:rtl/>
        </w:rPr>
        <w:t xml:space="preserve"> מסוג עוון.</w:t>
      </w:r>
    </w:p>
    <w:p w14:paraId="5A16E00D" w14:textId="77777777" w:rsidR="006D1A70" w:rsidRDefault="006D1A70">
      <w:pPr>
        <w:spacing w:line="360" w:lineRule="auto"/>
        <w:ind w:left="720"/>
        <w:jc w:val="both"/>
        <w:rPr>
          <w:rFonts w:ascii="Arial" w:hAnsi="Arial"/>
          <w:rtl/>
        </w:rPr>
      </w:pPr>
    </w:p>
    <w:p w14:paraId="3A9E4656" w14:textId="77777777" w:rsidR="006D1A70" w:rsidRDefault="00262689">
      <w:pPr>
        <w:spacing w:line="360" w:lineRule="auto"/>
        <w:ind w:left="1440" w:hanging="720"/>
        <w:rPr>
          <w:rtl/>
        </w:rPr>
      </w:pPr>
      <w:r>
        <w:rPr>
          <w:rFonts w:ascii="Arial" w:hAnsi="Arial" w:hint="cs"/>
          <w:rtl/>
        </w:rPr>
        <w:t>ו.</w:t>
      </w:r>
      <w:r>
        <w:rPr>
          <w:rFonts w:hint="cs"/>
          <w:rtl/>
        </w:rPr>
        <w:tab/>
        <w:t xml:space="preserve">הנאשם ישלם קנס בסך 5000  ₪ , או  60  ימי מאסר תמורתו. הקנס ישולם ב- 10 תשלומים חודשים שווים ורצופים כאשר הראשון שבהם עד ליום 1.2.15  והיתרה ב- 1 לכל חודש שלאחריו. היה ואחד התשלומים לא ישולם במועד, אזי יעמוד מלוא סכום הקנס לפירעון מידי. הקנס יועבר לטובת הקרן שפועלת מכוח </w:t>
      </w:r>
      <w:hyperlink r:id="rId36" w:history="1">
        <w:r w:rsidR="00B24449" w:rsidRPr="00B24449">
          <w:rPr>
            <w:color w:val="0000FF"/>
            <w:u w:val="single"/>
            <w:rtl/>
          </w:rPr>
          <w:t>סעיף 36ח</w:t>
        </w:r>
      </w:hyperlink>
      <w:r>
        <w:rPr>
          <w:rFonts w:hint="cs"/>
          <w:rtl/>
        </w:rPr>
        <w:t xml:space="preserve"> ל</w:t>
      </w:r>
      <w:hyperlink r:id="rId37" w:history="1">
        <w:r w:rsidRPr="00262689">
          <w:rPr>
            <w:color w:val="0000FF"/>
            <w:u w:val="single"/>
            <w:rtl/>
          </w:rPr>
          <w:t>פקודת הסמים המסוכנים</w:t>
        </w:r>
      </w:hyperlink>
      <w:r>
        <w:rPr>
          <w:rFonts w:hint="cs"/>
          <w:rtl/>
        </w:rPr>
        <w:t xml:space="preserve">. </w:t>
      </w:r>
    </w:p>
    <w:p w14:paraId="64FD357F" w14:textId="77777777" w:rsidR="006D1A70" w:rsidRDefault="006D1A70">
      <w:pPr>
        <w:spacing w:line="360" w:lineRule="auto"/>
        <w:ind w:left="720" w:hanging="720"/>
        <w:jc w:val="both"/>
        <w:rPr>
          <w:rFonts w:ascii="Arial" w:hAnsi="Arial"/>
          <w:rtl/>
        </w:rPr>
      </w:pPr>
    </w:p>
    <w:p w14:paraId="60FA2453" w14:textId="77777777" w:rsidR="006D1A70" w:rsidRDefault="00262689">
      <w:pPr>
        <w:spacing w:line="360" w:lineRule="auto"/>
        <w:ind w:left="1440" w:hanging="720"/>
        <w:jc w:val="both"/>
        <w:rPr>
          <w:rFonts w:ascii="Arial" w:hAnsi="Arial"/>
          <w:rtl/>
        </w:rPr>
      </w:pPr>
      <w:r>
        <w:rPr>
          <w:rFonts w:ascii="Arial" w:hAnsi="Arial" w:hint="cs"/>
          <w:rtl/>
        </w:rPr>
        <w:t>ז.</w:t>
      </w:r>
      <w:r>
        <w:rPr>
          <w:rFonts w:ascii="Arial" w:hAnsi="Arial" w:hint="cs"/>
          <w:rtl/>
        </w:rPr>
        <w:tab/>
        <w:t xml:space="preserve">הנני פוסל את הנאשם מלקבל או להחזיק רישיון נהיגה וזאת למשך 10 חודשים ממועד שחרורו ממאסרו. מניין ימי הפסילה יחל מיום הפקדת רישיון הנהיגה במזכירות בית המשפט ובכל מקרה לא לפני מועד שחרורו ממאסרו.  </w:t>
      </w:r>
    </w:p>
    <w:p w14:paraId="77506029" w14:textId="77777777" w:rsidR="006D1A70" w:rsidRDefault="006D1A70">
      <w:pPr>
        <w:spacing w:line="360" w:lineRule="auto"/>
        <w:ind w:left="720" w:hanging="720"/>
        <w:jc w:val="both"/>
        <w:rPr>
          <w:rFonts w:ascii="Arial" w:hAnsi="Arial"/>
          <w:rtl/>
        </w:rPr>
      </w:pPr>
    </w:p>
    <w:p w14:paraId="61860731" w14:textId="77777777" w:rsidR="006D1A70" w:rsidRDefault="00262689">
      <w:pPr>
        <w:spacing w:line="360" w:lineRule="auto"/>
        <w:ind w:left="720" w:hanging="720"/>
        <w:jc w:val="both"/>
        <w:rPr>
          <w:rFonts w:ascii="Arial" w:hAnsi="Arial"/>
          <w:rtl/>
        </w:rPr>
      </w:pPr>
      <w:r>
        <w:rPr>
          <w:rFonts w:ascii="Arial" w:hAnsi="Arial" w:hint="cs"/>
          <w:rtl/>
        </w:rPr>
        <w:tab/>
        <w:t>ח.</w:t>
      </w:r>
      <w:r>
        <w:rPr>
          <w:rFonts w:ascii="Arial" w:hAnsi="Arial" w:hint="cs"/>
          <w:rtl/>
        </w:rPr>
        <w:tab/>
        <w:t xml:space="preserve">ניתן צו להשמדת הסמים. </w:t>
      </w:r>
    </w:p>
    <w:p w14:paraId="6DCEDE35" w14:textId="77777777" w:rsidR="006D1A70" w:rsidRDefault="006D1A70">
      <w:pPr>
        <w:spacing w:line="360" w:lineRule="auto"/>
        <w:ind w:left="720" w:hanging="720"/>
        <w:jc w:val="both"/>
        <w:rPr>
          <w:rFonts w:ascii="Arial" w:hAnsi="Arial"/>
          <w:rtl/>
        </w:rPr>
      </w:pPr>
    </w:p>
    <w:p w14:paraId="342F7750" w14:textId="77777777" w:rsidR="006D1A70" w:rsidRDefault="00262689">
      <w:pPr>
        <w:spacing w:line="360" w:lineRule="auto"/>
        <w:ind w:left="720" w:hanging="720"/>
        <w:jc w:val="both"/>
        <w:rPr>
          <w:rtl/>
        </w:rPr>
      </w:pPr>
      <w:r w:rsidRPr="00262689">
        <w:rPr>
          <w:rFonts w:ascii="Arial" w:hAnsi="Arial"/>
          <w:color w:val="FFFFFF"/>
          <w:sz w:val="2"/>
          <w:szCs w:val="2"/>
          <w:rtl/>
        </w:rPr>
        <w:t>5129371</w:t>
      </w:r>
      <w:r>
        <w:rPr>
          <w:rFonts w:ascii="Arial" w:hAnsi="Arial" w:hint="cs"/>
          <w:rtl/>
        </w:rPr>
        <w:t xml:space="preserve">זכות ערעור תוך 45 יום. </w:t>
      </w:r>
    </w:p>
    <w:p w14:paraId="1C010CCF" w14:textId="77777777" w:rsidR="006D1A70" w:rsidRPr="00262689" w:rsidRDefault="00262689">
      <w:pPr>
        <w:rPr>
          <w:color w:val="FFFFFF"/>
          <w:sz w:val="2"/>
          <w:szCs w:val="2"/>
          <w:rtl/>
        </w:rPr>
      </w:pPr>
      <w:r w:rsidRPr="00262689">
        <w:rPr>
          <w:color w:val="FFFFFF"/>
          <w:sz w:val="2"/>
          <w:szCs w:val="2"/>
          <w:rtl/>
        </w:rPr>
        <w:t>54678313</w:t>
      </w:r>
    </w:p>
    <w:p w14:paraId="6F552562" w14:textId="77777777" w:rsidR="006D1A70" w:rsidRDefault="006D1A70">
      <w:pPr>
        <w:rPr>
          <w:rtl/>
        </w:rPr>
      </w:pPr>
    </w:p>
    <w:p w14:paraId="308805AE" w14:textId="77777777" w:rsidR="006D1A70" w:rsidRDefault="00262689">
      <w:pPr>
        <w:rPr>
          <w:rFonts w:cs="FrankRuehl"/>
          <w:sz w:val="28"/>
          <w:szCs w:val="28"/>
          <w:rtl/>
        </w:rPr>
      </w:pPr>
      <w:r>
        <w:rPr>
          <w:rFonts w:ascii="Arial" w:hAnsi="Arial"/>
          <w:rtl/>
        </w:rPr>
        <w:t xml:space="preserve">ניתן היום,  ג' טבת תשע"ה, 25 דצמבר 2014, במעמד הצדדים. </w:t>
      </w:r>
    </w:p>
    <w:p w14:paraId="6D4EBF65" w14:textId="77777777" w:rsidR="006D1A70" w:rsidRDefault="0026268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1118812" w14:textId="77777777" w:rsidR="006D1A70" w:rsidRPr="00B24449" w:rsidRDefault="00B24449">
      <w:pPr>
        <w:jc w:val="center"/>
        <w:rPr>
          <w:rFonts w:ascii="Arial" w:hAnsi="Arial" w:cs="FrankRuehl"/>
          <w:color w:val="FFFFFF"/>
          <w:sz w:val="2"/>
          <w:szCs w:val="2"/>
          <w:rtl/>
        </w:rPr>
      </w:pPr>
      <w:r w:rsidRPr="00B24449">
        <w:rPr>
          <w:rFonts w:ascii="Arial" w:hAnsi="Arial" w:cs="FrankRuehl"/>
          <w:color w:val="FFFFFF"/>
          <w:sz w:val="2"/>
          <w:szCs w:val="2"/>
          <w:rtl/>
        </w:rPr>
        <w:t>5129371</w:t>
      </w:r>
    </w:p>
    <w:p w14:paraId="189DD01E" w14:textId="77777777" w:rsidR="00262689" w:rsidRPr="00B24449" w:rsidRDefault="00B24449" w:rsidP="00262689">
      <w:pPr>
        <w:keepNext/>
        <w:rPr>
          <w:rFonts w:ascii="David" w:hAnsi="David"/>
          <w:color w:val="FFFFFF"/>
          <w:sz w:val="2"/>
          <w:szCs w:val="2"/>
          <w:rtl/>
        </w:rPr>
      </w:pPr>
      <w:r w:rsidRPr="00B24449">
        <w:rPr>
          <w:rFonts w:ascii="David" w:hAnsi="David"/>
          <w:color w:val="FFFFFF"/>
          <w:sz w:val="2"/>
          <w:szCs w:val="2"/>
          <w:rtl/>
        </w:rPr>
        <w:t>54678313</w:t>
      </w:r>
    </w:p>
    <w:p w14:paraId="7945BD80" w14:textId="77777777" w:rsidR="00262689" w:rsidRDefault="00262689" w:rsidP="00262689">
      <w:r w:rsidRPr="00262689">
        <w:rPr>
          <w:color w:val="000000"/>
          <w:rtl/>
        </w:rPr>
        <w:t>נוסח מסמך זה כפוף לשינויי ניסוח ועריכה</w:t>
      </w:r>
    </w:p>
    <w:p w14:paraId="0383E275" w14:textId="77777777" w:rsidR="00262689" w:rsidRDefault="00262689" w:rsidP="00262689">
      <w:pPr>
        <w:rPr>
          <w:rtl/>
        </w:rPr>
      </w:pPr>
    </w:p>
    <w:p w14:paraId="7593639D" w14:textId="77777777" w:rsidR="00262689" w:rsidRDefault="00262689" w:rsidP="00262689">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32617852" w14:textId="77777777" w:rsidR="00B24449" w:rsidRPr="00B24449" w:rsidRDefault="00B24449" w:rsidP="00B24449">
      <w:pPr>
        <w:keepNext/>
        <w:rPr>
          <w:rFonts w:ascii="David" w:hAnsi="David"/>
          <w:color w:val="000000"/>
          <w:sz w:val="22"/>
          <w:szCs w:val="22"/>
          <w:rtl/>
        </w:rPr>
      </w:pPr>
    </w:p>
    <w:p w14:paraId="6051A60C" w14:textId="77777777" w:rsidR="00B24449" w:rsidRPr="00B24449" w:rsidRDefault="00B24449" w:rsidP="00B24449">
      <w:pPr>
        <w:keepNext/>
        <w:rPr>
          <w:rFonts w:ascii="David" w:hAnsi="David"/>
          <w:color w:val="000000"/>
          <w:sz w:val="22"/>
          <w:szCs w:val="22"/>
          <w:rtl/>
        </w:rPr>
      </w:pPr>
      <w:r w:rsidRPr="00B24449">
        <w:rPr>
          <w:rFonts w:ascii="David" w:hAnsi="David"/>
          <w:color w:val="000000"/>
          <w:sz w:val="22"/>
          <w:szCs w:val="22"/>
          <w:rtl/>
        </w:rPr>
        <w:t>הישאם אבו שחאדה 54678313-/</w:t>
      </w:r>
    </w:p>
    <w:sectPr w:rsidR="00B24449" w:rsidRPr="00B24449" w:rsidSect="00B24449">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8DFE7C" w14:textId="77777777" w:rsidR="001C427E" w:rsidRDefault="001C427E">
      <w:r>
        <w:separator/>
      </w:r>
    </w:p>
  </w:endnote>
  <w:endnote w:type="continuationSeparator" w:id="0">
    <w:p w14:paraId="493816E7" w14:textId="77777777" w:rsidR="001C427E" w:rsidRDefault="001C4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610B1C" w14:textId="77777777" w:rsidR="00B24449" w:rsidRDefault="00B24449" w:rsidP="00B2444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DF3F86F" w14:textId="77777777" w:rsidR="006D1A70" w:rsidRPr="00B24449" w:rsidRDefault="00B24449" w:rsidP="00B24449">
    <w:pPr>
      <w:pStyle w:val="a4"/>
      <w:pBdr>
        <w:top w:val="single" w:sz="4" w:space="1" w:color="auto"/>
        <w:between w:val="single" w:sz="4" w:space="0" w:color="auto"/>
      </w:pBdr>
      <w:spacing w:after="60"/>
      <w:jc w:val="center"/>
      <w:rPr>
        <w:rFonts w:ascii="FrankRuehl" w:hAnsi="FrankRuehl" w:cs="FrankRuehl"/>
        <w:color w:val="000000"/>
      </w:rPr>
    </w:pPr>
    <w:r w:rsidRPr="00B2444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98D458" w14:textId="77777777" w:rsidR="00B24449" w:rsidRDefault="00B24449" w:rsidP="00B2444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765A6">
      <w:rPr>
        <w:rFonts w:ascii="FrankRuehl" w:hAnsi="FrankRuehl" w:cs="FrankRuehl"/>
        <w:noProof/>
        <w:rtl/>
      </w:rPr>
      <w:t>1</w:t>
    </w:r>
    <w:r>
      <w:rPr>
        <w:rFonts w:ascii="FrankRuehl" w:hAnsi="FrankRuehl" w:cs="FrankRuehl"/>
        <w:rtl/>
      </w:rPr>
      <w:fldChar w:fldCharType="end"/>
    </w:r>
  </w:p>
  <w:p w14:paraId="4A17185F" w14:textId="77777777" w:rsidR="006D1A70" w:rsidRPr="00B24449" w:rsidRDefault="00B24449" w:rsidP="00B24449">
    <w:pPr>
      <w:pStyle w:val="a4"/>
      <w:pBdr>
        <w:top w:val="single" w:sz="4" w:space="1" w:color="auto"/>
        <w:between w:val="single" w:sz="4" w:space="0" w:color="auto"/>
      </w:pBdr>
      <w:spacing w:after="60"/>
      <w:jc w:val="center"/>
      <w:rPr>
        <w:rFonts w:ascii="FrankRuehl" w:hAnsi="FrankRuehl" w:cs="FrankRuehl"/>
        <w:color w:val="000000"/>
      </w:rPr>
    </w:pPr>
    <w:r w:rsidRPr="00B24449">
      <w:rPr>
        <w:rFonts w:ascii="FrankRuehl" w:hAnsi="FrankRuehl" w:cs="FrankRuehl"/>
        <w:color w:val="000000"/>
      </w:rPr>
      <w:pict w14:anchorId="320F65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6E9AC5" w14:textId="77777777" w:rsidR="001C427E" w:rsidRDefault="001C427E">
      <w:r>
        <w:separator/>
      </w:r>
    </w:p>
  </w:footnote>
  <w:footnote w:type="continuationSeparator" w:id="0">
    <w:p w14:paraId="0D39F9DF" w14:textId="77777777" w:rsidR="001C427E" w:rsidRDefault="001C42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16F11A" w14:textId="77777777" w:rsidR="00262689" w:rsidRPr="00B24449" w:rsidRDefault="00B24449" w:rsidP="00B2444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34656-04-13</w:t>
    </w:r>
    <w:r>
      <w:rPr>
        <w:rFonts w:ascii="David" w:hAnsi="David"/>
        <w:color w:val="000000"/>
        <w:sz w:val="22"/>
        <w:szCs w:val="22"/>
        <w:rtl/>
      </w:rPr>
      <w:tab/>
      <w:t xml:space="preserve"> מדינת ישראל  נ' אמזר דזנשוילי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68A7D1" w14:textId="77777777" w:rsidR="00262689" w:rsidRPr="00B24449" w:rsidRDefault="00B24449" w:rsidP="00B2444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34656-04-13</w:t>
    </w:r>
    <w:r>
      <w:rPr>
        <w:rFonts w:ascii="David" w:hAnsi="David"/>
        <w:color w:val="000000"/>
        <w:sz w:val="22"/>
        <w:szCs w:val="22"/>
        <w:rtl/>
      </w:rPr>
      <w:tab/>
      <w:t xml:space="preserve"> מדינת ישראל  נ' אמזר דזנשוילי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D1A70"/>
    <w:rsid w:val="000D0604"/>
    <w:rsid w:val="001765A6"/>
    <w:rsid w:val="001C427E"/>
    <w:rsid w:val="00262689"/>
    <w:rsid w:val="00361637"/>
    <w:rsid w:val="00544BE5"/>
    <w:rsid w:val="006D1A70"/>
    <w:rsid w:val="008D7647"/>
    <w:rsid w:val="00B24449"/>
    <w:rsid w:val="00E64C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1696F3C"/>
  <w15:chartTrackingRefBased/>
  <w15:docId w15:val="{786AB80D-044E-4BF0-8E66-EBF43306E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D1A70"/>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D1A70"/>
    <w:pPr>
      <w:tabs>
        <w:tab w:val="center" w:pos="4153"/>
        <w:tab w:val="right" w:pos="8306"/>
      </w:tabs>
    </w:pPr>
  </w:style>
  <w:style w:type="paragraph" w:styleId="a4">
    <w:name w:val="footer"/>
    <w:basedOn w:val="a"/>
    <w:rsid w:val="006D1A70"/>
    <w:pPr>
      <w:tabs>
        <w:tab w:val="center" w:pos="4153"/>
        <w:tab w:val="right" w:pos="8306"/>
      </w:tabs>
    </w:pPr>
  </w:style>
  <w:style w:type="character" w:styleId="a5">
    <w:name w:val="page number"/>
    <w:basedOn w:val="a0"/>
    <w:rsid w:val="006D1A70"/>
  </w:style>
  <w:style w:type="character" w:styleId="Hyperlink">
    <w:name w:val="Hyperlink"/>
    <w:basedOn w:val="a0"/>
    <w:rsid w:val="002626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case/5583030" TargetMode="External"/><Relationship Id="rId26" Type="http://schemas.openxmlformats.org/officeDocument/2006/relationships/hyperlink" Target="http://www.nevo.co.il/case/11292203" TargetMode="External"/><Relationship Id="rId39" Type="http://schemas.openxmlformats.org/officeDocument/2006/relationships/header" Target="header1.xml"/><Relationship Id="rId21" Type="http://schemas.openxmlformats.org/officeDocument/2006/relationships/hyperlink" Target="http://www.nevo.co.il/case/5727295" TargetMode="External"/><Relationship Id="rId34" Type="http://schemas.openxmlformats.org/officeDocument/2006/relationships/hyperlink" Target="http://www.nevo.co.il/law/4216" TargetMode="External"/><Relationship Id="rId42" Type="http://schemas.openxmlformats.org/officeDocument/2006/relationships/footer" Target="footer2.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4216/10" TargetMode="External"/><Relationship Id="rId20" Type="http://schemas.openxmlformats.org/officeDocument/2006/relationships/hyperlink" Target="http://www.nevo.co.il/case/17023618" TargetMode="External"/><Relationship Id="rId29" Type="http://schemas.openxmlformats.org/officeDocument/2006/relationships/hyperlink" Target="http://www.nevo.co.il/case/11279208" TargetMode="External"/><Relationship Id="rId41"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 TargetMode="External"/><Relationship Id="rId24" Type="http://schemas.openxmlformats.org/officeDocument/2006/relationships/hyperlink" Target="http://www.nevo.co.il/law/4216" TargetMode="External"/><Relationship Id="rId32" Type="http://schemas.openxmlformats.org/officeDocument/2006/relationships/hyperlink" Target="http://www.nevo.co.il/case/11269745" TargetMode="External"/><Relationship Id="rId37" Type="http://schemas.openxmlformats.org/officeDocument/2006/relationships/hyperlink" Target="http://www.nevo.co.il/law/4216" TargetMode="External"/><Relationship Id="rId40"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law/4216/10" TargetMode="External"/><Relationship Id="rId28" Type="http://schemas.openxmlformats.org/officeDocument/2006/relationships/hyperlink" Target="http://www.nevo.co.il/law/70301" TargetMode="External"/><Relationship Id="rId36" Type="http://schemas.openxmlformats.org/officeDocument/2006/relationships/hyperlink" Target="http://www.nevo.co.il/law/4216/36h" TargetMode="External"/><Relationship Id="rId10" Type="http://schemas.openxmlformats.org/officeDocument/2006/relationships/hyperlink" Target="http://www.nevo.co.il/law/4216/36h" TargetMode="External"/><Relationship Id="rId19" Type="http://schemas.openxmlformats.org/officeDocument/2006/relationships/hyperlink" Target="http://www.nevo.co.il/case/5578372" TargetMode="External"/><Relationship Id="rId31" Type="http://schemas.openxmlformats.org/officeDocument/2006/relationships/hyperlink" Target="http://www.nevo.co.il/case/5590169" TargetMode="Externa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4216/10" TargetMode="External"/><Relationship Id="rId14" Type="http://schemas.openxmlformats.org/officeDocument/2006/relationships/hyperlink" Target="http://www.nevo.co.il/law/4216/7.c" TargetMode="External"/><Relationship Id="rId22" Type="http://schemas.openxmlformats.org/officeDocument/2006/relationships/hyperlink" Target="http://www.nevo.co.il/case/5831254" TargetMode="External"/><Relationship Id="rId27" Type="http://schemas.openxmlformats.org/officeDocument/2006/relationships/hyperlink" Target="http://www.nevo.co.il/law/70301/40d" TargetMode="External"/><Relationship Id="rId30" Type="http://schemas.openxmlformats.org/officeDocument/2006/relationships/hyperlink" Target="http://www.nevo.co.il/case/6824952" TargetMode="External"/><Relationship Id="rId35" Type="http://schemas.openxmlformats.org/officeDocument/2006/relationships/hyperlink" Target="http://www.nevo.co.il/law/4216" TargetMode="External"/><Relationship Id="rId43" Type="http://schemas.openxmlformats.org/officeDocument/2006/relationships/fontTable" Target="fontTable.xml"/><Relationship Id="rId8" Type="http://schemas.openxmlformats.org/officeDocument/2006/relationships/hyperlink" Target="http://www.nevo.co.il/law/4216/7.c" TargetMode="External"/><Relationship Id="rId3" Type="http://schemas.openxmlformats.org/officeDocument/2006/relationships/webSettings" Target="webSettings.xml"/><Relationship Id="rId12" Type="http://schemas.openxmlformats.org/officeDocument/2006/relationships/hyperlink" Target="http://www.nevo.co.il/law/70301/40d" TargetMode="External"/><Relationship Id="rId17" Type="http://schemas.openxmlformats.org/officeDocument/2006/relationships/hyperlink" Target="http://www.nevo.co.il/case/5888684" TargetMode="External"/><Relationship Id="rId25" Type="http://schemas.openxmlformats.org/officeDocument/2006/relationships/hyperlink" Target="http://www.nevo.co.il/case/6076925" TargetMode="External"/><Relationship Id="rId33" Type="http://schemas.openxmlformats.org/officeDocument/2006/relationships/hyperlink" Target="http://www.nevo.co.il/case/5888684"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2448</Words>
  <Characters>12244</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14663</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8257637</vt:i4>
      </vt:variant>
      <vt:variant>
        <vt:i4>93</vt:i4>
      </vt:variant>
      <vt:variant>
        <vt:i4>0</vt:i4>
      </vt:variant>
      <vt:variant>
        <vt:i4>5</vt:i4>
      </vt:variant>
      <vt:variant>
        <vt:lpwstr>http://www.nevo.co.il/law/4216</vt:lpwstr>
      </vt:variant>
      <vt:variant>
        <vt:lpwstr/>
      </vt:variant>
      <vt:variant>
        <vt:i4>2424956</vt:i4>
      </vt:variant>
      <vt:variant>
        <vt:i4>90</vt:i4>
      </vt:variant>
      <vt:variant>
        <vt:i4>0</vt:i4>
      </vt:variant>
      <vt:variant>
        <vt:i4>5</vt:i4>
      </vt:variant>
      <vt:variant>
        <vt:lpwstr>http://www.nevo.co.il/law/4216/36h</vt:lpwstr>
      </vt:variant>
      <vt:variant>
        <vt:lpwstr/>
      </vt:variant>
      <vt:variant>
        <vt:i4>8257637</vt:i4>
      </vt:variant>
      <vt:variant>
        <vt:i4>87</vt:i4>
      </vt:variant>
      <vt:variant>
        <vt:i4>0</vt:i4>
      </vt:variant>
      <vt:variant>
        <vt:i4>5</vt:i4>
      </vt:variant>
      <vt:variant>
        <vt:lpwstr>http://www.nevo.co.il/law/4216</vt:lpwstr>
      </vt:variant>
      <vt:variant>
        <vt:lpwstr/>
      </vt:variant>
      <vt:variant>
        <vt:i4>8257637</vt:i4>
      </vt:variant>
      <vt:variant>
        <vt:i4>84</vt:i4>
      </vt:variant>
      <vt:variant>
        <vt:i4>0</vt:i4>
      </vt:variant>
      <vt:variant>
        <vt:i4>5</vt:i4>
      </vt:variant>
      <vt:variant>
        <vt:lpwstr>http://www.nevo.co.il/law/4216</vt:lpwstr>
      </vt:variant>
      <vt:variant>
        <vt:lpwstr/>
      </vt:variant>
      <vt:variant>
        <vt:i4>4128892</vt:i4>
      </vt:variant>
      <vt:variant>
        <vt:i4>81</vt:i4>
      </vt:variant>
      <vt:variant>
        <vt:i4>0</vt:i4>
      </vt:variant>
      <vt:variant>
        <vt:i4>5</vt:i4>
      </vt:variant>
      <vt:variant>
        <vt:lpwstr>http://www.nevo.co.il/case/5888684</vt:lpwstr>
      </vt:variant>
      <vt:variant>
        <vt:lpwstr/>
      </vt:variant>
      <vt:variant>
        <vt:i4>4063348</vt:i4>
      </vt:variant>
      <vt:variant>
        <vt:i4>78</vt:i4>
      </vt:variant>
      <vt:variant>
        <vt:i4>0</vt:i4>
      </vt:variant>
      <vt:variant>
        <vt:i4>5</vt:i4>
      </vt:variant>
      <vt:variant>
        <vt:lpwstr>http://www.nevo.co.il/case/11269745</vt:lpwstr>
      </vt:variant>
      <vt:variant>
        <vt:lpwstr/>
      </vt:variant>
      <vt:variant>
        <vt:i4>3407991</vt:i4>
      </vt:variant>
      <vt:variant>
        <vt:i4>75</vt:i4>
      </vt:variant>
      <vt:variant>
        <vt:i4>0</vt:i4>
      </vt:variant>
      <vt:variant>
        <vt:i4>5</vt:i4>
      </vt:variant>
      <vt:variant>
        <vt:lpwstr>http://www.nevo.co.il/case/5590169</vt:lpwstr>
      </vt:variant>
      <vt:variant>
        <vt:lpwstr/>
      </vt:variant>
      <vt:variant>
        <vt:i4>4128893</vt:i4>
      </vt:variant>
      <vt:variant>
        <vt:i4>72</vt:i4>
      </vt:variant>
      <vt:variant>
        <vt:i4>0</vt:i4>
      </vt:variant>
      <vt:variant>
        <vt:i4>5</vt:i4>
      </vt:variant>
      <vt:variant>
        <vt:lpwstr>http://www.nevo.co.il/case/6824952</vt:lpwstr>
      </vt:variant>
      <vt:variant>
        <vt:lpwstr/>
      </vt:variant>
      <vt:variant>
        <vt:i4>3801200</vt:i4>
      </vt:variant>
      <vt:variant>
        <vt:i4>69</vt:i4>
      </vt:variant>
      <vt:variant>
        <vt:i4>0</vt:i4>
      </vt:variant>
      <vt:variant>
        <vt:i4>5</vt:i4>
      </vt:variant>
      <vt:variant>
        <vt:lpwstr>http://www.nevo.co.il/case/11279208</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http://www.nevo.co.il/law/70301/40d</vt:lpwstr>
      </vt:variant>
      <vt:variant>
        <vt:lpwstr/>
      </vt:variant>
      <vt:variant>
        <vt:i4>3211390</vt:i4>
      </vt:variant>
      <vt:variant>
        <vt:i4>60</vt:i4>
      </vt:variant>
      <vt:variant>
        <vt:i4>0</vt:i4>
      </vt:variant>
      <vt:variant>
        <vt:i4>5</vt:i4>
      </vt:variant>
      <vt:variant>
        <vt:lpwstr>http://www.nevo.co.il/case/11292203</vt:lpwstr>
      </vt:variant>
      <vt:variant>
        <vt:lpwstr/>
      </vt:variant>
      <vt:variant>
        <vt:i4>3997808</vt:i4>
      </vt:variant>
      <vt:variant>
        <vt:i4>57</vt:i4>
      </vt:variant>
      <vt:variant>
        <vt:i4>0</vt:i4>
      </vt:variant>
      <vt:variant>
        <vt:i4>5</vt:i4>
      </vt:variant>
      <vt:variant>
        <vt:lpwstr>http://www.nevo.co.il/case/6076925</vt:lpwstr>
      </vt:variant>
      <vt:variant>
        <vt:lpwstr/>
      </vt:variant>
      <vt:variant>
        <vt:i4>8257637</vt:i4>
      </vt:variant>
      <vt:variant>
        <vt:i4>54</vt:i4>
      </vt:variant>
      <vt:variant>
        <vt:i4>0</vt:i4>
      </vt:variant>
      <vt:variant>
        <vt:i4>5</vt:i4>
      </vt:variant>
      <vt:variant>
        <vt:lpwstr>http://www.nevo.co.il/law/4216</vt:lpwstr>
      </vt:variant>
      <vt:variant>
        <vt:lpwstr/>
      </vt:variant>
      <vt:variant>
        <vt:i4>5177418</vt:i4>
      </vt:variant>
      <vt:variant>
        <vt:i4>51</vt:i4>
      </vt:variant>
      <vt:variant>
        <vt:i4>0</vt:i4>
      </vt:variant>
      <vt:variant>
        <vt:i4>5</vt:i4>
      </vt:variant>
      <vt:variant>
        <vt:lpwstr>http://www.nevo.co.il/law/4216/10</vt:lpwstr>
      </vt:variant>
      <vt:variant>
        <vt:lpwstr/>
      </vt:variant>
      <vt:variant>
        <vt:i4>3145848</vt:i4>
      </vt:variant>
      <vt:variant>
        <vt:i4>48</vt:i4>
      </vt:variant>
      <vt:variant>
        <vt:i4>0</vt:i4>
      </vt:variant>
      <vt:variant>
        <vt:i4>5</vt:i4>
      </vt:variant>
      <vt:variant>
        <vt:lpwstr>http://www.nevo.co.il/case/5831254</vt:lpwstr>
      </vt:variant>
      <vt:variant>
        <vt:lpwstr/>
      </vt:variant>
      <vt:variant>
        <vt:i4>3145853</vt:i4>
      </vt:variant>
      <vt:variant>
        <vt:i4>45</vt:i4>
      </vt:variant>
      <vt:variant>
        <vt:i4>0</vt:i4>
      </vt:variant>
      <vt:variant>
        <vt:i4>5</vt:i4>
      </vt:variant>
      <vt:variant>
        <vt:lpwstr>http://www.nevo.co.il/case/5727295</vt:lpwstr>
      </vt:variant>
      <vt:variant>
        <vt:lpwstr/>
      </vt:variant>
      <vt:variant>
        <vt:i4>3342455</vt:i4>
      </vt:variant>
      <vt:variant>
        <vt:i4>42</vt:i4>
      </vt:variant>
      <vt:variant>
        <vt:i4>0</vt:i4>
      </vt:variant>
      <vt:variant>
        <vt:i4>5</vt:i4>
      </vt:variant>
      <vt:variant>
        <vt:lpwstr>http://www.nevo.co.il/case/17023618</vt:lpwstr>
      </vt:variant>
      <vt:variant>
        <vt:lpwstr/>
      </vt:variant>
      <vt:variant>
        <vt:i4>3342462</vt:i4>
      </vt:variant>
      <vt:variant>
        <vt:i4>39</vt:i4>
      </vt:variant>
      <vt:variant>
        <vt:i4>0</vt:i4>
      </vt:variant>
      <vt:variant>
        <vt:i4>5</vt:i4>
      </vt:variant>
      <vt:variant>
        <vt:lpwstr>http://www.nevo.co.il/case/5578372</vt:lpwstr>
      </vt:variant>
      <vt:variant>
        <vt:lpwstr/>
      </vt:variant>
      <vt:variant>
        <vt:i4>3997809</vt:i4>
      </vt:variant>
      <vt:variant>
        <vt:i4>36</vt:i4>
      </vt:variant>
      <vt:variant>
        <vt:i4>0</vt:i4>
      </vt:variant>
      <vt:variant>
        <vt:i4>5</vt:i4>
      </vt:variant>
      <vt:variant>
        <vt:lpwstr>http://www.nevo.co.il/case/5583030</vt:lpwstr>
      </vt:variant>
      <vt:variant>
        <vt:lpwstr/>
      </vt:variant>
      <vt:variant>
        <vt:i4>4128892</vt:i4>
      </vt:variant>
      <vt:variant>
        <vt:i4>33</vt:i4>
      </vt:variant>
      <vt:variant>
        <vt:i4>0</vt:i4>
      </vt:variant>
      <vt:variant>
        <vt:i4>5</vt:i4>
      </vt:variant>
      <vt:variant>
        <vt:lpwstr>http://www.nevo.co.il/case/5888684</vt:lpwstr>
      </vt:variant>
      <vt:variant>
        <vt:lpwstr/>
      </vt:variant>
      <vt:variant>
        <vt:i4>5177418</vt:i4>
      </vt:variant>
      <vt:variant>
        <vt:i4>30</vt:i4>
      </vt:variant>
      <vt:variant>
        <vt:i4>0</vt:i4>
      </vt:variant>
      <vt:variant>
        <vt:i4>5</vt:i4>
      </vt:variant>
      <vt:variant>
        <vt:lpwstr>http://www.nevo.co.il/law/4216/10</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7995492</vt:i4>
      </vt:variant>
      <vt:variant>
        <vt:i4>15</vt:i4>
      </vt:variant>
      <vt:variant>
        <vt:i4>0</vt:i4>
      </vt:variant>
      <vt:variant>
        <vt:i4>5</vt:i4>
      </vt:variant>
      <vt:variant>
        <vt:lpwstr>http://www.nevo.co.il/law/70301</vt:lpwstr>
      </vt:variant>
      <vt:variant>
        <vt:lpwstr/>
      </vt:variant>
      <vt:variant>
        <vt:i4>2424956</vt:i4>
      </vt:variant>
      <vt:variant>
        <vt:i4>12</vt:i4>
      </vt:variant>
      <vt:variant>
        <vt:i4>0</vt:i4>
      </vt:variant>
      <vt:variant>
        <vt:i4>5</vt:i4>
      </vt:variant>
      <vt:variant>
        <vt:lpwstr>http://www.nevo.co.il/law/4216/36h</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2025-04-22T22:00:00Z</dcterms:created>
  <dcterms:modified xsi:type="dcterms:W3CDTF">2025-04-22T22:00:00Z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34656</vt:lpwstr>
  </property>
  <property fmtid="{D5CDD505-2E9C-101B-9397-08002B2CF9AE}" pid="6" name="NEWPARTB">
    <vt:lpwstr>04</vt:lpwstr>
  </property>
  <property fmtid="{D5CDD505-2E9C-101B-9397-08002B2CF9AE}" pid="7" name="NEWPARTC">
    <vt:lpwstr>13</vt:lpwstr>
  </property>
  <property fmtid="{D5CDD505-2E9C-101B-9397-08002B2CF9AE}" pid="8" name="APPELLANT">
    <vt:lpwstr>מדינת ישראל </vt:lpwstr>
  </property>
  <property fmtid="{D5CDD505-2E9C-101B-9397-08002B2CF9AE}" pid="9" name="APPELLEE">
    <vt:lpwstr>אמזר דזנשוילי</vt:lpwstr>
  </property>
  <property fmtid="{D5CDD505-2E9C-101B-9397-08002B2CF9AE}" pid="10" name="LAWYER">
    <vt:lpwstr>ינאי גורני;ארז מלמד</vt:lpwstr>
  </property>
  <property fmtid="{D5CDD505-2E9C-101B-9397-08002B2CF9AE}" pid="11" name="JUDGE">
    <vt:lpwstr>הישאם אבו שחאדה</vt:lpwstr>
  </property>
  <property fmtid="{D5CDD505-2E9C-101B-9397-08002B2CF9AE}" pid="12" name="CITY">
    <vt:lpwstr>רמ'</vt:lpwstr>
  </property>
  <property fmtid="{D5CDD505-2E9C-101B-9397-08002B2CF9AE}" pid="13" name="DATE">
    <vt:lpwstr>20141225</vt:lpwstr>
  </property>
  <property fmtid="{D5CDD505-2E9C-101B-9397-08002B2CF9AE}" pid="14" name="TYPE_N_DATE">
    <vt:lpwstr>38020141225</vt:lpwstr>
  </property>
  <property fmtid="{D5CDD505-2E9C-101B-9397-08002B2CF9AE}" pid="15" name="CASESLISTTMP1">
    <vt:lpwstr>5888684:2;5583030;5578372;17023618;5727295;5831254;6076925;11292203;11279208;6824952;5590169;11269745</vt:lpwstr>
  </property>
  <property fmtid="{D5CDD505-2E9C-101B-9397-08002B2CF9AE}" pid="16" name="CASENOTES1">
    <vt:lpwstr>ProcID=133;209&amp;PartA=1282&amp;PartC=07</vt:lpwstr>
  </property>
  <property fmtid="{D5CDD505-2E9C-101B-9397-08002B2CF9AE}" pid="17" name="CASENOTES2">
    <vt:lpwstr>ProcID=209&amp;PartA=3224&amp;PartC=08</vt:lpwstr>
  </property>
  <property fmtid="{D5CDD505-2E9C-101B-9397-08002B2CF9AE}" pid="18" name="WORDNUMPAGES">
    <vt:lpwstr>9</vt:lpwstr>
  </property>
  <property fmtid="{D5CDD505-2E9C-101B-9397-08002B2CF9AE}" pid="19" name="TYPE_ABS_DATE">
    <vt:lpwstr>380020141225</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4216/007.a;007.c;010;036h</vt:lpwstr>
  </property>
  <property fmtid="{D5CDD505-2E9C-101B-9397-08002B2CF9AE}" pid="39" name="LAWLISTTMP2">
    <vt:lpwstr>70301/040d</vt:lpwstr>
  </property>
</Properties>
</file>