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F3C36" w:rsidRPr="00763135" w14:paraId="512F9D04" w14:textId="77777777">
        <w:trPr>
          <w:trHeight w:hRule="exact" w:val="418"/>
          <w:jc w:val="center"/>
        </w:trPr>
        <w:tc>
          <w:tcPr>
            <w:tcW w:w="8721" w:type="dxa"/>
            <w:gridSpan w:val="2"/>
          </w:tcPr>
          <w:p w14:paraId="4337DD3F" w14:textId="77777777" w:rsidR="001F3C36" w:rsidRPr="00763135" w:rsidRDefault="00763135">
            <w:pPr>
              <w:pStyle w:val="a3"/>
              <w:jc w:val="center"/>
              <w:rPr>
                <w:rFonts w:ascii="Tahoma" w:hAnsi="Tahoma" w:cs="Tahoma"/>
                <w:color w:val="000080"/>
                <w:rtl/>
              </w:rPr>
            </w:pPr>
            <w:bookmarkStart w:id="0" w:name="LastJudge"/>
            <w:r w:rsidRPr="00763135">
              <w:rPr>
                <w:rFonts w:ascii="Tahoma" w:hAnsi="Tahoma" w:cs="Tahoma"/>
                <w:b/>
                <w:bCs/>
                <w:color w:val="000080"/>
                <w:rtl/>
              </w:rPr>
              <w:t>בית משפט השלום בירושלים</w:t>
            </w:r>
          </w:p>
        </w:tc>
      </w:tr>
      <w:tr w:rsidR="001F3C36" w:rsidRPr="00763135" w14:paraId="2AC94761" w14:textId="77777777">
        <w:trPr>
          <w:trHeight w:val="337"/>
          <w:jc w:val="center"/>
        </w:trPr>
        <w:tc>
          <w:tcPr>
            <w:tcW w:w="5054" w:type="dxa"/>
          </w:tcPr>
          <w:p w14:paraId="2AA78835" w14:textId="77777777" w:rsidR="001F3C36" w:rsidRPr="00763135" w:rsidRDefault="00763135">
            <w:pPr>
              <w:rPr>
                <w:rFonts w:cs="FrankRuehl"/>
                <w:sz w:val="28"/>
                <w:szCs w:val="28"/>
                <w:rtl/>
              </w:rPr>
            </w:pPr>
            <w:r w:rsidRPr="00763135">
              <w:rPr>
                <w:rFonts w:cs="FrankRuehl"/>
                <w:sz w:val="28"/>
                <w:szCs w:val="28"/>
                <w:rtl/>
              </w:rPr>
              <w:t>ת"פ</w:t>
            </w:r>
            <w:r w:rsidRPr="00763135">
              <w:rPr>
                <w:rFonts w:cs="FrankRuehl" w:hint="cs"/>
                <w:sz w:val="28"/>
                <w:szCs w:val="28"/>
                <w:rtl/>
              </w:rPr>
              <w:t xml:space="preserve"> </w:t>
            </w:r>
            <w:r w:rsidRPr="00763135">
              <w:rPr>
                <w:rFonts w:cs="FrankRuehl"/>
                <w:sz w:val="28"/>
                <w:szCs w:val="28"/>
                <w:rtl/>
              </w:rPr>
              <w:t>34680-04-13</w:t>
            </w:r>
            <w:r w:rsidRPr="00763135">
              <w:rPr>
                <w:rFonts w:cs="FrankRuehl" w:hint="cs"/>
                <w:sz w:val="28"/>
                <w:szCs w:val="28"/>
                <w:rtl/>
              </w:rPr>
              <w:t xml:space="preserve"> </w:t>
            </w:r>
            <w:r w:rsidRPr="00763135">
              <w:rPr>
                <w:rFonts w:cs="FrankRuehl"/>
                <w:sz w:val="28"/>
                <w:szCs w:val="28"/>
                <w:rtl/>
              </w:rPr>
              <w:t>מדינת ישראל נ' סטלמן</w:t>
            </w:r>
          </w:p>
        </w:tc>
        <w:tc>
          <w:tcPr>
            <w:tcW w:w="3667" w:type="dxa"/>
          </w:tcPr>
          <w:p w14:paraId="7821265A" w14:textId="77777777" w:rsidR="001F3C36" w:rsidRPr="00763135" w:rsidRDefault="001F3C36">
            <w:pPr>
              <w:pStyle w:val="a3"/>
              <w:jc w:val="right"/>
              <w:rPr>
                <w:rFonts w:cs="FrankRuehl"/>
                <w:sz w:val="28"/>
                <w:szCs w:val="28"/>
                <w:rtl/>
              </w:rPr>
            </w:pPr>
          </w:p>
        </w:tc>
      </w:tr>
    </w:tbl>
    <w:p w14:paraId="06C4114F" w14:textId="77777777" w:rsidR="001F3C36" w:rsidRPr="00763135" w:rsidRDefault="00763135">
      <w:pPr>
        <w:pStyle w:val="a3"/>
        <w:rPr>
          <w:rtl/>
        </w:rPr>
      </w:pPr>
      <w:r w:rsidRPr="00763135">
        <w:rPr>
          <w:rFonts w:hint="cs"/>
          <w:rtl/>
        </w:rPr>
        <w:t xml:space="preserve"> </w:t>
      </w:r>
    </w:p>
    <w:p w14:paraId="2AD8B89A" w14:textId="77777777" w:rsidR="001F3C36" w:rsidRPr="00763135" w:rsidRDefault="001F3C36">
      <w:pPr>
        <w:pStyle w:val="ListParagraph"/>
        <w:spacing w:line="360" w:lineRule="auto"/>
        <w:ind w:left="283"/>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F3C36" w:rsidRPr="00763135" w14:paraId="7BAF8CE2" w14:textId="77777777">
        <w:trPr>
          <w:trHeight w:val="295"/>
          <w:jc w:val="center"/>
        </w:trPr>
        <w:tc>
          <w:tcPr>
            <w:tcW w:w="923" w:type="dxa"/>
            <w:tcBorders>
              <w:top w:val="nil"/>
              <w:left w:val="nil"/>
              <w:bottom w:val="nil"/>
              <w:right w:val="nil"/>
            </w:tcBorders>
          </w:tcPr>
          <w:p w14:paraId="572EA890" w14:textId="77777777" w:rsidR="001F3C36" w:rsidRPr="00763135" w:rsidRDefault="00763135">
            <w:pPr>
              <w:jc w:val="both"/>
              <w:rPr>
                <w:rFonts w:ascii="Arial" w:hAnsi="Arial"/>
              </w:rPr>
            </w:pPr>
            <w:bookmarkStart w:id="1" w:name="_GoBack"/>
            <w:bookmarkEnd w:id="1"/>
            <w:r w:rsidRPr="00763135">
              <w:rPr>
                <w:rFonts w:ascii="Arial" w:hAnsi="Arial" w:hint="cs"/>
                <w:rtl/>
              </w:rPr>
              <w:t>ב</w:t>
            </w:r>
            <w:r w:rsidRPr="00763135">
              <w:rPr>
                <w:rFonts w:ascii="Arial" w:hAnsi="Arial"/>
                <w:rtl/>
              </w:rPr>
              <w:t xml:space="preserve">פני </w:t>
            </w:r>
          </w:p>
        </w:tc>
        <w:tc>
          <w:tcPr>
            <w:tcW w:w="7897" w:type="dxa"/>
            <w:gridSpan w:val="2"/>
            <w:tcBorders>
              <w:top w:val="nil"/>
              <w:left w:val="nil"/>
              <w:bottom w:val="nil"/>
              <w:right w:val="nil"/>
            </w:tcBorders>
          </w:tcPr>
          <w:p w14:paraId="34057421" w14:textId="77777777" w:rsidR="001F3C36" w:rsidRPr="00763135" w:rsidRDefault="00763135">
            <w:pPr>
              <w:rPr>
                <w:rFonts w:ascii="Arial" w:hAnsi="Arial"/>
                <w:b/>
                <w:bCs/>
                <w:rtl/>
              </w:rPr>
            </w:pPr>
            <w:r w:rsidRPr="00763135">
              <w:rPr>
                <w:rFonts w:ascii="Arial" w:hAnsi="Arial" w:hint="cs"/>
                <w:b/>
                <w:bCs/>
                <w:rtl/>
              </w:rPr>
              <w:t>כב' ה</w:t>
            </w:r>
            <w:r w:rsidRPr="00763135">
              <w:rPr>
                <w:rFonts w:ascii="Arial" w:hAnsi="Arial"/>
                <w:b/>
                <w:bCs/>
                <w:rtl/>
              </w:rPr>
              <w:t>שופטת</w:t>
            </w:r>
            <w:r w:rsidRPr="00763135">
              <w:rPr>
                <w:rFonts w:ascii="Arial" w:hAnsi="Arial" w:hint="cs"/>
                <w:b/>
                <w:bCs/>
                <w:rtl/>
              </w:rPr>
              <w:t xml:space="preserve">  </w:t>
            </w:r>
            <w:r w:rsidRPr="00763135">
              <w:rPr>
                <w:rFonts w:ascii="Arial" w:hAnsi="Arial"/>
                <w:b/>
                <w:bCs/>
                <w:rtl/>
              </w:rPr>
              <w:t>חנה מרים לומפ</w:t>
            </w:r>
          </w:p>
          <w:p w14:paraId="5044EB55" w14:textId="77777777" w:rsidR="001F3C36" w:rsidRPr="00763135" w:rsidRDefault="001F3C36">
            <w:pPr>
              <w:rPr>
                <w:rtl/>
              </w:rPr>
            </w:pPr>
          </w:p>
          <w:p w14:paraId="7F04F172" w14:textId="77777777" w:rsidR="001F3C36" w:rsidRPr="00763135" w:rsidRDefault="001F3C36">
            <w:pPr>
              <w:jc w:val="both"/>
              <w:rPr>
                <w:rFonts w:ascii="Arial" w:hAnsi="Arial"/>
              </w:rPr>
            </w:pPr>
          </w:p>
        </w:tc>
      </w:tr>
      <w:tr w:rsidR="001F3C36" w:rsidRPr="00763135" w14:paraId="274464C7" w14:textId="77777777">
        <w:trPr>
          <w:trHeight w:val="355"/>
          <w:jc w:val="center"/>
        </w:trPr>
        <w:tc>
          <w:tcPr>
            <w:tcW w:w="923" w:type="dxa"/>
            <w:tcBorders>
              <w:top w:val="nil"/>
              <w:left w:val="nil"/>
              <w:bottom w:val="nil"/>
              <w:right w:val="nil"/>
            </w:tcBorders>
          </w:tcPr>
          <w:p w14:paraId="18BCBEA7" w14:textId="77777777" w:rsidR="001F3C36" w:rsidRPr="00763135" w:rsidRDefault="00763135">
            <w:pPr>
              <w:jc w:val="both"/>
              <w:rPr>
                <w:rFonts w:ascii="Arial" w:hAnsi="Arial"/>
                <w:b/>
                <w:bCs/>
              </w:rPr>
            </w:pPr>
            <w:bookmarkStart w:id="2" w:name="FirstAppellant"/>
            <w:r w:rsidRPr="00763135">
              <w:rPr>
                <w:rFonts w:ascii="Arial" w:hAnsi="Arial" w:hint="cs"/>
                <w:b/>
                <w:bCs/>
                <w:rtl/>
              </w:rPr>
              <w:t>בעניין:</w:t>
            </w:r>
          </w:p>
        </w:tc>
        <w:tc>
          <w:tcPr>
            <w:tcW w:w="4126" w:type="dxa"/>
            <w:tcBorders>
              <w:top w:val="nil"/>
              <w:left w:val="nil"/>
              <w:bottom w:val="nil"/>
              <w:right w:val="nil"/>
            </w:tcBorders>
          </w:tcPr>
          <w:p w14:paraId="1BEACC96" w14:textId="77777777" w:rsidR="001F3C36" w:rsidRPr="00763135" w:rsidRDefault="00763135">
            <w:pPr>
              <w:rPr>
                <w:b/>
                <w:bCs/>
              </w:rPr>
            </w:pPr>
            <w:r w:rsidRPr="00763135">
              <w:rPr>
                <w:rFonts w:ascii="Arial" w:hAnsi="Arial"/>
                <w:b/>
                <w:bCs/>
                <w:rtl/>
              </w:rPr>
              <w:t>מדינת ישראל</w:t>
            </w:r>
          </w:p>
        </w:tc>
        <w:tc>
          <w:tcPr>
            <w:tcW w:w="3771" w:type="dxa"/>
            <w:tcBorders>
              <w:top w:val="nil"/>
              <w:left w:val="nil"/>
              <w:bottom w:val="nil"/>
              <w:right w:val="nil"/>
            </w:tcBorders>
          </w:tcPr>
          <w:p w14:paraId="19B747A6" w14:textId="77777777" w:rsidR="001F3C36" w:rsidRPr="00763135" w:rsidRDefault="00763135">
            <w:pPr>
              <w:jc w:val="both"/>
              <w:rPr>
                <w:rFonts w:ascii="Arial" w:hAnsi="Arial"/>
                <w:b/>
                <w:bCs/>
              </w:rPr>
            </w:pPr>
            <w:r w:rsidRPr="00763135">
              <w:rPr>
                <w:rFonts w:ascii="Arial" w:hAnsi="Arial" w:hint="cs"/>
                <w:b/>
                <w:bCs/>
                <w:rtl/>
              </w:rPr>
              <w:t>ה</w:t>
            </w:r>
            <w:r w:rsidRPr="00763135">
              <w:rPr>
                <w:rFonts w:ascii="Arial" w:hAnsi="Arial"/>
                <w:b/>
                <w:bCs/>
                <w:rtl/>
              </w:rPr>
              <w:t>מאשימה</w:t>
            </w:r>
          </w:p>
        </w:tc>
      </w:tr>
      <w:bookmarkEnd w:id="2"/>
      <w:tr w:rsidR="001F3C36" w:rsidRPr="00763135" w14:paraId="408B7580" w14:textId="77777777">
        <w:trPr>
          <w:trHeight w:val="355"/>
          <w:jc w:val="center"/>
        </w:trPr>
        <w:tc>
          <w:tcPr>
            <w:tcW w:w="923" w:type="dxa"/>
            <w:tcBorders>
              <w:top w:val="nil"/>
              <w:left w:val="nil"/>
              <w:bottom w:val="nil"/>
              <w:right w:val="nil"/>
            </w:tcBorders>
          </w:tcPr>
          <w:p w14:paraId="05DAE5FC" w14:textId="77777777" w:rsidR="001F3C36" w:rsidRPr="00763135" w:rsidRDefault="001F3C36">
            <w:pPr>
              <w:jc w:val="both"/>
              <w:rPr>
                <w:rFonts w:ascii="Arial" w:hAnsi="Arial"/>
                <w:b/>
                <w:bCs/>
                <w:rtl/>
              </w:rPr>
            </w:pPr>
          </w:p>
        </w:tc>
        <w:tc>
          <w:tcPr>
            <w:tcW w:w="4126" w:type="dxa"/>
            <w:tcBorders>
              <w:top w:val="nil"/>
              <w:left w:val="nil"/>
              <w:bottom w:val="nil"/>
              <w:right w:val="nil"/>
            </w:tcBorders>
          </w:tcPr>
          <w:p w14:paraId="39B5B729" w14:textId="77777777" w:rsidR="001F3C36" w:rsidRPr="00763135" w:rsidRDefault="001F3C36">
            <w:pPr>
              <w:jc w:val="both"/>
              <w:rPr>
                <w:b/>
                <w:bCs/>
                <w:rtl/>
              </w:rPr>
            </w:pPr>
          </w:p>
        </w:tc>
        <w:tc>
          <w:tcPr>
            <w:tcW w:w="3771" w:type="dxa"/>
            <w:tcBorders>
              <w:top w:val="nil"/>
              <w:left w:val="nil"/>
              <w:bottom w:val="nil"/>
              <w:right w:val="nil"/>
            </w:tcBorders>
          </w:tcPr>
          <w:p w14:paraId="0B4065BB" w14:textId="77777777" w:rsidR="001F3C36" w:rsidRPr="00763135" w:rsidRDefault="001F3C36">
            <w:pPr>
              <w:rPr>
                <w:rFonts w:ascii="Arial" w:hAnsi="Arial"/>
                <w:b/>
                <w:bCs/>
                <w:rtl/>
              </w:rPr>
            </w:pPr>
          </w:p>
        </w:tc>
      </w:tr>
      <w:tr w:rsidR="001F3C36" w:rsidRPr="00763135" w14:paraId="580F425D" w14:textId="77777777">
        <w:trPr>
          <w:trHeight w:val="355"/>
          <w:jc w:val="center"/>
        </w:trPr>
        <w:tc>
          <w:tcPr>
            <w:tcW w:w="923" w:type="dxa"/>
            <w:tcBorders>
              <w:top w:val="nil"/>
              <w:left w:val="nil"/>
              <w:bottom w:val="nil"/>
              <w:right w:val="nil"/>
            </w:tcBorders>
          </w:tcPr>
          <w:p w14:paraId="41277CAD" w14:textId="77777777" w:rsidR="001F3C36" w:rsidRPr="00763135" w:rsidRDefault="001F3C36">
            <w:pPr>
              <w:jc w:val="both"/>
              <w:rPr>
                <w:rFonts w:ascii="Arial" w:hAnsi="Arial"/>
                <w:b/>
                <w:bCs/>
                <w:rtl/>
              </w:rPr>
            </w:pPr>
          </w:p>
        </w:tc>
        <w:tc>
          <w:tcPr>
            <w:tcW w:w="7897" w:type="dxa"/>
            <w:gridSpan w:val="2"/>
            <w:tcBorders>
              <w:top w:val="nil"/>
              <w:left w:val="nil"/>
              <w:bottom w:val="nil"/>
              <w:right w:val="nil"/>
            </w:tcBorders>
          </w:tcPr>
          <w:p w14:paraId="22E6D623" w14:textId="77777777" w:rsidR="001F3C36" w:rsidRPr="00763135" w:rsidRDefault="001F3C36">
            <w:pPr>
              <w:jc w:val="center"/>
              <w:rPr>
                <w:rFonts w:ascii="Arial" w:hAnsi="Arial"/>
                <w:b/>
                <w:bCs/>
                <w:rtl/>
              </w:rPr>
            </w:pPr>
          </w:p>
          <w:p w14:paraId="0CB1B5AA" w14:textId="77777777" w:rsidR="001F3C36" w:rsidRPr="00763135" w:rsidRDefault="00763135">
            <w:pPr>
              <w:jc w:val="center"/>
              <w:rPr>
                <w:rFonts w:ascii="Arial" w:hAnsi="Arial"/>
                <w:b/>
                <w:bCs/>
                <w:rtl/>
              </w:rPr>
            </w:pPr>
            <w:r w:rsidRPr="00763135">
              <w:rPr>
                <w:rFonts w:ascii="Arial" w:hAnsi="Arial"/>
                <w:b/>
                <w:bCs/>
                <w:rtl/>
              </w:rPr>
              <w:t>נגד</w:t>
            </w:r>
          </w:p>
          <w:p w14:paraId="1892F009" w14:textId="77777777" w:rsidR="001F3C36" w:rsidRPr="00763135" w:rsidRDefault="001F3C36">
            <w:pPr>
              <w:jc w:val="both"/>
              <w:rPr>
                <w:rFonts w:ascii="Arial" w:hAnsi="Arial"/>
                <w:b/>
                <w:bCs/>
              </w:rPr>
            </w:pPr>
          </w:p>
        </w:tc>
      </w:tr>
      <w:tr w:rsidR="001F3C36" w:rsidRPr="00763135" w14:paraId="76B4D84E" w14:textId="77777777">
        <w:trPr>
          <w:trHeight w:val="355"/>
          <w:jc w:val="center"/>
        </w:trPr>
        <w:tc>
          <w:tcPr>
            <w:tcW w:w="923" w:type="dxa"/>
            <w:tcBorders>
              <w:top w:val="nil"/>
              <w:left w:val="nil"/>
              <w:bottom w:val="nil"/>
              <w:right w:val="nil"/>
            </w:tcBorders>
          </w:tcPr>
          <w:p w14:paraId="5C71D35C" w14:textId="77777777" w:rsidR="001F3C36" w:rsidRPr="00763135" w:rsidRDefault="001F3C36">
            <w:pPr>
              <w:rPr>
                <w:rFonts w:ascii="Arial" w:hAnsi="Arial"/>
                <w:b/>
                <w:bCs/>
                <w:rtl/>
              </w:rPr>
            </w:pPr>
          </w:p>
        </w:tc>
        <w:tc>
          <w:tcPr>
            <w:tcW w:w="4126" w:type="dxa"/>
            <w:tcBorders>
              <w:top w:val="nil"/>
              <w:left w:val="nil"/>
              <w:bottom w:val="nil"/>
              <w:right w:val="nil"/>
            </w:tcBorders>
          </w:tcPr>
          <w:p w14:paraId="15C647A4" w14:textId="77777777" w:rsidR="001F3C36" w:rsidRPr="00763135" w:rsidRDefault="00763135">
            <w:pPr>
              <w:rPr>
                <w:b/>
                <w:bCs/>
                <w:rtl/>
              </w:rPr>
            </w:pPr>
            <w:r w:rsidRPr="00763135">
              <w:rPr>
                <w:rFonts w:ascii="Arial" w:hAnsi="Arial"/>
                <w:b/>
                <w:bCs/>
                <w:rtl/>
              </w:rPr>
              <w:t xml:space="preserve">ליעד סטלמן </w:t>
            </w:r>
          </w:p>
        </w:tc>
        <w:tc>
          <w:tcPr>
            <w:tcW w:w="3771" w:type="dxa"/>
            <w:tcBorders>
              <w:top w:val="nil"/>
              <w:left w:val="nil"/>
              <w:bottom w:val="nil"/>
              <w:right w:val="nil"/>
            </w:tcBorders>
          </w:tcPr>
          <w:p w14:paraId="72B72289" w14:textId="77777777" w:rsidR="001F3C36" w:rsidRPr="00763135" w:rsidRDefault="00763135">
            <w:pPr>
              <w:rPr>
                <w:rFonts w:ascii="Arial" w:hAnsi="Arial"/>
                <w:b/>
                <w:bCs/>
              </w:rPr>
            </w:pPr>
            <w:r w:rsidRPr="00763135">
              <w:rPr>
                <w:rFonts w:ascii="Arial" w:hAnsi="Arial" w:hint="cs"/>
                <w:b/>
                <w:bCs/>
                <w:rtl/>
              </w:rPr>
              <w:t>ה</w:t>
            </w:r>
            <w:r w:rsidRPr="00763135">
              <w:rPr>
                <w:rFonts w:ascii="Arial" w:hAnsi="Arial"/>
                <w:b/>
                <w:bCs/>
                <w:rtl/>
              </w:rPr>
              <w:t>נאשם</w:t>
            </w:r>
          </w:p>
        </w:tc>
      </w:tr>
      <w:tr w:rsidR="001F3C36" w:rsidRPr="00763135" w14:paraId="025E7DD5" w14:textId="77777777">
        <w:trPr>
          <w:trHeight w:val="355"/>
          <w:jc w:val="center"/>
        </w:trPr>
        <w:tc>
          <w:tcPr>
            <w:tcW w:w="923" w:type="dxa"/>
            <w:tcBorders>
              <w:top w:val="nil"/>
              <w:left w:val="nil"/>
              <w:bottom w:val="nil"/>
              <w:right w:val="nil"/>
            </w:tcBorders>
          </w:tcPr>
          <w:p w14:paraId="12DB0FF7" w14:textId="77777777" w:rsidR="001F3C36" w:rsidRPr="00763135" w:rsidRDefault="001F3C36">
            <w:pPr>
              <w:jc w:val="both"/>
              <w:rPr>
                <w:rFonts w:ascii="Arial" w:hAnsi="Arial"/>
                <w:rtl/>
              </w:rPr>
            </w:pPr>
          </w:p>
        </w:tc>
        <w:tc>
          <w:tcPr>
            <w:tcW w:w="4126" w:type="dxa"/>
            <w:tcBorders>
              <w:top w:val="nil"/>
              <w:left w:val="nil"/>
              <w:bottom w:val="nil"/>
              <w:right w:val="nil"/>
            </w:tcBorders>
          </w:tcPr>
          <w:p w14:paraId="7900324C" w14:textId="77777777" w:rsidR="001F3C36" w:rsidRPr="00763135" w:rsidRDefault="001F3C36">
            <w:pPr>
              <w:jc w:val="both"/>
              <w:rPr>
                <w:rtl/>
              </w:rPr>
            </w:pPr>
          </w:p>
        </w:tc>
        <w:tc>
          <w:tcPr>
            <w:tcW w:w="3771" w:type="dxa"/>
            <w:tcBorders>
              <w:top w:val="nil"/>
              <w:left w:val="nil"/>
              <w:bottom w:val="nil"/>
              <w:right w:val="nil"/>
            </w:tcBorders>
          </w:tcPr>
          <w:p w14:paraId="179676F6" w14:textId="77777777" w:rsidR="001F3C36" w:rsidRPr="00763135" w:rsidRDefault="001F3C36">
            <w:pPr>
              <w:jc w:val="right"/>
              <w:rPr>
                <w:rFonts w:ascii="Arial" w:hAnsi="Arial"/>
              </w:rPr>
            </w:pPr>
          </w:p>
        </w:tc>
      </w:tr>
      <w:tr w:rsidR="001F3C36" w14:paraId="4B53258D" w14:textId="77777777">
        <w:trPr>
          <w:trHeight w:val="355"/>
          <w:jc w:val="center"/>
        </w:trPr>
        <w:tc>
          <w:tcPr>
            <w:tcW w:w="8820" w:type="dxa"/>
            <w:gridSpan w:val="3"/>
            <w:tcBorders>
              <w:top w:val="nil"/>
              <w:left w:val="nil"/>
              <w:bottom w:val="nil"/>
              <w:right w:val="nil"/>
            </w:tcBorders>
          </w:tcPr>
          <w:p w14:paraId="7E0E0C46" w14:textId="77777777" w:rsidR="00440C95" w:rsidRDefault="00440C95" w:rsidP="00763135">
            <w:pPr>
              <w:jc w:val="center"/>
              <w:rPr>
                <w:rFonts w:ascii="Arial" w:hAnsi="Arial"/>
                <w:sz w:val="28"/>
                <w:szCs w:val="28"/>
                <w:rtl/>
              </w:rPr>
            </w:pPr>
            <w:bookmarkStart w:id="3" w:name="PsakDin" w:colFirst="0" w:colLast="0"/>
            <w:bookmarkStart w:id="4" w:name="LawTable"/>
            <w:bookmarkEnd w:id="0"/>
            <w:bookmarkEnd w:id="4"/>
          </w:p>
          <w:p w14:paraId="7BF9C699" w14:textId="77777777" w:rsidR="00440C95" w:rsidRPr="00440C95" w:rsidRDefault="00440C95" w:rsidP="00440C95">
            <w:pPr>
              <w:spacing w:after="120" w:line="240" w:lineRule="exact"/>
              <w:ind w:left="283" w:hanging="283"/>
              <w:jc w:val="both"/>
              <w:rPr>
                <w:rFonts w:ascii="FrankRuehl" w:hAnsi="FrankRuehl" w:cs="FrankRuehl"/>
                <w:rtl/>
              </w:rPr>
            </w:pPr>
          </w:p>
          <w:p w14:paraId="3844E560" w14:textId="77777777" w:rsidR="00440C95" w:rsidRPr="00440C95" w:rsidRDefault="00440C95" w:rsidP="00440C95">
            <w:pPr>
              <w:spacing w:after="120" w:line="240" w:lineRule="exact"/>
              <w:ind w:left="283" w:hanging="283"/>
              <w:jc w:val="both"/>
              <w:rPr>
                <w:rFonts w:ascii="FrankRuehl" w:hAnsi="FrankRuehl" w:cs="FrankRuehl"/>
                <w:rtl/>
              </w:rPr>
            </w:pPr>
            <w:r w:rsidRPr="00440C95">
              <w:rPr>
                <w:rFonts w:ascii="FrankRuehl" w:hAnsi="FrankRuehl" w:cs="FrankRuehl"/>
                <w:rtl/>
              </w:rPr>
              <w:t xml:space="preserve">חקיקה שאוזכרה: </w:t>
            </w:r>
          </w:p>
          <w:p w14:paraId="46206F36" w14:textId="77777777" w:rsidR="00440C95" w:rsidRPr="00440C95" w:rsidRDefault="00440C95" w:rsidP="00440C95">
            <w:pPr>
              <w:spacing w:after="120" w:line="240" w:lineRule="exact"/>
              <w:ind w:left="283" w:hanging="283"/>
              <w:jc w:val="both"/>
              <w:rPr>
                <w:rFonts w:ascii="FrankRuehl" w:hAnsi="FrankRuehl" w:cs="FrankRuehl"/>
                <w:rtl/>
              </w:rPr>
            </w:pPr>
            <w:hyperlink r:id="rId7" w:history="1">
              <w:r w:rsidRPr="00440C95">
                <w:rPr>
                  <w:rFonts w:ascii="FrankRuehl" w:hAnsi="FrankRuehl" w:cs="FrankRuehl"/>
                  <w:color w:val="0000FF"/>
                  <w:u w:val="single"/>
                  <w:rtl/>
                </w:rPr>
                <w:t>פקודת הסמים המסוכנים [נוסח חדש], תשל"ג-1973</w:t>
              </w:r>
            </w:hyperlink>
            <w:r w:rsidRPr="00440C95">
              <w:rPr>
                <w:rFonts w:ascii="FrankRuehl" w:hAnsi="FrankRuehl" w:cs="FrankRuehl"/>
                <w:rtl/>
              </w:rPr>
              <w:t xml:space="preserve">: סע'  </w:t>
            </w:r>
            <w:hyperlink r:id="rId8" w:history="1">
              <w:r w:rsidRPr="00440C95">
                <w:rPr>
                  <w:rFonts w:ascii="FrankRuehl" w:hAnsi="FrankRuehl" w:cs="FrankRuehl"/>
                  <w:color w:val="0000FF"/>
                  <w:u w:val="single"/>
                  <w:rtl/>
                </w:rPr>
                <w:t>7(א)</w:t>
              </w:r>
            </w:hyperlink>
            <w:r w:rsidRPr="00440C95">
              <w:rPr>
                <w:rFonts w:ascii="FrankRuehl" w:hAnsi="FrankRuehl" w:cs="FrankRuehl"/>
                <w:rtl/>
              </w:rPr>
              <w:t xml:space="preserve">, </w:t>
            </w:r>
            <w:hyperlink r:id="rId9" w:history="1">
              <w:r w:rsidRPr="00440C95">
                <w:rPr>
                  <w:rFonts w:ascii="FrankRuehl" w:hAnsi="FrankRuehl" w:cs="FrankRuehl"/>
                  <w:color w:val="0000FF"/>
                  <w:u w:val="single"/>
                  <w:rtl/>
                </w:rPr>
                <w:t>(ג)</w:t>
              </w:r>
            </w:hyperlink>
            <w:r w:rsidRPr="00440C95">
              <w:rPr>
                <w:rFonts w:ascii="FrankRuehl" w:hAnsi="FrankRuehl" w:cs="FrankRuehl"/>
                <w:rtl/>
              </w:rPr>
              <w:t xml:space="preserve">, </w:t>
            </w:r>
            <w:hyperlink r:id="rId10" w:history="1">
              <w:r w:rsidRPr="00440C95">
                <w:rPr>
                  <w:rFonts w:ascii="FrankRuehl" w:hAnsi="FrankRuehl" w:cs="FrankRuehl"/>
                  <w:color w:val="0000FF"/>
                  <w:u w:val="single"/>
                  <w:rtl/>
                </w:rPr>
                <w:t>10א</w:t>
              </w:r>
            </w:hyperlink>
          </w:p>
          <w:p w14:paraId="65575490" w14:textId="77777777" w:rsidR="00440C95" w:rsidRPr="00440C95" w:rsidRDefault="00440C95" w:rsidP="00440C95">
            <w:pPr>
              <w:spacing w:after="120" w:line="240" w:lineRule="exact"/>
              <w:ind w:left="283" w:hanging="283"/>
              <w:jc w:val="both"/>
              <w:rPr>
                <w:rFonts w:ascii="FrankRuehl" w:hAnsi="FrankRuehl" w:cs="FrankRuehl"/>
                <w:rtl/>
              </w:rPr>
            </w:pPr>
            <w:hyperlink r:id="rId11" w:history="1">
              <w:r w:rsidRPr="00440C95">
                <w:rPr>
                  <w:rFonts w:ascii="FrankRuehl" w:hAnsi="FrankRuehl" w:cs="FrankRuehl"/>
                  <w:color w:val="0000FF"/>
                  <w:u w:val="single"/>
                  <w:rtl/>
                </w:rPr>
                <w:t>חוק העונשין, תשל"ז-1977</w:t>
              </w:r>
            </w:hyperlink>
            <w:r w:rsidRPr="00440C95">
              <w:rPr>
                <w:rFonts w:ascii="FrankRuehl" w:hAnsi="FrankRuehl" w:cs="FrankRuehl"/>
                <w:rtl/>
              </w:rPr>
              <w:t xml:space="preserve">: סע'  </w:t>
            </w:r>
            <w:hyperlink r:id="rId12" w:history="1">
              <w:r w:rsidRPr="00440C95">
                <w:rPr>
                  <w:rFonts w:ascii="FrankRuehl" w:hAnsi="FrankRuehl" w:cs="FrankRuehl"/>
                  <w:color w:val="0000FF"/>
                  <w:u w:val="single"/>
                  <w:rtl/>
                </w:rPr>
                <w:t>40 ג'</w:t>
              </w:r>
            </w:hyperlink>
            <w:r w:rsidRPr="00440C95">
              <w:rPr>
                <w:rFonts w:ascii="FrankRuehl" w:hAnsi="FrankRuehl" w:cs="FrankRuehl"/>
                <w:rtl/>
              </w:rPr>
              <w:t xml:space="preserve">, </w:t>
            </w:r>
            <w:hyperlink r:id="rId13" w:history="1">
              <w:r w:rsidRPr="00440C95">
                <w:rPr>
                  <w:rFonts w:ascii="FrankRuehl" w:hAnsi="FrankRuehl" w:cs="FrankRuehl"/>
                  <w:color w:val="0000FF"/>
                  <w:u w:val="single"/>
                  <w:rtl/>
                </w:rPr>
                <w:t>40ד</w:t>
              </w:r>
            </w:hyperlink>
            <w:r w:rsidRPr="00440C95">
              <w:rPr>
                <w:rFonts w:ascii="FrankRuehl" w:hAnsi="FrankRuehl" w:cs="FrankRuehl"/>
                <w:rtl/>
              </w:rPr>
              <w:t xml:space="preserve">, </w:t>
            </w:r>
            <w:hyperlink r:id="rId14" w:history="1">
              <w:r w:rsidRPr="00440C95">
                <w:rPr>
                  <w:rFonts w:ascii="FrankRuehl" w:hAnsi="FrankRuehl" w:cs="FrankRuehl"/>
                  <w:color w:val="0000FF"/>
                  <w:u w:val="single"/>
                  <w:rtl/>
                </w:rPr>
                <w:t>40 ט'</w:t>
              </w:r>
            </w:hyperlink>
          </w:p>
          <w:p w14:paraId="6254125E" w14:textId="77777777" w:rsidR="00440C95" w:rsidRPr="00440C95" w:rsidRDefault="00440C95" w:rsidP="00440C95">
            <w:pPr>
              <w:spacing w:after="120" w:line="240" w:lineRule="exact"/>
              <w:ind w:left="283" w:hanging="283"/>
              <w:jc w:val="both"/>
              <w:rPr>
                <w:rFonts w:ascii="FrankRuehl" w:hAnsi="FrankRuehl" w:cs="FrankRuehl"/>
                <w:rtl/>
              </w:rPr>
            </w:pPr>
          </w:p>
          <w:p w14:paraId="4E519C3B" w14:textId="77777777" w:rsidR="00763135" w:rsidRPr="00763135" w:rsidRDefault="00763135" w:rsidP="00763135">
            <w:pPr>
              <w:jc w:val="center"/>
              <w:rPr>
                <w:rFonts w:ascii="Arial" w:hAnsi="Arial"/>
                <w:b/>
                <w:bCs/>
                <w:sz w:val="28"/>
                <w:szCs w:val="28"/>
                <w:rtl/>
              </w:rPr>
            </w:pPr>
            <w:bookmarkStart w:id="5" w:name="LawTable_End"/>
            <w:bookmarkEnd w:id="5"/>
            <w:r w:rsidRPr="00763135">
              <w:rPr>
                <w:rFonts w:ascii="Arial" w:hAnsi="Arial"/>
                <w:b/>
                <w:bCs/>
                <w:sz w:val="28"/>
                <w:szCs w:val="28"/>
                <w:rtl/>
              </w:rPr>
              <w:t>גזר דין</w:t>
            </w:r>
          </w:p>
          <w:p w14:paraId="2BE3557B" w14:textId="77777777" w:rsidR="001F3C36" w:rsidRPr="00763135" w:rsidRDefault="001F3C36" w:rsidP="00763135">
            <w:pPr>
              <w:jc w:val="center"/>
              <w:rPr>
                <w:rFonts w:ascii="Arial" w:hAnsi="Arial"/>
                <w:bCs/>
                <w:sz w:val="28"/>
                <w:szCs w:val="28"/>
                <w:rtl/>
              </w:rPr>
            </w:pPr>
          </w:p>
        </w:tc>
      </w:tr>
    </w:tbl>
    <w:bookmarkEnd w:id="3"/>
    <w:p w14:paraId="4FD47235" w14:textId="77777777" w:rsidR="001F3C36" w:rsidRDefault="00763135">
      <w:pPr>
        <w:pStyle w:val="ListParagraph"/>
        <w:spacing w:line="360" w:lineRule="auto"/>
        <w:ind w:left="283"/>
        <w:jc w:val="both"/>
        <w:rPr>
          <w:b/>
          <w:bCs/>
          <w:u w:val="single"/>
        </w:rPr>
      </w:pPr>
      <w:r>
        <w:rPr>
          <w:rFonts w:hint="cs"/>
          <w:b/>
          <w:bCs/>
          <w:u w:val="single"/>
          <w:rtl/>
        </w:rPr>
        <w:t>רקע</w:t>
      </w:r>
    </w:p>
    <w:p w14:paraId="242E28E2" w14:textId="77777777" w:rsidR="001F3C36" w:rsidRDefault="00763135">
      <w:pPr>
        <w:pStyle w:val="ListParagraph"/>
        <w:numPr>
          <w:ilvl w:val="0"/>
          <w:numId w:val="1"/>
        </w:numPr>
        <w:spacing w:line="360" w:lineRule="auto"/>
        <w:jc w:val="both"/>
      </w:pPr>
      <w:bookmarkStart w:id="6" w:name="ABSTRACT_START"/>
      <w:bookmarkEnd w:id="6"/>
      <w:r>
        <w:rPr>
          <w:rFonts w:hint="cs"/>
          <w:rtl/>
        </w:rPr>
        <w:t xml:space="preserve">הנאשם הורשע ביום 5.6.13 על-פי הודאתו, בעבירות לפי </w:t>
      </w:r>
      <w:hyperlink r:id="rId15" w:history="1">
        <w:r w:rsidR="00440C95" w:rsidRPr="00440C95">
          <w:rPr>
            <w:color w:val="0000FF"/>
            <w:u w:val="single"/>
            <w:rtl/>
          </w:rPr>
          <w:t>סעיף 7(א)</w:t>
        </w:r>
      </w:hyperlink>
      <w:r>
        <w:rPr>
          <w:rFonts w:hint="cs"/>
          <w:rtl/>
        </w:rPr>
        <w:t xml:space="preserve"> בצירוף</w:t>
      </w:r>
      <w:hyperlink r:id="rId16" w:history="1">
        <w:r w:rsidR="00440C95" w:rsidRPr="00440C95">
          <w:rPr>
            <w:color w:val="0000FF"/>
            <w:u w:val="single"/>
            <w:rtl/>
          </w:rPr>
          <w:t xml:space="preserve"> (ג)</w:t>
        </w:r>
      </w:hyperlink>
      <w:r>
        <w:rPr>
          <w:rFonts w:hint="cs"/>
          <w:rtl/>
        </w:rPr>
        <w:t xml:space="preserve"> ולפי </w:t>
      </w:r>
      <w:hyperlink r:id="rId17" w:history="1">
        <w:r w:rsidR="00440C95" w:rsidRPr="00440C95">
          <w:rPr>
            <w:color w:val="0000FF"/>
            <w:u w:val="single"/>
            <w:rtl/>
          </w:rPr>
          <w:t>סעיף 10א</w:t>
        </w:r>
      </w:hyperlink>
      <w:r>
        <w:rPr>
          <w:rFonts w:hint="cs"/>
          <w:rtl/>
        </w:rPr>
        <w:t xml:space="preserve"> ל</w:t>
      </w:r>
      <w:hyperlink r:id="rId18" w:history="1">
        <w:r w:rsidRPr="00763135">
          <w:rPr>
            <w:rStyle w:val="Hyperlink"/>
            <w:rFonts w:hint="eastAsia"/>
            <w:rtl/>
          </w:rPr>
          <w:t>פקודת</w:t>
        </w:r>
        <w:r w:rsidRPr="00763135">
          <w:rPr>
            <w:rStyle w:val="Hyperlink"/>
            <w:rtl/>
          </w:rPr>
          <w:t xml:space="preserve"> הסמים המסוכנים</w:t>
        </w:r>
      </w:hyperlink>
      <w:r>
        <w:rPr>
          <w:rFonts w:hint="cs"/>
          <w:rtl/>
        </w:rPr>
        <w:t xml:space="preserve"> [נוסח חדש], התשל"ג - 1973, בכך שביום 14.4.13 בביתו ברח' שחל בירושלים, החזיק בסם מסוכן מסוג קוקאין במשקל של 7.4028 גרם נטו. הסם היה מחולק ל-12 מנות והנאשם אף החזיק בביתו משקל נייד קטן.</w:t>
      </w:r>
    </w:p>
    <w:p w14:paraId="19E32079" w14:textId="77777777" w:rsidR="001F3C36" w:rsidRDefault="001F3C36">
      <w:pPr>
        <w:pStyle w:val="ListParagraph"/>
        <w:spacing w:line="360" w:lineRule="auto"/>
        <w:jc w:val="both"/>
        <w:rPr>
          <w:sz w:val="12"/>
          <w:szCs w:val="12"/>
        </w:rPr>
      </w:pPr>
      <w:bookmarkStart w:id="7" w:name="ABSTRACT_END"/>
      <w:bookmarkEnd w:id="7"/>
    </w:p>
    <w:p w14:paraId="3961888A" w14:textId="77777777" w:rsidR="001F3C36" w:rsidRDefault="00763135">
      <w:pPr>
        <w:pStyle w:val="ListParagraph"/>
        <w:numPr>
          <w:ilvl w:val="0"/>
          <w:numId w:val="1"/>
        </w:numPr>
        <w:spacing w:line="360" w:lineRule="auto"/>
        <w:jc w:val="both"/>
      </w:pPr>
      <w:r>
        <w:rPr>
          <w:rFonts w:hint="cs"/>
          <w:rtl/>
        </w:rPr>
        <w:t>המאשימה לא התנגדה לבקשת בא כוח הנאשם לקבל תסקיר בעניינו של הנאשם טרם הטיעונים לעונש והדיונים נדחו מעת לעת לבקשת שירות המבחן, וזאת כדי לאפשר לנאשם להשלים הליך של שיקום. בד-בבד, הנאשם, אשר שהה בתחילה בתנאי מעצר בית, יצא ממעצר הבית והחל לעבוד.</w:t>
      </w:r>
    </w:p>
    <w:p w14:paraId="6DBFF404" w14:textId="77777777" w:rsidR="001F3C36" w:rsidRDefault="001F3C36">
      <w:pPr>
        <w:pStyle w:val="ListParagraph"/>
        <w:spacing w:line="360" w:lineRule="auto"/>
        <w:jc w:val="both"/>
        <w:rPr>
          <w:b/>
          <w:bCs/>
          <w:rtl/>
        </w:rPr>
      </w:pPr>
    </w:p>
    <w:p w14:paraId="78012E24" w14:textId="77777777" w:rsidR="001F3C36" w:rsidRDefault="00763135">
      <w:pPr>
        <w:pStyle w:val="ListParagraph"/>
        <w:spacing w:line="360" w:lineRule="auto"/>
        <w:ind w:left="283"/>
        <w:jc w:val="both"/>
        <w:rPr>
          <w:b/>
          <w:bCs/>
          <w:u w:val="single"/>
        </w:rPr>
      </w:pPr>
      <w:r>
        <w:rPr>
          <w:rFonts w:hint="cs"/>
          <w:b/>
          <w:bCs/>
          <w:u w:val="single"/>
          <w:rtl/>
        </w:rPr>
        <w:t>תסקירי שירות המבחן</w:t>
      </w:r>
    </w:p>
    <w:p w14:paraId="60542279" w14:textId="77777777" w:rsidR="001F3C36" w:rsidRDefault="00763135">
      <w:pPr>
        <w:pStyle w:val="ListParagraph"/>
        <w:numPr>
          <w:ilvl w:val="0"/>
          <w:numId w:val="1"/>
        </w:numPr>
        <w:spacing w:line="360" w:lineRule="auto"/>
        <w:jc w:val="both"/>
      </w:pPr>
      <w:r>
        <w:rPr>
          <w:rFonts w:hint="cs"/>
          <w:rtl/>
        </w:rPr>
        <w:t xml:space="preserve">בעניינו של הנאשם התקבלו מספר תסקירים של שירות המבחן. מתסקיר שירות המבחן מיום 16.10.13 עולה כי הנאשם בן 27, נשוי בשנית ואב לילד בן 3. באותה עת הוא אף ציפה ללידת ילד נוסף. הנאשם היה בטיפול במרכז יום וטרם מעצרו עבד במסעדה בירושלים. קצינת המבחן מסרה כי הנאשם בעל אישיות ילדותית ולא מגובשת, סבל מהתמכרות </w:t>
      </w:r>
      <w:r>
        <w:rPr>
          <w:rFonts w:hint="cs"/>
          <w:rtl/>
        </w:rPr>
        <w:lastRenderedPageBreak/>
        <w:t xml:space="preserve">ארוכת שנים לסם, שהחלה עוד בגיל ההתבגרות, ועבר מספר ניסיונות גמילה. בעקבות משבר אישי החל בהתנהגות פורצת גבולות, שכללה מעורבות בפלילים. הנאשם התקשה להסתגל למסגרות חינוכיות, לא גויס לצבא על רקע אי התאמה, בהיותו בן 23 נישא לבת זוגתו ולאחר כשנתיים נפרדו וזאת לאחר שבנם בן השנה בלע סם ששייך לנאשם ונזקק לטיפול רפואי. כשנה עובר למעצרו הכיר הנאשם את בת זוגתו הנוכחית ונישא לה ובני הזוג מתגוררים בבית אביו של הנאשם. </w:t>
      </w:r>
    </w:p>
    <w:p w14:paraId="16BB5E7E" w14:textId="77777777" w:rsidR="001F3C36" w:rsidRDefault="001F3C36">
      <w:pPr>
        <w:pStyle w:val="ListParagraph"/>
        <w:spacing w:line="360" w:lineRule="auto"/>
        <w:jc w:val="both"/>
        <w:rPr>
          <w:sz w:val="12"/>
          <w:szCs w:val="12"/>
        </w:rPr>
      </w:pPr>
    </w:p>
    <w:p w14:paraId="2D24B5C8" w14:textId="77777777" w:rsidR="001F3C36" w:rsidRDefault="00763135">
      <w:pPr>
        <w:pStyle w:val="ListParagraph"/>
        <w:numPr>
          <w:ilvl w:val="0"/>
          <w:numId w:val="1"/>
        </w:numPr>
        <w:spacing w:line="360" w:lineRule="auto"/>
        <w:jc w:val="both"/>
      </w:pPr>
      <w:r>
        <w:rPr>
          <w:rFonts w:hint="cs"/>
          <w:rtl/>
        </w:rPr>
        <w:t>הנאשם הביע בפני קצינת המבחן רצון לערוך שינוי בחייו ולהיגמל מסמים. הנאשם השתלב תחילה במרכז יום ובתחילת הדרך חווה קשיים כמפורט בעמ' 2 פסקה 5 לתסקיר, אולם הנאשם גילה נחישות להמשיך בתהליך הגמילה וקצינת המבחן המליצה על דחיית הדיון בשלושה חודשים.</w:t>
      </w:r>
    </w:p>
    <w:p w14:paraId="745E815C" w14:textId="77777777" w:rsidR="001F3C36" w:rsidRDefault="001F3C36">
      <w:pPr>
        <w:pStyle w:val="ListParagraph"/>
        <w:spacing w:line="360" w:lineRule="auto"/>
        <w:jc w:val="both"/>
        <w:rPr>
          <w:sz w:val="12"/>
          <w:szCs w:val="12"/>
        </w:rPr>
      </w:pPr>
    </w:p>
    <w:p w14:paraId="6895A01A" w14:textId="77777777" w:rsidR="001F3C36" w:rsidRDefault="00763135">
      <w:pPr>
        <w:pStyle w:val="ListParagraph"/>
        <w:numPr>
          <w:ilvl w:val="0"/>
          <w:numId w:val="1"/>
        </w:numPr>
        <w:spacing w:line="360" w:lineRule="auto"/>
        <w:jc w:val="both"/>
      </w:pPr>
      <w:r>
        <w:rPr>
          <w:rFonts w:hint="cs"/>
          <w:rtl/>
        </w:rPr>
        <w:t>מתסקיר שירות המבחן מיום 9.2.14 עולה כי הנאשם ידע קשיים רבים בתחילת הדרך ואף הטיפול במרכז היום פסק. יחד עם זאת, קצינת המבחן ציינה כי הנאשם שמר על קשר עם שירות המבחן והופנה לטיפול ביחידת שלם העירונית. הנאשם מסר בדיקות שתן נקיות מסם והשתלב במסגרת שיחות פרטניות. הגורמים המטפלים התרשמו מרצונו להשתקם, זאת לצד דפוסי התנהגות לא בוגרים ושירות המבחן המליץ על דחייה נוספת בת שלושה חודשים לצורך המשך מעקב אחר הנאשם.</w:t>
      </w:r>
    </w:p>
    <w:p w14:paraId="4F2C050C" w14:textId="77777777" w:rsidR="001F3C36" w:rsidRDefault="001F3C36">
      <w:pPr>
        <w:pStyle w:val="ListParagraph"/>
        <w:spacing w:line="360" w:lineRule="auto"/>
        <w:jc w:val="both"/>
        <w:rPr>
          <w:sz w:val="12"/>
          <w:szCs w:val="12"/>
        </w:rPr>
      </w:pPr>
    </w:p>
    <w:p w14:paraId="66CA8402" w14:textId="77777777" w:rsidR="001F3C36" w:rsidRDefault="00763135">
      <w:pPr>
        <w:pStyle w:val="ListParagraph"/>
        <w:numPr>
          <w:ilvl w:val="0"/>
          <w:numId w:val="1"/>
        </w:numPr>
        <w:spacing w:line="360" w:lineRule="auto"/>
        <w:jc w:val="both"/>
      </w:pPr>
      <w:r>
        <w:rPr>
          <w:rFonts w:hint="cs"/>
          <w:rtl/>
        </w:rPr>
        <w:t>מתסקיר שירות המבחן מיום 7.5.14 עולה כי הנאשם המשיך לשתף פעולה באופן מלא עם ההליך הטיפולי במסגרת יחידת שלם. הנאשם הגיע לפגישות הטיפוליות, הנאשם עשה שינוי משמעותי בחייו, נולד לו ילד נוסף, הוא עבר בפעם הראשונה בחייו להתגורר בנפרד מאביו, דבר שתרם לעצמאותו כאדם בוגר. הנאשם עובד לפרנסתו ומסר בדיקות שתן בתדירות של פעם-פעמיים בשבוע שנמצאו נקיות משרידי סם. קצינת המבחן ציינה כי מדובר בשינוי מבורך, אולם הנאשם היה אז בראשית הדרך ונזקק לטיפול ברור וקבוע ולליווי ולתמיכה חיצונית. קצינת המבחן המליצה להטיל על הנאשם עונש של של"צ ומבחן למשך 18 חודשים.</w:t>
      </w:r>
    </w:p>
    <w:p w14:paraId="02373B17" w14:textId="77777777" w:rsidR="001F3C36" w:rsidRDefault="001F3C36">
      <w:pPr>
        <w:spacing w:line="360" w:lineRule="auto"/>
        <w:jc w:val="both"/>
        <w:rPr>
          <w:sz w:val="12"/>
          <w:szCs w:val="12"/>
        </w:rPr>
      </w:pPr>
    </w:p>
    <w:p w14:paraId="1BE28639" w14:textId="77777777" w:rsidR="001F3C36" w:rsidRDefault="00763135">
      <w:pPr>
        <w:pStyle w:val="ListParagraph"/>
        <w:numPr>
          <w:ilvl w:val="0"/>
          <w:numId w:val="1"/>
        </w:numPr>
        <w:spacing w:line="360" w:lineRule="auto"/>
        <w:jc w:val="both"/>
      </w:pPr>
      <w:r>
        <w:rPr>
          <w:rFonts w:hint="cs"/>
          <w:rtl/>
        </w:rPr>
        <w:t>מאחר שבא כוח הנאשם לא שהה בארץ במועד הדיון והמאשימה לא אימצה את המלצת שירות המבחן, התבקש תסקיר נוסף בעניינו של הנאשם, ומהתסקיר מיום 10.7.14 עולה כי הנאשם המשיך והגיע לשיחות פרטניות באופן עקבי ומסר בדיקות שתן נקיות משרידי סם. הנאשם החל לחדש את הקשר עם בנו מנישואיו הקודמים, המשיך לעבוד במקום עבודה מסודר וקצינת המבחן שבה והמליצה על הטלת של"צ ומבחן.</w:t>
      </w:r>
    </w:p>
    <w:p w14:paraId="5C43FA45" w14:textId="77777777" w:rsidR="001F3C36" w:rsidRDefault="001F3C36">
      <w:pPr>
        <w:pStyle w:val="ListParagraph"/>
        <w:spacing w:line="360" w:lineRule="auto"/>
        <w:jc w:val="both"/>
        <w:rPr>
          <w:sz w:val="12"/>
          <w:szCs w:val="12"/>
        </w:rPr>
      </w:pPr>
    </w:p>
    <w:p w14:paraId="36E51770" w14:textId="77777777" w:rsidR="001F3C36" w:rsidRDefault="00763135">
      <w:pPr>
        <w:pStyle w:val="ListParagraph"/>
        <w:numPr>
          <w:ilvl w:val="0"/>
          <w:numId w:val="1"/>
        </w:numPr>
        <w:spacing w:line="360" w:lineRule="auto"/>
        <w:jc w:val="both"/>
      </w:pPr>
      <w:r>
        <w:rPr>
          <w:rFonts w:hint="cs"/>
          <w:rtl/>
        </w:rPr>
        <w:t xml:space="preserve">בישיבת יום 13.7.14, לאחר שבא כוח המאשימה טענה לעונש ולאחר שבא כוח הנאשם שוחח עם ראש יחידת התביעות, הצדדים הגיעו להסכמה לפיה הדיון יידחה בשלושה חודשים, יתקבל תסקיר משלים בעניינו של הנאשם והתביעה תגבש את עמדתה לאחר </w:t>
      </w:r>
      <w:r>
        <w:rPr>
          <w:rFonts w:hint="cs"/>
          <w:rtl/>
        </w:rPr>
        <w:lastRenderedPageBreak/>
        <w:t>קבלת התסקיר. מהתסקיר המשלים של שירות המבחן מיום 21.9.14 עולה כי מצבו של הנאשם נותר יציב, הוא המשיך לקבל טיפול במסגרת יחידת שלם, בדיקות השתן שלו נמצאו נקיות, והוא המשיך לעבוד באופן מלא. קצינת המבחן שבה והמליצה על הטלת עונש של של"צ ומבחן.</w:t>
      </w:r>
    </w:p>
    <w:p w14:paraId="0DC0EC85" w14:textId="77777777" w:rsidR="001F3C36" w:rsidRDefault="001F3C36">
      <w:pPr>
        <w:pStyle w:val="ListParagraph"/>
        <w:spacing w:line="360" w:lineRule="auto"/>
        <w:jc w:val="both"/>
        <w:rPr>
          <w:sz w:val="12"/>
          <w:szCs w:val="12"/>
        </w:rPr>
      </w:pPr>
    </w:p>
    <w:p w14:paraId="3D3E7313" w14:textId="77777777" w:rsidR="001F3C36" w:rsidRDefault="00763135">
      <w:pPr>
        <w:pStyle w:val="ListParagraph"/>
        <w:numPr>
          <w:ilvl w:val="0"/>
          <w:numId w:val="1"/>
        </w:numPr>
        <w:spacing w:line="360" w:lineRule="auto"/>
        <w:jc w:val="both"/>
      </w:pPr>
      <w:r>
        <w:rPr>
          <w:rFonts w:hint="cs"/>
          <w:rtl/>
        </w:rPr>
        <w:t>בישיבת יום 21.9.14 ביקשה בא כוח המאשימה לדחות את הדיון כדי לגבש את עמדתה הסופית, וזאת מאחר שתסקיר שירות המבחן התקבל באותו יום. במקביל, בא כוח הנאשם ביקש לבוא בדברים עם ראש יחידת התביעות. הדיון נדחה ליום 30.9.14. גם בישיבת יום 30.9.14 ביקשה בא כוח המאשימה ששירות המבחן יכין תסקיר משלים אשר יציג תוכנית של"צ שלאחריו הצדדים יטענו לעונש.</w:t>
      </w:r>
    </w:p>
    <w:p w14:paraId="1FD161B1" w14:textId="77777777" w:rsidR="001F3C36" w:rsidRDefault="001F3C36">
      <w:pPr>
        <w:pStyle w:val="ListParagraph"/>
        <w:spacing w:line="360" w:lineRule="auto"/>
        <w:jc w:val="both"/>
        <w:rPr>
          <w:sz w:val="12"/>
          <w:szCs w:val="12"/>
        </w:rPr>
      </w:pPr>
    </w:p>
    <w:p w14:paraId="3E9D8936" w14:textId="77777777" w:rsidR="001F3C36" w:rsidRDefault="00763135">
      <w:pPr>
        <w:pStyle w:val="ListParagraph"/>
        <w:numPr>
          <w:ilvl w:val="0"/>
          <w:numId w:val="1"/>
        </w:numPr>
        <w:spacing w:line="360" w:lineRule="auto"/>
        <w:jc w:val="both"/>
      </w:pPr>
      <w:r>
        <w:rPr>
          <w:rFonts w:hint="cs"/>
          <w:rtl/>
        </w:rPr>
        <w:t>מהתסקיר מיום 3.11.14 עולה כי הנאשם המשיך להגיע לשיחות פרטניות ולשתף פעולה בטיפול, בדיקות השתן שמסר נמצאו נקיות. החל מחודש אוקטובר הופסק הטיפול על רקע אי-תשלום, כאשר קצינת המבחן הדגישה שאי-התשלום נעוץ בקשיים טכניים ולא בחוסר שיתוף פעולה מצד הנאשם. ביום 2.11.14 הנאשם שב ומסר בדיקת שתן אשר נמצאה ללא שרידי סם. קצינת המבחן המליצה על הטלת עונש של של"צ בהיקף של 200 שעות, צו מבחן למשך 18 חודש וכן מאסר על תנאי.</w:t>
      </w:r>
    </w:p>
    <w:p w14:paraId="3CA5A227" w14:textId="77777777" w:rsidR="001F3C36" w:rsidRDefault="001F3C36">
      <w:pPr>
        <w:pStyle w:val="ListParagraph"/>
        <w:spacing w:line="360" w:lineRule="auto"/>
        <w:jc w:val="both"/>
      </w:pPr>
    </w:p>
    <w:p w14:paraId="394A7B39" w14:textId="77777777" w:rsidR="001F3C36" w:rsidRDefault="00763135">
      <w:pPr>
        <w:pStyle w:val="ListParagraph"/>
        <w:spacing w:line="360" w:lineRule="auto"/>
        <w:ind w:left="283"/>
        <w:jc w:val="both"/>
        <w:rPr>
          <w:b/>
          <w:bCs/>
          <w:u w:val="single"/>
        </w:rPr>
      </w:pPr>
      <w:r>
        <w:rPr>
          <w:rFonts w:hint="cs"/>
          <w:b/>
          <w:bCs/>
          <w:u w:val="single"/>
          <w:rtl/>
        </w:rPr>
        <w:t>טיעוני הצדדים</w:t>
      </w:r>
    </w:p>
    <w:p w14:paraId="7966175D" w14:textId="77777777" w:rsidR="001F3C36" w:rsidRDefault="00763135">
      <w:pPr>
        <w:pStyle w:val="ListParagraph"/>
        <w:numPr>
          <w:ilvl w:val="0"/>
          <w:numId w:val="1"/>
        </w:numPr>
        <w:spacing w:line="360" w:lineRule="auto"/>
        <w:jc w:val="both"/>
      </w:pPr>
      <w:r>
        <w:rPr>
          <w:rFonts w:hint="cs"/>
          <w:rtl/>
        </w:rPr>
        <w:t>בא כוח המאשימה הדגישה את חומרת העבירה, העובדה שמדובר בסם קשה שמחולק למנות, מדובר בכמות שהיא פי 24 מהחזקה הקבועה בחוק ויש לבית המשפט לתת את הדעת לנזק שהיה נגרם לחברה אילו הסם לא היה נתפס על-ידי המשטרה. בא כוח המאשימה סברה שמתחם העונש ההולם בעבירות אלה הוא בין 6 חודשים ל-12 חודשי מאסר בפועל, בהתחשב בעברו הפלילי של הנאשם ובכך שכבר ריצה עונשי מאסר, ומנגד בהתחשב בהליך השיקום שהנאשם עבר ובלקיחת האחריות, ומשכך ביקשה בא כוח המאשימה להטיל על הנאשם מאסר שירוצה בעבודות שירות בן 6 חודשים. המאשימה הדגישה כי מדובר בחריגה מהמתחם מטעמי שיקום והגישה פסיקה לתמיכה בטענותיה.</w:t>
      </w:r>
    </w:p>
    <w:p w14:paraId="5C9B4CEF" w14:textId="77777777" w:rsidR="001F3C36" w:rsidRDefault="001F3C36">
      <w:pPr>
        <w:spacing w:line="360" w:lineRule="auto"/>
        <w:ind w:left="360"/>
        <w:jc w:val="both"/>
        <w:rPr>
          <w:sz w:val="12"/>
          <w:szCs w:val="12"/>
        </w:rPr>
      </w:pPr>
    </w:p>
    <w:p w14:paraId="4CE35A4B" w14:textId="77777777" w:rsidR="001F3C36" w:rsidRDefault="00763135">
      <w:pPr>
        <w:pStyle w:val="ListParagraph"/>
        <w:numPr>
          <w:ilvl w:val="0"/>
          <w:numId w:val="1"/>
        </w:numPr>
        <w:spacing w:line="360" w:lineRule="auto"/>
        <w:jc w:val="both"/>
      </w:pPr>
      <w:r>
        <w:rPr>
          <w:rFonts w:hint="cs"/>
          <w:rtl/>
        </w:rPr>
        <w:t>בא כוח הנאשם תמה על עמדתה של המאשימה אשר הסכימה לדחיית הדיון לצורך בחינת המשך התקדמותו של הנאשם ובסופו של יום עותרת לעונש שיגדע את תהליך השיקום המוצלח שלו, שכן אם יוטל על הנאשם מאסר בעבודות שירות לתקופה ארוכה, הרי שיאבד את מקום העבודה ויגרם נזק לו ולמשפחה אותה הוא מפרנס. בא כוח הנאשם הגיש פסיקה לתמיכה בטענותיו והציג מקרים חמורים יותר בהם נדונו נאשמים לעונשי מאסר בעבודות שירות. עוד ביקש כי בהתחשב בכמות הסם, בית המשפט יאמץ את המלצת שירות המבחן. כמו כן ביקש להתחשב בתקופה בה היה הנאשם עצור וכן בעובדה שהנאשם שהה במעצר בית לתקופה ממושכת.</w:t>
      </w:r>
    </w:p>
    <w:p w14:paraId="490BD78C" w14:textId="77777777" w:rsidR="001F3C36" w:rsidRDefault="001F3C36">
      <w:pPr>
        <w:pStyle w:val="ListParagraph"/>
        <w:spacing w:line="360" w:lineRule="auto"/>
        <w:jc w:val="both"/>
        <w:rPr>
          <w:sz w:val="12"/>
          <w:szCs w:val="12"/>
        </w:rPr>
      </w:pPr>
    </w:p>
    <w:p w14:paraId="6658E9B4" w14:textId="77777777" w:rsidR="001F3C36" w:rsidRDefault="00763135">
      <w:pPr>
        <w:pStyle w:val="ListParagraph"/>
        <w:numPr>
          <w:ilvl w:val="0"/>
          <w:numId w:val="1"/>
        </w:numPr>
        <w:spacing w:line="360" w:lineRule="auto"/>
        <w:jc w:val="both"/>
      </w:pPr>
      <w:r>
        <w:rPr>
          <w:rFonts w:hint="cs"/>
          <w:rtl/>
        </w:rPr>
        <w:t xml:space="preserve">הנאשם בדברו האחרון הודה לבית המשפט על ההזדמנות שנתנה לו על כך שלראשונה הוא מצליח להתמיד במקום עבודה מסודר, משתכר משכורת יפה, דואג לאשתו ולבתו, מצליח לנהל אורח חיים עצמאי ושליחתו למאסר בעבודות שירות תפסיק הליך מבורך זה. הנאשם הסביר כי הוא אינו מנסה להתחמק מעונש, הבין את הטעות שעשה ומסר כי לא יחזור על טעות זו, שכן הוא אינו רוצה לבזבז את המתנה שניתנה לו </w:t>
      </w:r>
      <w:r>
        <w:rPr>
          <w:rtl/>
        </w:rPr>
        <w:t>–</w:t>
      </w:r>
      <w:r>
        <w:rPr>
          <w:rFonts w:hint="cs"/>
          <w:rtl/>
        </w:rPr>
        <w:t xml:space="preserve"> לחיות חיים ללא סמים, להקים משפחה חדשה ולדאוג לפרנסתה.</w:t>
      </w:r>
    </w:p>
    <w:p w14:paraId="7C0A820B" w14:textId="77777777" w:rsidR="001F3C36" w:rsidRDefault="001F3C36">
      <w:pPr>
        <w:spacing w:after="200" w:line="360" w:lineRule="auto"/>
        <w:contextualSpacing/>
        <w:jc w:val="both"/>
        <w:rPr>
          <w:rFonts w:ascii="Calibri" w:hAnsi="Calibri"/>
          <w:b/>
          <w:bCs/>
          <w:u w:val="single"/>
        </w:rPr>
      </w:pPr>
    </w:p>
    <w:p w14:paraId="3A2BD02A" w14:textId="77777777" w:rsidR="001F3C36" w:rsidRDefault="00763135">
      <w:pPr>
        <w:spacing w:after="200" w:line="360" w:lineRule="auto"/>
        <w:contextualSpacing/>
        <w:jc w:val="both"/>
        <w:rPr>
          <w:rFonts w:ascii="Calibri" w:hAnsi="Calibri"/>
          <w:b/>
          <w:bCs/>
          <w:u w:val="single"/>
        </w:rPr>
      </w:pPr>
      <w:r>
        <w:rPr>
          <w:rFonts w:ascii="Calibri" w:hAnsi="Calibri" w:hint="cs"/>
          <w:b/>
          <w:bCs/>
          <w:u w:val="single"/>
          <w:rtl/>
        </w:rPr>
        <w:t>מתחם העונש ההולם</w:t>
      </w:r>
    </w:p>
    <w:p w14:paraId="3DDDB1F3" w14:textId="77777777" w:rsidR="001F3C36" w:rsidRDefault="00763135">
      <w:pPr>
        <w:pStyle w:val="ListParagraph"/>
        <w:numPr>
          <w:ilvl w:val="0"/>
          <w:numId w:val="1"/>
        </w:numPr>
        <w:spacing w:line="360" w:lineRule="auto"/>
        <w:jc w:val="both"/>
        <w:rPr>
          <w:rFonts w:ascii="Arial TUR" w:hAnsi="Arial TUR"/>
          <w:rtl/>
        </w:rPr>
      </w:pPr>
      <w:bookmarkStart w:id="8" w:name="casename_body"/>
      <w:r>
        <w:rPr>
          <w:rFonts w:hint="cs"/>
          <w:rtl/>
        </w:rPr>
        <w:t>ב</w:t>
      </w:r>
      <w:hyperlink r:id="rId19" w:history="1">
        <w:bookmarkEnd w:id="8"/>
        <w:r w:rsidRPr="00763135">
          <w:rPr>
            <w:rStyle w:val="Hyperlink"/>
            <w:rFonts w:hint="eastAsia"/>
            <w:rtl/>
          </w:rPr>
          <w:t>ע</w:t>
        </w:r>
        <w:r w:rsidRPr="00763135">
          <w:rPr>
            <w:rStyle w:val="Hyperlink"/>
            <w:rtl/>
          </w:rPr>
          <w:t>"פ  6747/11</w:t>
        </w:r>
      </w:hyperlink>
      <w:r>
        <w:rPr>
          <w:rFonts w:hint="cs"/>
          <w:rtl/>
        </w:rPr>
        <w:t xml:space="preserve"> </w:t>
      </w:r>
      <w:r>
        <w:rPr>
          <w:rFonts w:hint="cs"/>
          <w:b/>
          <w:bCs/>
          <w:rtl/>
        </w:rPr>
        <w:t>מדינת ישראל</w:t>
      </w:r>
      <w:r>
        <w:rPr>
          <w:rFonts w:hint="cs"/>
          <w:rtl/>
        </w:rPr>
        <w:t xml:space="preserve"> נ' </w:t>
      </w:r>
      <w:r>
        <w:rPr>
          <w:rFonts w:hint="cs"/>
          <w:b/>
          <w:bCs/>
          <w:rtl/>
        </w:rPr>
        <w:t>מערוף אבו רקיק</w:t>
      </w:r>
      <w:r>
        <w:rPr>
          <w:rFonts w:hint="cs"/>
          <w:rtl/>
        </w:rPr>
        <w:t xml:space="preserve"> ([טרם פורסם] מיום 3.1.13)</w:t>
      </w:r>
      <w:r>
        <w:rPr>
          <w:rFonts w:hint="cs"/>
          <w:color w:val="FF0000"/>
          <w:rtl/>
        </w:rPr>
        <w:t xml:space="preserve"> </w:t>
      </w:r>
      <w:r>
        <w:rPr>
          <w:rFonts w:hint="cs"/>
          <w:rtl/>
        </w:rPr>
        <w:t>חזר בית משפט העליון על החומרה הטמונה בעבירות הקשורות בסמים והנזק הרב אשר הן גורמות לחברה. בית המשפט העליון הפנה לקביעה שנקבעה ב</w:t>
      </w:r>
      <w:hyperlink r:id="rId20" w:history="1">
        <w:r w:rsidRPr="00763135">
          <w:rPr>
            <w:rStyle w:val="Hyperlink"/>
            <w:rFonts w:hint="eastAsia"/>
            <w:rtl/>
          </w:rPr>
          <w:t>ע</w:t>
        </w:r>
        <w:r w:rsidRPr="00763135">
          <w:rPr>
            <w:rStyle w:val="Hyperlink"/>
            <w:rtl/>
          </w:rPr>
          <w:t>"פ 211/09</w:t>
        </w:r>
      </w:hyperlink>
      <w:r>
        <w:rPr>
          <w:rFonts w:hint="cs"/>
          <w:rtl/>
        </w:rPr>
        <w:t xml:space="preserve"> </w:t>
      </w:r>
      <w:r>
        <w:rPr>
          <w:rFonts w:hint="cs"/>
          <w:b/>
          <w:bCs/>
          <w:rtl/>
        </w:rPr>
        <w:t>אזולאי נ' מדינת ישראל</w:t>
      </w:r>
      <w:r>
        <w:rPr>
          <w:rFonts w:hint="cs"/>
          <w:rtl/>
        </w:rPr>
        <w:t xml:space="preserve"> ([פורסם בנבו], 22.6.2010):</w:t>
      </w:r>
    </w:p>
    <w:p w14:paraId="7D00972F" w14:textId="77777777" w:rsidR="001F3C36" w:rsidRDefault="001F3C36">
      <w:pPr>
        <w:pStyle w:val="Ruller4"/>
        <w:ind w:left="720" w:hanging="153"/>
        <w:rPr>
          <w:rFonts w:cs="David"/>
          <w:sz w:val="18"/>
          <w:szCs w:val="18"/>
        </w:rPr>
      </w:pPr>
    </w:p>
    <w:p w14:paraId="1AB4D319" w14:textId="77777777" w:rsidR="001F3C36" w:rsidRDefault="00763135">
      <w:pPr>
        <w:pStyle w:val="Ruller5"/>
        <w:ind w:left="1417"/>
        <w:rPr>
          <w:rFonts w:cs="David"/>
          <w:b/>
          <w:bCs/>
          <w:sz w:val="24"/>
          <w:szCs w:val="24"/>
        </w:rPr>
      </w:pPr>
      <w:r>
        <w:rPr>
          <w:rFonts w:cs="David" w:hint="cs"/>
          <w:b/>
          <w:bCs/>
          <w:sz w:val="24"/>
          <w:szCs w:val="24"/>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בפיסקה 10, וראו גם, </w:t>
      </w:r>
      <w:hyperlink r:id="rId21" w:history="1">
        <w:r w:rsidRPr="00763135">
          <w:rPr>
            <w:rStyle w:val="Hyperlink"/>
            <w:rFonts w:cs="David" w:hint="eastAsia"/>
            <w:b/>
            <w:bCs/>
            <w:sz w:val="24"/>
            <w:szCs w:val="24"/>
            <w:rtl/>
          </w:rPr>
          <w:t>ע</w:t>
        </w:r>
        <w:r w:rsidRPr="00763135">
          <w:rPr>
            <w:rStyle w:val="Hyperlink"/>
            <w:rFonts w:cs="David"/>
            <w:b/>
            <w:bCs/>
            <w:sz w:val="24"/>
            <w:szCs w:val="24"/>
            <w:rtl/>
          </w:rPr>
          <w:t>"פ 9482/09</w:t>
        </w:r>
      </w:hyperlink>
      <w:r>
        <w:rPr>
          <w:rFonts w:cs="David" w:hint="cs"/>
          <w:b/>
          <w:bCs/>
          <w:sz w:val="24"/>
          <w:szCs w:val="24"/>
          <w:rtl/>
        </w:rPr>
        <w:t xml:space="preserve"> </w:t>
      </w:r>
      <w:r>
        <w:rPr>
          <w:rFonts w:ascii="Times New Roman" w:hAnsi="Times New Roman" w:cs="David" w:hint="cs"/>
          <w:b/>
          <w:bCs/>
          <w:spacing w:val="0"/>
          <w:sz w:val="24"/>
          <w:szCs w:val="24"/>
          <w:rtl/>
        </w:rPr>
        <w:t>ביטון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xml:space="preserve">, 24.7.2011); </w:t>
      </w:r>
      <w:hyperlink r:id="rId22" w:history="1">
        <w:r w:rsidRPr="00763135">
          <w:rPr>
            <w:rStyle w:val="Hyperlink"/>
            <w:rFonts w:cs="David" w:hint="eastAsia"/>
            <w:b/>
            <w:bCs/>
            <w:sz w:val="24"/>
            <w:szCs w:val="24"/>
            <w:rtl/>
          </w:rPr>
          <w:t>ע</w:t>
        </w:r>
        <w:r w:rsidRPr="00763135">
          <w:rPr>
            <w:rStyle w:val="Hyperlink"/>
            <w:rFonts w:cs="David"/>
            <w:b/>
            <w:bCs/>
            <w:sz w:val="24"/>
            <w:szCs w:val="24"/>
            <w:rtl/>
          </w:rPr>
          <w:t>"פ 5765/10</w:t>
        </w:r>
      </w:hyperlink>
      <w:r>
        <w:rPr>
          <w:rFonts w:cs="David" w:hint="cs"/>
          <w:b/>
          <w:bCs/>
          <w:sz w:val="24"/>
          <w:szCs w:val="24"/>
          <w:rtl/>
        </w:rPr>
        <w:t xml:space="preserve"> </w:t>
      </w:r>
      <w:r>
        <w:rPr>
          <w:rFonts w:ascii="Times New Roman" w:hAnsi="Times New Roman" w:cs="David" w:hint="cs"/>
          <w:b/>
          <w:bCs/>
          <w:spacing w:val="0"/>
          <w:sz w:val="24"/>
          <w:szCs w:val="24"/>
          <w:rtl/>
        </w:rPr>
        <w:t>פלוני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xml:space="preserve">, 5.6.2011); </w:t>
      </w:r>
      <w:hyperlink r:id="rId23" w:history="1">
        <w:r w:rsidRPr="00763135">
          <w:rPr>
            <w:rStyle w:val="Hyperlink"/>
            <w:rFonts w:cs="David" w:hint="eastAsia"/>
            <w:b/>
            <w:bCs/>
            <w:sz w:val="24"/>
            <w:szCs w:val="24"/>
            <w:rtl/>
          </w:rPr>
          <w:t>ע</w:t>
        </w:r>
        <w:r w:rsidRPr="00763135">
          <w:rPr>
            <w:rStyle w:val="Hyperlink"/>
            <w:rFonts w:cs="David"/>
            <w:b/>
            <w:bCs/>
            <w:sz w:val="24"/>
            <w:szCs w:val="24"/>
            <w:rtl/>
          </w:rPr>
          <w:t>"פ 3570/09</w:t>
        </w:r>
      </w:hyperlink>
      <w:r>
        <w:rPr>
          <w:rFonts w:cs="David" w:hint="cs"/>
          <w:b/>
          <w:bCs/>
          <w:sz w:val="24"/>
          <w:szCs w:val="24"/>
          <w:rtl/>
        </w:rPr>
        <w:t xml:space="preserve"> </w:t>
      </w:r>
      <w:r>
        <w:rPr>
          <w:rFonts w:ascii="Times New Roman" w:hAnsi="Times New Roman" w:cs="David" w:hint="cs"/>
          <w:b/>
          <w:bCs/>
          <w:spacing w:val="0"/>
          <w:sz w:val="24"/>
          <w:szCs w:val="24"/>
          <w:rtl/>
        </w:rPr>
        <w:t>אבו עמרה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3.5.2010)).</w:t>
      </w:r>
    </w:p>
    <w:p w14:paraId="261324A6" w14:textId="77777777" w:rsidR="001F3C36" w:rsidRDefault="001F3C36">
      <w:pPr>
        <w:pStyle w:val="ListParagraph"/>
        <w:spacing w:line="360" w:lineRule="auto"/>
        <w:jc w:val="both"/>
        <w:rPr>
          <w:rFonts w:ascii="Arial" w:hAnsi="Arial"/>
          <w:b/>
          <w:bCs/>
          <w:rtl/>
        </w:rPr>
      </w:pPr>
    </w:p>
    <w:p w14:paraId="4771C17B" w14:textId="77777777" w:rsidR="001F3C36" w:rsidRDefault="00763135">
      <w:pPr>
        <w:pStyle w:val="ListParagraph"/>
        <w:numPr>
          <w:ilvl w:val="0"/>
          <w:numId w:val="1"/>
        </w:numPr>
        <w:spacing w:line="360" w:lineRule="auto"/>
        <w:jc w:val="both"/>
        <w:rPr>
          <w:rFonts w:ascii="Arial" w:hAnsi="Arial"/>
          <w:rtl/>
        </w:rPr>
      </w:pPr>
      <w:r>
        <w:rPr>
          <w:rFonts w:ascii="Arial" w:hAnsi="Arial" w:hint="cs"/>
          <w:rtl/>
        </w:rPr>
        <w:t>עמדת בית המשפט העליון וכן העובדה שהמחוקק קבע לצד עבירת החזקת סם שלא לצריכה עצמית, עונש מאסר של 20 שנה, מלמדים על כך שמדובר בערך חברתי ממעלה ראשונה. במקרה שבפני, כתב האישום הוגש בבית משפט השלום ולכן העונש הקבוע לצד העבירה הוא עד 7 שנות מאסר, אולם גם כך מדובר במדרג החומרה הגבוה ביותר בבית משפט השלום.</w:t>
      </w:r>
    </w:p>
    <w:p w14:paraId="721868F7" w14:textId="77777777" w:rsidR="001F3C36" w:rsidRDefault="001F3C36">
      <w:pPr>
        <w:pStyle w:val="ListParagraph"/>
        <w:spacing w:line="360" w:lineRule="auto"/>
        <w:jc w:val="both"/>
        <w:rPr>
          <w:rFonts w:ascii="Arial" w:hAnsi="Arial"/>
          <w:sz w:val="12"/>
          <w:szCs w:val="12"/>
        </w:rPr>
      </w:pPr>
    </w:p>
    <w:p w14:paraId="2D7FD167" w14:textId="77777777" w:rsidR="001F3C36" w:rsidRDefault="00763135">
      <w:pPr>
        <w:pStyle w:val="ListParagraph"/>
        <w:numPr>
          <w:ilvl w:val="0"/>
          <w:numId w:val="1"/>
        </w:numPr>
        <w:spacing w:line="360" w:lineRule="auto"/>
        <w:jc w:val="both"/>
        <w:rPr>
          <w:rFonts w:ascii="Arial" w:hAnsi="Arial"/>
        </w:rPr>
      </w:pPr>
      <w:r>
        <w:rPr>
          <w:rFonts w:ascii="Arial" w:hAnsi="Arial" w:hint="cs"/>
          <w:rtl/>
        </w:rPr>
        <w:t>לעבירת החזקת הסמים מצטרפת עבירה נוספת של החזקת כלים אסורים, כך שמתחם העונש ההולם אירוע זה, מתחשב במכלול העבירות בהן הורשע הנאשם.</w:t>
      </w:r>
    </w:p>
    <w:p w14:paraId="1B91380F" w14:textId="77777777" w:rsidR="001F3C36" w:rsidRDefault="00763135">
      <w:pPr>
        <w:pStyle w:val="ListParagraph"/>
        <w:spacing w:line="360" w:lineRule="auto"/>
        <w:jc w:val="both"/>
        <w:rPr>
          <w:rFonts w:ascii="Arial" w:hAnsi="Arial"/>
          <w:sz w:val="12"/>
          <w:szCs w:val="12"/>
        </w:rPr>
      </w:pPr>
      <w:r>
        <w:rPr>
          <w:rFonts w:ascii="Arial" w:hAnsi="Arial" w:hint="cs"/>
          <w:rtl/>
        </w:rPr>
        <w:t xml:space="preserve"> </w:t>
      </w:r>
    </w:p>
    <w:p w14:paraId="2D20508C" w14:textId="77777777" w:rsidR="001F3C36" w:rsidRDefault="00440C95">
      <w:pPr>
        <w:pStyle w:val="ListParagraph"/>
        <w:numPr>
          <w:ilvl w:val="0"/>
          <w:numId w:val="1"/>
        </w:numPr>
        <w:spacing w:line="360" w:lineRule="auto"/>
        <w:jc w:val="both"/>
        <w:rPr>
          <w:rFonts w:ascii="Arial" w:hAnsi="Arial"/>
        </w:rPr>
      </w:pPr>
      <w:hyperlink r:id="rId24" w:history="1">
        <w:r w:rsidRPr="00440C95">
          <w:rPr>
            <w:rFonts w:ascii="Arial" w:hAnsi="Arial"/>
            <w:color w:val="0000FF"/>
            <w:u w:val="single"/>
            <w:rtl/>
          </w:rPr>
          <w:t>סעיף 40 ג'</w:t>
        </w:r>
      </w:hyperlink>
      <w:r w:rsidR="00763135">
        <w:rPr>
          <w:rFonts w:ascii="Arial" w:hAnsi="Arial" w:hint="cs"/>
          <w:rtl/>
        </w:rPr>
        <w:t xml:space="preserve"> ל</w:t>
      </w:r>
      <w:hyperlink r:id="rId25" w:history="1">
        <w:r w:rsidR="00763135" w:rsidRPr="00763135">
          <w:rPr>
            <w:rStyle w:val="Hyperlink"/>
            <w:rFonts w:ascii="Arial" w:hAnsi="Arial" w:hint="eastAsia"/>
            <w:rtl/>
          </w:rPr>
          <w:t>חוק</w:t>
        </w:r>
        <w:r w:rsidR="00763135" w:rsidRPr="00763135">
          <w:rPr>
            <w:rStyle w:val="Hyperlink"/>
            <w:rFonts w:ascii="Arial" w:hAnsi="Arial"/>
            <w:rtl/>
          </w:rPr>
          <w:t xml:space="preserve"> העונשין</w:t>
        </w:r>
      </w:hyperlink>
      <w:r w:rsidR="00763135">
        <w:rPr>
          <w:rFonts w:ascii="Arial" w:hAnsi="Arial" w:hint="cs"/>
          <w:rtl/>
        </w:rPr>
        <w:t xml:space="preserve"> קובע כי בקביעת מתחם העונש ההולם על בית המשפט להתחשב בנסיבות הקשורות בביצוע העבירה בהתאם לסעיף </w:t>
      </w:r>
      <w:hyperlink r:id="rId26" w:history="1">
        <w:r w:rsidRPr="00440C95">
          <w:rPr>
            <w:rFonts w:ascii="Arial" w:hAnsi="Arial"/>
            <w:color w:val="0000FF"/>
            <w:u w:val="single"/>
            <w:rtl/>
          </w:rPr>
          <w:t>40 ט'</w:t>
        </w:r>
      </w:hyperlink>
      <w:r w:rsidR="00763135">
        <w:rPr>
          <w:rFonts w:ascii="Arial" w:hAnsi="Arial" w:hint="cs"/>
          <w:rtl/>
        </w:rPr>
        <w:t xml:space="preserve"> לחוק העונשין. מנסיבות ביצוע העבירה עולה כי הנאשם החזיק כמות שהיא פי כ-25 מהחזקה הקבועה בחוק, הסם היה מחולק ל-12 מנות והנאשם אף החזיק במשקל.</w:t>
      </w:r>
    </w:p>
    <w:p w14:paraId="4BBECE12" w14:textId="77777777" w:rsidR="001F3C36" w:rsidRDefault="001F3C36">
      <w:pPr>
        <w:pStyle w:val="ListParagraph"/>
        <w:spacing w:line="360" w:lineRule="auto"/>
        <w:jc w:val="both"/>
        <w:rPr>
          <w:rFonts w:ascii="Arial" w:hAnsi="Arial"/>
          <w:sz w:val="12"/>
          <w:szCs w:val="12"/>
        </w:rPr>
      </w:pPr>
    </w:p>
    <w:p w14:paraId="71F45FC1" w14:textId="77777777" w:rsidR="001F3C36" w:rsidRDefault="00763135">
      <w:pPr>
        <w:pStyle w:val="ListParagraph"/>
        <w:numPr>
          <w:ilvl w:val="0"/>
          <w:numId w:val="1"/>
        </w:numPr>
        <w:spacing w:line="360" w:lineRule="auto"/>
        <w:jc w:val="both"/>
        <w:rPr>
          <w:rFonts w:ascii="Calibri" w:hAnsi="Calibri"/>
        </w:rPr>
      </w:pPr>
      <w:r>
        <w:rPr>
          <w:rFonts w:ascii="Calibri" w:hAnsi="Calibri" w:hint="cs"/>
          <w:rtl/>
        </w:rPr>
        <w:t xml:space="preserve">אשר לענישה הנוהגת אשר הציגה ב"כ המאשימה מדובר בכמויות סם גדולות מאוד, ולכן אין לגזור גזירה שווה מגזרי דין אלה. אשר לענישה הנוהגת אותה הציג ב"כ הנאשם היא מתייחסת לנאשמים אשר עברו הליכי שיקום, כאשר בית משפט החליט שלא למצות עימם את הדין, ולהעדיף את אפיק השיקום, ולכן מדובר בעונשים החורגים ממתחם העונש ההולם.  </w:t>
      </w:r>
    </w:p>
    <w:p w14:paraId="470A5970" w14:textId="77777777" w:rsidR="001F3C36" w:rsidRDefault="001F3C36">
      <w:pPr>
        <w:pStyle w:val="ListParagraph"/>
        <w:spacing w:line="360" w:lineRule="auto"/>
        <w:jc w:val="both"/>
        <w:rPr>
          <w:rFonts w:ascii="Calibri" w:hAnsi="Calibri"/>
          <w:sz w:val="14"/>
          <w:szCs w:val="14"/>
        </w:rPr>
      </w:pPr>
    </w:p>
    <w:p w14:paraId="7315EDEF" w14:textId="77777777" w:rsidR="001F3C36" w:rsidRDefault="00763135">
      <w:pPr>
        <w:pStyle w:val="ListParagraph"/>
        <w:numPr>
          <w:ilvl w:val="0"/>
          <w:numId w:val="1"/>
        </w:numPr>
        <w:spacing w:line="360" w:lineRule="auto"/>
        <w:jc w:val="both"/>
      </w:pPr>
      <w:r>
        <w:rPr>
          <w:rFonts w:ascii="Calibri" w:hAnsi="Calibri" w:hint="cs"/>
          <w:rtl/>
        </w:rPr>
        <w:t xml:space="preserve">סקירת פסקי הדין השונים טרם תיקון 113, מלמדת כי העונשים שהוטלו הם מאסר בפועל ממש. </w:t>
      </w:r>
      <w:r>
        <w:rPr>
          <w:rFonts w:ascii="Arial" w:hAnsi="Arial" w:hint="cs"/>
          <w:rtl/>
        </w:rPr>
        <w:t>ב</w:t>
      </w:r>
      <w:r>
        <w:rPr>
          <w:rtl/>
        </w:rPr>
        <w:t xml:space="preserve">ע"פ (מח' מרכז-לוד) 38435-02-13 </w:t>
      </w:r>
      <w:r>
        <w:rPr>
          <w:b/>
          <w:bCs/>
          <w:rtl/>
        </w:rPr>
        <w:t>אל עביד נ' מדינת ישראל</w:t>
      </w:r>
      <w:r>
        <w:rPr>
          <w:rtl/>
        </w:rPr>
        <w:t xml:space="preserve"> (26.5.13), נדחה ערעור של נאשם אשר הורשע בעבירה של החזקת סם שלא לצריכה עצמית בגין החזקת סם מסוג הרואין במשקל של </w:t>
      </w:r>
      <w:smartTag w:uri="urn:schemas-microsoft-com:office:smarttags" w:element="metricconverter">
        <w:smartTagPr>
          <w:attr w:name="ProductID" w:val="30 גרם"/>
        </w:smartTagPr>
        <w:r>
          <w:rPr>
            <w:rtl/>
          </w:rPr>
          <w:t>30 גרם</w:t>
        </w:r>
      </w:smartTag>
      <w:r>
        <w:rPr>
          <w:rtl/>
        </w:rPr>
        <w:t xml:space="preserve"> (חלוף זמן של 8 שנים), ונדון ל- 12 חודשי מאסר בפועל. </w:t>
      </w:r>
      <w:r>
        <w:rPr>
          <w:rFonts w:hint="cs"/>
          <w:rtl/>
        </w:rPr>
        <w:t>ב</w:t>
      </w:r>
      <w:hyperlink r:id="rId27" w:history="1">
        <w:r w:rsidRPr="00763135">
          <w:rPr>
            <w:rStyle w:val="Hyperlink"/>
            <w:rtl/>
          </w:rPr>
          <w:t>ע"פ (מח' חי) 4757-09-12</w:t>
        </w:r>
      </w:hyperlink>
      <w:r>
        <w:rPr>
          <w:rtl/>
        </w:rPr>
        <w:t xml:space="preserve"> </w:t>
      </w:r>
      <w:r>
        <w:rPr>
          <w:rFonts w:hint="cs"/>
          <w:b/>
          <w:bCs/>
          <w:rtl/>
        </w:rPr>
        <w:t xml:space="preserve">דהן נ' מדינת ישראל </w:t>
      </w:r>
      <w:r>
        <w:rPr>
          <w:rFonts w:hint="cs"/>
          <w:rtl/>
        </w:rPr>
        <w:t xml:space="preserve">(21.3.13), נדחה ערעורו של נאשם אשר הורשע בעבירה של החזקת סם שלא לצריכה עצמית, קוקאין במשקל של כ- </w:t>
      </w:r>
      <w:smartTag w:uri="urn:schemas-microsoft-com:office:smarttags" w:element="metricconverter">
        <w:smartTagPr>
          <w:attr w:name="ProductID" w:val="17 גרם"/>
        </w:smartTagPr>
        <w:r>
          <w:rPr>
            <w:rFonts w:hint="cs"/>
            <w:rtl/>
          </w:rPr>
          <w:t>17 גרם</w:t>
        </w:r>
      </w:smartTag>
      <w:r>
        <w:rPr>
          <w:rFonts w:hint="cs"/>
          <w:rtl/>
        </w:rPr>
        <w:t xml:space="preserve">, ונדון ל- 12 חודשי מאסר בפועל. </w:t>
      </w:r>
      <w:r>
        <w:rPr>
          <w:rFonts w:ascii="Arial" w:hAnsi="Arial" w:hint="cs"/>
          <w:rtl/>
        </w:rPr>
        <w:t xml:space="preserve">ר' </w:t>
      </w:r>
      <w:hyperlink r:id="rId28" w:history="1">
        <w:r w:rsidRPr="00763135">
          <w:rPr>
            <w:rStyle w:val="Hyperlink"/>
            <w:rFonts w:ascii="Arial" w:hAnsi="Arial" w:hint="eastAsia"/>
            <w:rtl/>
          </w:rPr>
          <w:t>ת</w:t>
        </w:r>
        <w:r w:rsidRPr="00763135">
          <w:rPr>
            <w:rStyle w:val="Hyperlink"/>
            <w:rFonts w:ascii="Arial" w:hAnsi="Arial"/>
            <w:rtl/>
          </w:rPr>
          <w:t>.פ. 8696-08-12</w:t>
        </w:r>
      </w:hyperlink>
      <w:r>
        <w:rPr>
          <w:rFonts w:ascii="Arial" w:hAnsi="Arial" w:hint="cs"/>
          <w:rtl/>
        </w:rPr>
        <w:t xml:space="preserve"> של בית משפט השלום בעכו שם נסקרה בהרחבה עבירת החזקת הסם שלא לצריכה עצמית, כאשר דובר בהחזקת סם מסוג הרואין במשקלים שלא עלו על כ- 50 גרם. אכן שם דובר בסם במדרג חומרה גבוה יותר, אולם המתחם נע בין שנתיים מאסר ועד לארבע שנות מאסר. </w:t>
      </w:r>
    </w:p>
    <w:p w14:paraId="2B55D845" w14:textId="77777777" w:rsidR="001F3C36" w:rsidRDefault="001F3C36">
      <w:pPr>
        <w:pStyle w:val="ListParagraph"/>
        <w:spacing w:line="360" w:lineRule="auto"/>
        <w:jc w:val="both"/>
        <w:rPr>
          <w:sz w:val="12"/>
          <w:szCs w:val="12"/>
        </w:rPr>
      </w:pPr>
    </w:p>
    <w:p w14:paraId="17569F05" w14:textId="77777777" w:rsidR="001F3C36" w:rsidRDefault="00763135">
      <w:pPr>
        <w:pStyle w:val="ListParagraph"/>
        <w:numPr>
          <w:ilvl w:val="0"/>
          <w:numId w:val="1"/>
        </w:numPr>
        <w:spacing w:line="360" w:lineRule="auto"/>
        <w:jc w:val="both"/>
        <w:rPr>
          <w:rtl/>
        </w:rPr>
      </w:pPr>
      <w:r>
        <w:rPr>
          <w:rFonts w:ascii="Arial" w:hAnsi="Arial" w:hint="cs"/>
          <w:rtl/>
        </w:rPr>
        <w:t xml:space="preserve">בהתחשב בכל אלה </w:t>
      </w:r>
      <w:r>
        <w:rPr>
          <w:rFonts w:hint="cs"/>
          <w:rtl/>
        </w:rPr>
        <w:t xml:space="preserve">אני סבורה כי מתחם הענישה ההולם, בנסיבותיו של תיק זה, כאשר מדובר בכמות סמים קטנה יותר, נע בין עונש של 4 חודשי מאסר בפועל ועד ל-14 חודשי מאסר בפועל. </w:t>
      </w:r>
    </w:p>
    <w:p w14:paraId="711F2F05" w14:textId="77777777" w:rsidR="001F3C36" w:rsidRDefault="001F3C36">
      <w:pPr>
        <w:spacing w:line="360" w:lineRule="auto"/>
        <w:ind w:left="360"/>
        <w:jc w:val="both"/>
      </w:pPr>
    </w:p>
    <w:p w14:paraId="545BD976" w14:textId="77777777" w:rsidR="001F3C36" w:rsidRDefault="00763135">
      <w:pPr>
        <w:spacing w:line="360" w:lineRule="auto"/>
        <w:jc w:val="both"/>
        <w:rPr>
          <w:rFonts w:ascii="Calibri" w:hAnsi="Calibri"/>
          <w:b/>
          <w:bCs/>
          <w:u w:val="single"/>
        </w:rPr>
      </w:pPr>
      <w:r>
        <w:rPr>
          <w:rFonts w:ascii="Calibri" w:hAnsi="Calibri" w:hint="cs"/>
          <w:b/>
          <w:bCs/>
          <w:u w:val="single"/>
          <w:rtl/>
        </w:rPr>
        <w:t>חריגה ממתחם העונש ההולם</w:t>
      </w:r>
    </w:p>
    <w:p w14:paraId="62B26D70" w14:textId="77777777" w:rsidR="001F3C36" w:rsidRDefault="00763135">
      <w:pPr>
        <w:pStyle w:val="ListParagraph"/>
        <w:numPr>
          <w:ilvl w:val="0"/>
          <w:numId w:val="1"/>
        </w:numPr>
        <w:spacing w:line="360" w:lineRule="auto"/>
        <w:jc w:val="both"/>
      </w:pPr>
      <w:r>
        <w:rPr>
          <w:rFonts w:hint="cs"/>
          <w:rtl/>
        </w:rPr>
        <w:t xml:space="preserve">בהתאם </w:t>
      </w:r>
      <w:hyperlink r:id="rId29" w:history="1">
        <w:r w:rsidR="00440C95" w:rsidRPr="00440C95">
          <w:rPr>
            <w:color w:val="0000FF"/>
            <w:u w:val="single"/>
            <w:rtl/>
          </w:rPr>
          <w:t>לסעיף 40ד</w:t>
        </w:r>
      </w:hyperlink>
      <w:r>
        <w:rPr>
          <w:rFonts w:hint="cs"/>
          <w:rtl/>
        </w:rPr>
        <w:t xml:space="preserve"> ל</w:t>
      </w:r>
      <w:hyperlink r:id="rId30" w:history="1">
        <w:r w:rsidRPr="00763135">
          <w:rPr>
            <w:rStyle w:val="Hyperlink"/>
            <w:rFonts w:hint="eastAsia"/>
            <w:rtl/>
          </w:rPr>
          <w:t>חוק</w:t>
        </w:r>
        <w:r w:rsidRPr="00763135">
          <w:rPr>
            <w:rStyle w:val="Hyperlink"/>
            <w:rtl/>
          </w:rPr>
          <w:t xml:space="preserve"> העונשין</w:t>
        </w:r>
      </w:hyperlink>
      <w:r>
        <w:rPr>
          <w:rFonts w:hint="cs"/>
          <w:rtl/>
        </w:rPr>
        <w:t xml:space="preserve">, אני סבורה שזה המקרה שיש לחרוג ממתחם העונש ההולם, למרות שמדובר במעשה עבירה בעל חומרה יתרה, וזאת, נוכח הסיכוי הממשי שהנאשם ישתקם ונוכח הנסיבות היוצאות דופן של ההליך אותו עבר הנאשם, למרות הקשיים הרבים בנקודת המוצא ממנה יצא לדרך. </w:t>
      </w:r>
      <w:r>
        <w:rPr>
          <w:rFonts w:hint="cs"/>
          <w:b/>
          <w:bCs/>
          <w:rtl/>
        </w:rPr>
        <w:t xml:space="preserve">"מקום שבעלי תשובה עומדין, אף צדיקים גמורים אינם עומדין" </w:t>
      </w:r>
      <w:r>
        <w:rPr>
          <w:rFonts w:hint="cs"/>
          <w:rtl/>
        </w:rPr>
        <w:t xml:space="preserve">(ברכות, דף לד עמוד ב), וזו גם רוח תיקון 113 כאמור </w:t>
      </w:r>
      <w:hyperlink r:id="rId31" w:history="1">
        <w:r w:rsidR="00440C95" w:rsidRPr="00440C95">
          <w:rPr>
            <w:color w:val="0000FF"/>
            <w:u w:val="single"/>
            <w:rtl/>
          </w:rPr>
          <w:t>בסעיף 40ד</w:t>
        </w:r>
      </w:hyperlink>
      <w:r>
        <w:rPr>
          <w:rFonts w:hint="cs"/>
          <w:rtl/>
        </w:rPr>
        <w:t xml:space="preserve">, שכן נסיבות אישיות קשות ביותר, או אדם נורמטיבי שחטא ושב, אין בהם די כדי להצדיק חריגה ממתחם העונש ההולם, אלא שיקולים אלה נשקלים בתוך מתחם העונש ההולם. לעומת זאת, המחוקק מצא כי אדם אשר עובר הליך של תיקון ושיקום, רק בעניינו ניתן לחרוג ממתחם העונש ההולם, ואין כמו הנאשם ששהה בבירא עמיקתא ויצא ממקום זה, וקיבל, כפי שאמר, מתנה שניתנה לו </w:t>
      </w:r>
      <w:r>
        <w:rPr>
          <w:rtl/>
        </w:rPr>
        <w:t>–</w:t>
      </w:r>
      <w:r>
        <w:rPr>
          <w:rFonts w:hint="cs"/>
          <w:rtl/>
        </w:rPr>
        <w:t xml:space="preserve"> לחיות חיים ללא סמים, להקים משפחה חדשה ולדאוג לפרנסתה, בעקבות הליך השיקום, כדי ללמד על כלל זה. </w:t>
      </w:r>
    </w:p>
    <w:p w14:paraId="721D5F44" w14:textId="77777777" w:rsidR="001F3C36" w:rsidRDefault="001F3C36">
      <w:pPr>
        <w:pStyle w:val="ListParagraph"/>
        <w:spacing w:line="360" w:lineRule="auto"/>
        <w:jc w:val="both"/>
        <w:rPr>
          <w:sz w:val="12"/>
          <w:szCs w:val="12"/>
        </w:rPr>
      </w:pPr>
    </w:p>
    <w:p w14:paraId="6BDC9E06" w14:textId="77777777" w:rsidR="001F3C36" w:rsidRDefault="00763135">
      <w:pPr>
        <w:pStyle w:val="ListParagraph"/>
        <w:numPr>
          <w:ilvl w:val="0"/>
          <w:numId w:val="1"/>
        </w:numPr>
        <w:spacing w:line="360" w:lineRule="auto"/>
        <w:jc w:val="both"/>
      </w:pPr>
      <w:r>
        <w:rPr>
          <w:rFonts w:hint="cs"/>
          <w:rtl/>
        </w:rPr>
        <w:t xml:space="preserve">אומנם הנאשם צבר לחובתו 4 הרשעות קודמות בשורה ארוכה של עבירות רכוש ואלימות שבגינן נדון לעונשי מאסר. הנאשם עבר עבירות עוד משנת 2003 כנער, ריצה שני עונשי מאסר כשממאסרו האחרון השתחרר בשנת 2012, ולמרות זאת הנאשם חזר לבצע את העבירה בגינה הוא נאשם בפניי. יחד עם זאת, מדובר בהרשעתו הראשונה בתחום הסמים ומאז ביצוע העבירה חלפה למעלה משנה וחצי, בה הנאשם לא עבר עבירות נוספות. </w:t>
      </w:r>
    </w:p>
    <w:p w14:paraId="09A742CB" w14:textId="77777777" w:rsidR="001F3C36" w:rsidRDefault="001F3C36">
      <w:pPr>
        <w:pStyle w:val="ListParagraph"/>
        <w:spacing w:line="360" w:lineRule="auto"/>
        <w:ind w:right="-284"/>
        <w:jc w:val="both"/>
        <w:rPr>
          <w:sz w:val="12"/>
          <w:szCs w:val="12"/>
        </w:rPr>
      </w:pPr>
    </w:p>
    <w:p w14:paraId="70BA2DE6" w14:textId="77777777" w:rsidR="001F3C36" w:rsidRDefault="00763135">
      <w:pPr>
        <w:pStyle w:val="ListParagraph"/>
        <w:numPr>
          <w:ilvl w:val="0"/>
          <w:numId w:val="1"/>
        </w:numPr>
        <w:spacing w:line="360" w:lineRule="auto"/>
        <w:jc w:val="both"/>
      </w:pPr>
      <w:r>
        <w:rPr>
          <w:rFonts w:hint="cs"/>
          <w:rtl/>
        </w:rPr>
        <w:t>במקרה זה החלטתי להטיל על הנאשם מטעמי שיקום שירות לתועלת הציבור בהיקף נרחב, וזאת נוכח כברת הדרך הארוכה אותה עבר הנאשם, אשר במשך כשנה וחצי לא עבר עבירות נוספות, העבירות בוצעו על רקע התמכרותו של הנאשם לסמים, הנאשם עבר הליך טיפול משמעותי, כיום הוא הקים משפחה חדשה, עובד באופן מסודר ומתרחק מפעילות עבריינית. יחד עם זאת, בהתחשב בכך שמדובר בעבירת סמים במדרג חומרה גבוה, החלטתי שלא להיעתר להמלצת שירות המבחן במלואה, אלא להתחשב בהמלצה זו ולהרחיב את היקף שעות השירות לתועלת הציבור.</w:t>
      </w:r>
      <w:r>
        <w:t xml:space="preserve"> </w:t>
      </w:r>
      <w:r>
        <w:rPr>
          <w:rFonts w:hint="cs"/>
          <w:rtl/>
        </w:rPr>
        <w:t xml:space="preserve">לכן בהתחשב בחומרת המעשים מחד, ומאידך, בהתחשב בהליך השיקומי אשר עבר הנאשם, אני מוצאת כי עונש זה הוא המתאים ולא מצאתי להטיל מאסר שירוצה בעבודות שירות, שכן הדבר יפגע באופן אנוש בשיקומו של הנאשם. </w:t>
      </w:r>
    </w:p>
    <w:p w14:paraId="317FCDB0" w14:textId="77777777" w:rsidR="001F3C36" w:rsidRDefault="001F3C36">
      <w:pPr>
        <w:pStyle w:val="ListParagraph"/>
        <w:spacing w:line="360" w:lineRule="auto"/>
        <w:jc w:val="both"/>
        <w:rPr>
          <w:sz w:val="12"/>
          <w:szCs w:val="12"/>
        </w:rPr>
      </w:pPr>
    </w:p>
    <w:p w14:paraId="0F02999B" w14:textId="77777777" w:rsidR="001F3C36" w:rsidRDefault="00763135">
      <w:pPr>
        <w:pStyle w:val="ListParagraph"/>
        <w:numPr>
          <w:ilvl w:val="0"/>
          <w:numId w:val="1"/>
        </w:numPr>
        <w:spacing w:line="360" w:lineRule="auto"/>
        <w:jc w:val="both"/>
      </w:pPr>
      <w:r>
        <w:rPr>
          <w:rFonts w:hint="cs"/>
          <w:rtl/>
        </w:rPr>
        <w:t>מעבר לשיקום המשמעותי אותו עבר הנאשם עומדות לו נסיבות רבות לקולא ובהם גילו הצעיר, מצבו המשפחתי, לקיחת האחריות, התקופה בה שהה הנאשם במעצר ובהמשך התקופה הממושכת בה שהה הנאשם בתנאים מגבילים.</w:t>
      </w:r>
    </w:p>
    <w:p w14:paraId="71CB796A" w14:textId="77777777" w:rsidR="001F3C36" w:rsidRDefault="001F3C36">
      <w:pPr>
        <w:spacing w:line="360" w:lineRule="auto"/>
        <w:ind w:right="-284"/>
        <w:jc w:val="both"/>
        <w:rPr>
          <w:sz w:val="12"/>
          <w:szCs w:val="12"/>
        </w:rPr>
      </w:pPr>
    </w:p>
    <w:p w14:paraId="25FDDADC" w14:textId="77777777" w:rsidR="001F3C36" w:rsidRDefault="00763135">
      <w:pPr>
        <w:pStyle w:val="ListParagraph"/>
        <w:numPr>
          <w:ilvl w:val="0"/>
          <w:numId w:val="1"/>
        </w:numPr>
        <w:spacing w:line="360" w:lineRule="auto"/>
        <w:jc w:val="both"/>
      </w:pPr>
      <w:r>
        <w:rPr>
          <w:rFonts w:hint="cs"/>
          <w:rtl/>
        </w:rPr>
        <w:t>לפיכך אני דנה את הנאשם לעונשים הבאים :</w:t>
      </w:r>
    </w:p>
    <w:p w14:paraId="16C1ED6F" w14:textId="77777777" w:rsidR="001F3C36" w:rsidRDefault="00763135">
      <w:pPr>
        <w:pStyle w:val="ListParagraph"/>
        <w:numPr>
          <w:ilvl w:val="1"/>
          <w:numId w:val="2"/>
        </w:numPr>
        <w:spacing w:line="360" w:lineRule="auto"/>
        <w:jc w:val="both"/>
      </w:pPr>
      <w:r>
        <w:rPr>
          <w:rFonts w:hint="cs"/>
          <w:rtl/>
        </w:rPr>
        <w:t>400 שעות של"צ על פי תוכנית שיכין שירות המבחן עד ליום 1.1.15.</w:t>
      </w:r>
    </w:p>
    <w:p w14:paraId="28BE880D" w14:textId="77777777" w:rsidR="001F3C36" w:rsidRDefault="001F3C36">
      <w:pPr>
        <w:pStyle w:val="ListParagraph"/>
        <w:spacing w:line="360" w:lineRule="auto"/>
        <w:ind w:left="1995"/>
        <w:jc w:val="both"/>
        <w:rPr>
          <w:sz w:val="8"/>
          <w:szCs w:val="8"/>
        </w:rPr>
      </w:pPr>
    </w:p>
    <w:p w14:paraId="30763490" w14:textId="77777777" w:rsidR="001F3C36" w:rsidRDefault="00763135">
      <w:pPr>
        <w:pStyle w:val="ListParagraph"/>
        <w:numPr>
          <w:ilvl w:val="1"/>
          <w:numId w:val="2"/>
        </w:numPr>
        <w:spacing w:line="360" w:lineRule="auto"/>
        <w:jc w:val="both"/>
      </w:pPr>
      <w:r>
        <w:rPr>
          <w:rFonts w:hint="cs"/>
          <w:rtl/>
        </w:rPr>
        <w:t xml:space="preserve">12 חודשי מאסר, הנאשם לא ירצה עונש זה אלא אם יעבור בתוך שנתיים מהיום על כל עבירת סמים מסוג פשע. </w:t>
      </w:r>
    </w:p>
    <w:p w14:paraId="41CB49FC" w14:textId="77777777" w:rsidR="001F3C36" w:rsidRDefault="001F3C36">
      <w:pPr>
        <w:pStyle w:val="ListParagraph"/>
        <w:spacing w:line="360" w:lineRule="auto"/>
        <w:ind w:left="1995"/>
        <w:jc w:val="both"/>
        <w:rPr>
          <w:sz w:val="8"/>
          <w:szCs w:val="8"/>
        </w:rPr>
      </w:pPr>
    </w:p>
    <w:p w14:paraId="2EE221F0" w14:textId="77777777" w:rsidR="001F3C36" w:rsidRDefault="00763135">
      <w:pPr>
        <w:pStyle w:val="ListParagraph"/>
        <w:numPr>
          <w:ilvl w:val="1"/>
          <w:numId w:val="2"/>
        </w:numPr>
        <w:spacing w:line="360" w:lineRule="auto"/>
        <w:ind w:right="142"/>
        <w:jc w:val="both"/>
      </w:pPr>
      <w:r>
        <w:rPr>
          <w:rFonts w:hint="cs"/>
          <w:rtl/>
        </w:rPr>
        <w:t xml:space="preserve">3 חודשי מאסר, הנאשם לא ירצה עונש זה אלא אם יעבור בתוך שנתיים מהיום על כל עבירת סמים מסוג עוון. </w:t>
      </w:r>
    </w:p>
    <w:p w14:paraId="343CC26A" w14:textId="77777777" w:rsidR="001F3C36" w:rsidRDefault="001F3C36">
      <w:pPr>
        <w:pStyle w:val="ListParagraph"/>
        <w:spacing w:line="360" w:lineRule="auto"/>
        <w:ind w:left="1995" w:right="142"/>
        <w:jc w:val="both"/>
        <w:rPr>
          <w:sz w:val="8"/>
          <w:szCs w:val="8"/>
          <w:rtl/>
        </w:rPr>
      </w:pPr>
    </w:p>
    <w:p w14:paraId="19FB2843" w14:textId="77777777" w:rsidR="001F3C36" w:rsidRDefault="00763135">
      <w:pPr>
        <w:pStyle w:val="ListParagraph"/>
        <w:numPr>
          <w:ilvl w:val="1"/>
          <w:numId w:val="2"/>
        </w:numPr>
        <w:spacing w:line="360" w:lineRule="auto"/>
        <w:ind w:right="142"/>
        <w:jc w:val="both"/>
      </w:pPr>
      <w:r>
        <w:rPr>
          <w:rFonts w:hint="cs"/>
          <w:rtl/>
        </w:rPr>
        <w:t xml:space="preserve">צו מבחן למשך 18 חודשים מהיום. הנאשם מוזהר כי אם לא ימלא אחר הצו, ידון עונשו מחדש. </w:t>
      </w:r>
    </w:p>
    <w:p w14:paraId="53445E51" w14:textId="77777777" w:rsidR="001F3C36" w:rsidRDefault="001F3C36">
      <w:pPr>
        <w:spacing w:line="360" w:lineRule="auto"/>
        <w:ind w:right="142"/>
        <w:jc w:val="both"/>
        <w:rPr>
          <w:sz w:val="8"/>
          <w:szCs w:val="8"/>
        </w:rPr>
      </w:pPr>
    </w:p>
    <w:p w14:paraId="00E32A50" w14:textId="77777777" w:rsidR="001F3C36" w:rsidRDefault="00763135">
      <w:pPr>
        <w:pStyle w:val="ListParagraph"/>
        <w:numPr>
          <w:ilvl w:val="1"/>
          <w:numId w:val="2"/>
        </w:numPr>
        <w:spacing w:line="360" w:lineRule="auto"/>
        <w:ind w:right="142"/>
        <w:jc w:val="both"/>
      </w:pPr>
      <w:r>
        <w:rPr>
          <w:rFonts w:hint="cs"/>
          <w:rtl/>
        </w:rPr>
        <w:t>הנאשם מוזהר כי אם לא יעמוד בתנאי המבחן או השל"צ ידון עונשו מחדש.</w:t>
      </w:r>
    </w:p>
    <w:p w14:paraId="25DAED38" w14:textId="77777777" w:rsidR="001F3C36" w:rsidRDefault="001F3C36">
      <w:pPr>
        <w:spacing w:line="360" w:lineRule="auto"/>
        <w:ind w:right="142"/>
        <w:jc w:val="both"/>
        <w:rPr>
          <w:sz w:val="12"/>
          <w:szCs w:val="12"/>
        </w:rPr>
      </w:pPr>
    </w:p>
    <w:p w14:paraId="5ACB52FD" w14:textId="77777777" w:rsidR="001F3C36" w:rsidRDefault="00763135">
      <w:pPr>
        <w:spacing w:line="360" w:lineRule="auto"/>
        <w:ind w:right="142"/>
        <w:jc w:val="both"/>
        <w:rPr>
          <w:b/>
          <w:bCs/>
          <w:rtl/>
        </w:rPr>
      </w:pPr>
      <w:r w:rsidRPr="00763135">
        <w:rPr>
          <w:b/>
          <w:bCs/>
          <w:color w:val="FFFFFF"/>
          <w:sz w:val="2"/>
          <w:szCs w:val="2"/>
          <w:rtl/>
        </w:rPr>
        <w:t>5129371</w:t>
      </w:r>
      <w:r>
        <w:rPr>
          <w:rFonts w:hint="cs"/>
          <w:b/>
          <w:bCs/>
          <w:rtl/>
        </w:rPr>
        <w:t xml:space="preserve">המזכירות תעביר העתק הפרוטוקול לשירות המבחן. </w:t>
      </w:r>
    </w:p>
    <w:p w14:paraId="453B8A7D" w14:textId="77777777" w:rsidR="001F3C36" w:rsidRDefault="00763135">
      <w:pPr>
        <w:spacing w:line="360" w:lineRule="auto"/>
        <w:jc w:val="both"/>
        <w:rPr>
          <w:b/>
          <w:bCs/>
          <w:u w:val="single"/>
          <w:rtl/>
        </w:rPr>
      </w:pPr>
      <w:r w:rsidRPr="00763135">
        <w:rPr>
          <w:b/>
          <w:bCs/>
          <w:color w:val="FFFFFF"/>
          <w:sz w:val="2"/>
          <w:szCs w:val="2"/>
          <w:u w:val="single"/>
          <w:rtl/>
        </w:rPr>
        <w:t>54678313</w:t>
      </w:r>
      <w:r>
        <w:rPr>
          <w:rFonts w:hint="cs"/>
          <w:b/>
          <w:bCs/>
          <w:u w:val="single"/>
          <w:rtl/>
        </w:rPr>
        <w:t>זכור ערעור לבית המשפט המחוזי תוך 45 יום מהיום.</w:t>
      </w:r>
    </w:p>
    <w:p w14:paraId="183CC603" w14:textId="77777777" w:rsidR="001F3C36" w:rsidRDefault="00763135">
      <w:pPr>
        <w:jc w:val="center"/>
      </w:pPr>
      <w:r>
        <w:rPr>
          <w:rFonts w:ascii="Arial" w:hAnsi="Arial"/>
          <w:rtl/>
        </w:rPr>
        <w:t xml:space="preserve">ניתן היום,  י"ט חשוון תשע"ה, 12 נובמבר 2014, בנוכחות ב"כ הצדדים והנאשם.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E852A71" w14:textId="77777777" w:rsidR="001F3C36" w:rsidRDefault="001F3C36">
      <w:pPr>
        <w:jc w:val="center"/>
        <w:rPr>
          <w:rFonts w:ascii="Arial" w:hAnsi="Arial" w:cs="FrankRuehl"/>
          <w:sz w:val="28"/>
          <w:szCs w:val="28"/>
          <w:rtl/>
        </w:rPr>
      </w:pPr>
    </w:p>
    <w:p w14:paraId="05BA2A97" w14:textId="77777777" w:rsidR="001F3C36" w:rsidRDefault="001F3C36">
      <w:pPr>
        <w:rPr>
          <w:rFonts w:cs="FrankRuehl"/>
          <w:sz w:val="28"/>
          <w:szCs w:val="28"/>
          <w:rtl/>
        </w:rPr>
      </w:pPr>
    </w:p>
    <w:p w14:paraId="520087F2" w14:textId="77777777" w:rsidR="001F3C36" w:rsidRPr="00440C95" w:rsidRDefault="00440C95">
      <w:pPr>
        <w:pStyle w:val="a3"/>
        <w:jc w:val="center"/>
        <w:rPr>
          <w:color w:val="FFFFFF"/>
          <w:sz w:val="2"/>
          <w:szCs w:val="2"/>
          <w:rtl/>
        </w:rPr>
      </w:pPr>
      <w:r w:rsidRPr="00440C95">
        <w:rPr>
          <w:color w:val="FFFFFF"/>
          <w:sz w:val="2"/>
          <w:szCs w:val="2"/>
          <w:rtl/>
        </w:rPr>
        <w:t>5129371</w:t>
      </w:r>
    </w:p>
    <w:p w14:paraId="796C2561" w14:textId="77777777" w:rsidR="00763135" w:rsidRPr="00440C95" w:rsidRDefault="00440C95" w:rsidP="00763135">
      <w:pPr>
        <w:keepNext/>
        <w:rPr>
          <w:rFonts w:ascii="David" w:hAnsi="David"/>
          <w:color w:val="FFFFFF"/>
          <w:sz w:val="2"/>
          <w:szCs w:val="2"/>
          <w:rtl/>
        </w:rPr>
      </w:pPr>
      <w:r w:rsidRPr="00440C95">
        <w:rPr>
          <w:rFonts w:ascii="David" w:hAnsi="David"/>
          <w:color w:val="FFFFFF"/>
          <w:sz w:val="2"/>
          <w:szCs w:val="2"/>
          <w:rtl/>
        </w:rPr>
        <w:t>54678313</w:t>
      </w:r>
    </w:p>
    <w:p w14:paraId="44E2EB9B" w14:textId="77777777" w:rsidR="00763135" w:rsidRPr="00763135" w:rsidRDefault="00763135" w:rsidP="00763135">
      <w:pPr>
        <w:keepNext/>
        <w:rPr>
          <w:rFonts w:ascii="David" w:hAnsi="David"/>
          <w:color w:val="000000"/>
          <w:sz w:val="22"/>
          <w:szCs w:val="22"/>
          <w:rtl/>
        </w:rPr>
      </w:pPr>
      <w:r w:rsidRPr="00763135">
        <w:rPr>
          <w:rFonts w:ascii="David" w:hAnsi="David"/>
          <w:color w:val="000000"/>
          <w:sz w:val="22"/>
          <w:szCs w:val="22"/>
          <w:rtl/>
        </w:rPr>
        <w:t>חנה מרים לומפ 54678313</w:t>
      </w:r>
    </w:p>
    <w:p w14:paraId="50756C67" w14:textId="77777777" w:rsidR="00763135" w:rsidRDefault="00763135" w:rsidP="00763135">
      <w:r w:rsidRPr="00763135">
        <w:rPr>
          <w:color w:val="000000"/>
          <w:rtl/>
        </w:rPr>
        <w:t>נוסח מסמך זה כפוף לשינויי ניסוח ועריכה</w:t>
      </w:r>
    </w:p>
    <w:p w14:paraId="43CC961E" w14:textId="77777777" w:rsidR="00763135" w:rsidRDefault="00763135" w:rsidP="00763135">
      <w:pPr>
        <w:rPr>
          <w:rtl/>
        </w:rPr>
      </w:pPr>
    </w:p>
    <w:p w14:paraId="1AA7C98D" w14:textId="77777777" w:rsidR="00763135" w:rsidRDefault="00763135" w:rsidP="00763135">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sectPr w:rsidR="00763135" w:rsidSect="00440C95">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D7585" w14:textId="77777777" w:rsidR="006F20AD" w:rsidRPr="00B64846" w:rsidRDefault="006F20AD">
      <w:pPr>
        <w:rPr>
          <w:rFonts w:cs="Arial"/>
          <w:szCs w:val="20"/>
        </w:rPr>
      </w:pPr>
      <w:r>
        <w:separator/>
      </w:r>
    </w:p>
  </w:endnote>
  <w:endnote w:type="continuationSeparator" w:id="0">
    <w:p w14:paraId="19A22CBE" w14:textId="77777777" w:rsidR="006F20AD" w:rsidRPr="00B64846" w:rsidRDefault="006F20A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7362A" w14:textId="77777777" w:rsidR="00440C95" w:rsidRDefault="00440C95" w:rsidP="00440C9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B05B60F" w14:textId="77777777" w:rsidR="001F3C36" w:rsidRPr="00440C95" w:rsidRDefault="00440C95" w:rsidP="00440C95">
    <w:pPr>
      <w:pStyle w:val="a4"/>
      <w:pBdr>
        <w:top w:val="single" w:sz="4" w:space="1" w:color="auto"/>
        <w:between w:val="single" w:sz="4" w:space="0" w:color="auto"/>
      </w:pBdr>
      <w:spacing w:after="60"/>
      <w:jc w:val="center"/>
      <w:rPr>
        <w:rFonts w:ascii="FrankRuehl" w:hAnsi="FrankRuehl" w:cs="FrankRuehl"/>
        <w:color w:val="000000"/>
      </w:rPr>
    </w:pPr>
    <w:r w:rsidRPr="00440C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F3788" w14:textId="77777777" w:rsidR="00440C95" w:rsidRDefault="00440C95" w:rsidP="00440C9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700D">
      <w:rPr>
        <w:rFonts w:ascii="FrankRuehl" w:hAnsi="FrankRuehl" w:cs="FrankRuehl"/>
        <w:noProof/>
        <w:rtl/>
      </w:rPr>
      <w:t>1</w:t>
    </w:r>
    <w:r>
      <w:rPr>
        <w:rFonts w:ascii="FrankRuehl" w:hAnsi="FrankRuehl" w:cs="FrankRuehl"/>
        <w:rtl/>
      </w:rPr>
      <w:fldChar w:fldCharType="end"/>
    </w:r>
  </w:p>
  <w:p w14:paraId="09720FD0" w14:textId="77777777" w:rsidR="001F3C36" w:rsidRPr="00440C95" w:rsidRDefault="00440C95" w:rsidP="00440C95">
    <w:pPr>
      <w:pStyle w:val="a4"/>
      <w:pBdr>
        <w:top w:val="single" w:sz="4" w:space="1" w:color="auto"/>
        <w:between w:val="single" w:sz="4" w:space="0" w:color="auto"/>
      </w:pBdr>
      <w:spacing w:after="60"/>
      <w:jc w:val="center"/>
      <w:rPr>
        <w:rFonts w:ascii="FrankRuehl" w:hAnsi="FrankRuehl" w:cs="FrankRuehl"/>
        <w:color w:val="000000"/>
      </w:rPr>
    </w:pPr>
    <w:r w:rsidRPr="00440C95">
      <w:rPr>
        <w:rFonts w:ascii="FrankRuehl" w:hAnsi="FrankRuehl" w:cs="FrankRuehl"/>
        <w:color w:val="000000"/>
      </w:rPr>
      <w:pict w14:anchorId="4DC9CA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FE383" w14:textId="77777777" w:rsidR="006F20AD" w:rsidRPr="00B64846" w:rsidRDefault="006F20AD">
      <w:pPr>
        <w:rPr>
          <w:rFonts w:cs="Arial"/>
          <w:szCs w:val="20"/>
        </w:rPr>
      </w:pPr>
      <w:r>
        <w:separator/>
      </w:r>
    </w:p>
  </w:footnote>
  <w:footnote w:type="continuationSeparator" w:id="0">
    <w:p w14:paraId="4A4C990E" w14:textId="77777777" w:rsidR="006F20AD" w:rsidRPr="00B64846" w:rsidRDefault="006F20A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6E47A" w14:textId="77777777" w:rsidR="00763135" w:rsidRPr="00440C95" w:rsidRDefault="00440C95" w:rsidP="00440C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34680-04-13</w:t>
    </w:r>
    <w:r>
      <w:rPr>
        <w:rFonts w:ascii="David" w:hAnsi="David"/>
        <w:color w:val="000000"/>
        <w:sz w:val="22"/>
        <w:szCs w:val="22"/>
        <w:rtl/>
      </w:rPr>
      <w:tab/>
      <w:t xml:space="preserve"> מדינת ישראל נ' ליעד סטלמן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53DCD" w14:textId="77777777" w:rsidR="00763135" w:rsidRPr="00440C95" w:rsidRDefault="00440C95" w:rsidP="00440C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34680-04-13</w:t>
    </w:r>
    <w:r>
      <w:rPr>
        <w:rFonts w:ascii="David" w:hAnsi="David"/>
        <w:color w:val="000000"/>
        <w:sz w:val="22"/>
        <w:szCs w:val="22"/>
        <w:rtl/>
      </w:rPr>
      <w:tab/>
      <w:t xml:space="preserve"> מדינת ישראל נ' ליעד סטלמן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7B73"/>
    <w:multiLevelType w:val="hybridMultilevel"/>
    <w:tmpl w:val="F8DCB81E"/>
    <w:lvl w:ilvl="0" w:tplc="0409000F">
      <w:start w:val="1"/>
      <w:numFmt w:val="decimal"/>
      <w:lvlText w:val="%1."/>
      <w:lvlJc w:val="left"/>
      <w:pPr>
        <w:ind w:left="720" w:hanging="360"/>
      </w:pPr>
    </w:lvl>
    <w:lvl w:ilvl="1" w:tplc="04090013">
      <w:start w:val="1"/>
      <w:numFmt w:val="hebrew1"/>
      <w:lvlText w:val="%2."/>
      <w:lvlJc w:val="center"/>
      <w:pPr>
        <w:ind w:left="1995" w:hanging="915"/>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CA7B97"/>
    <w:multiLevelType w:val="hybridMultilevel"/>
    <w:tmpl w:val="219CB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461622">
    <w:abstractNumId w:val="1"/>
  </w:num>
  <w:num w:numId="2" w16cid:durableId="19207527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3C36"/>
    <w:rsid w:val="001F3C36"/>
    <w:rsid w:val="002A700D"/>
    <w:rsid w:val="00440C95"/>
    <w:rsid w:val="0062592D"/>
    <w:rsid w:val="006F20AD"/>
    <w:rsid w:val="00763135"/>
    <w:rsid w:val="00E842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4D45E53"/>
  <w15:chartTrackingRefBased/>
  <w15:docId w15:val="{6A0343E0-B414-4F97-9421-224657F2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3C3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F3C36"/>
    <w:pPr>
      <w:tabs>
        <w:tab w:val="center" w:pos="4153"/>
        <w:tab w:val="right" w:pos="8306"/>
      </w:tabs>
    </w:pPr>
  </w:style>
  <w:style w:type="paragraph" w:styleId="a4">
    <w:name w:val="footer"/>
    <w:basedOn w:val="a"/>
    <w:rsid w:val="001F3C36"/>
    <w:pPr>
      <w:tabs>
        <w:tab w:val="center" w:pos="4153"/>
        <w:tab w:val="right" w:pos="8306"/>
      </w:tabs>
    </w:pPr>
  </w:style>
  <w:style w:type="character" w:styleId="a5">
    <w:name w:val="page number"/>
    <w:basedOn w:val="a0"/>
    <w:rsid w:val="001F3C36"/>
  </w:style>
  <w:style w:type="paragraph" w:customStyle="1" w:styleId="ListParagraph">
    <w:name w:val="List Paragraph"/>
    <w:basedOn w:val="a"/>
    <w:rsid w:val="001F3C36"/>
    <w:pPr>
      <w:ind w:left="720"/>
      <w:contextualSpacing/>
    </w:pPr>
  </w:style>
  <w:style w:type="character" w:styleId="Hyperlink">
    <w:name w:val="Hyperlink"/>
    <w:basedOn w:val="a0"/>
    <w:rsid w:val="001F3C36"/>
    <w:rPr>
      <w:color w:val="0000FF"/>
      <w:u w:val="single"/>
    </w:rPr>
  </w:style>
  <w:style w:type="paragraph" w:customStyle="1" w:styleId="Ruller4">
    <w:name w:val="Ruller4"/>
    <w:basedOn w:val="a"/>
    <w:rsid w:val="001F3C36"/>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1F3C36"/>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i" TargetMode="External"/><Relationship Id="rId21" Type="http://schemas.openxmlformats.org/officeDocument/2006/relationships/hyperlink" Target="http://www.nevo.co.il/case/5726579"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c" TargetMode="External"/><Relationship Id="rId17" Type="http://schemas.openxmlformats.org/officeDocument/2006/relationships/hyperlink" Target="http://www.nevo.co.il/law/4216/10a" TargetMode="External"/><Relationship Id="rId25" Type="http://schemas.openxmlformats.org/officeDocument/2006/relationships/hyperlink" Target="http://www.nevo.co.il/law/7030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5698919" TargetMode="External"/><Relationship Id="rId29"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0c"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5903534" TargetMode="External"/><Relationship Id="rId28" Type="http://schemas.openxmlformats.org/officeDocument/2006/relationships/hyperlink" Target="http://www.nevo.co.il/case/3894080" TargetMode="External"/><Relationship Id="rId36" Type="http://schemas.openxmlformats.org/officeDocument/2006/relationships/footer" Target="footer2.xml"/><Relationship Id="rId10" Type="http://schemas.openxmlformats.org/officeDocument/2006/relationships/hyperlink" Target="http://www.nevo.co.il/law/4216/10a" TargetMode="External"/><Relationship Id="rId19" Type="http://schemas.openxmlformats.org/officeDocument/2006/relationships/hyperlink" Target="http://www.nevo.co.il/case/5585052"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6076151" TargetMode="External"/><Relationship Id="rId27" Type="http://schemas.openxmlformats.org/officeDocument/2006/relationships/hyperlink" Target="http://www.nevo.co.il/case/4140033"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2123</Words>
  <Characters>10618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12716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3801200</vt:i4>
      </vt:variant>
      <vt:variant>
        <vt:i4>63</vt:i4>
      </vt:variant>
      <vt:variant>
        <vt:i4>0</vt:i4>
      </vt:variant>
      <vt:variant>
        <vt:i4>5</vt:i4>
      </vt:variant>
      <vt:variant>
        <vt:lpwstr>http://www.nevo.co.il/case/3894080</vt:lpwstr>
      </vt:variant>
      <vt:variant>
        <vt:lpwstr/>
      </vt:variant>
      <vt:variant>
        <vt:i4>3342454</vt:i4>
      </vt:variant>
      <vt:variant>
        <vt:i4>60</vt:i4>
      </vt:variant>
      <vt:variant>
        <vt:i4>0</vt:i4>
      </vt:variant>
      <vt:variant>
        <vt:i4>5</vt:i4>
      </vt:variant>
      <vt:variant>
        <vt:lpwstr>http://www.nevo.co.il/case/4140033</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3407997</vt:i4>
      </vt:variant>
      <vt:variant>
        <vt:i4>48</vt:i4>
      </vt:variant>
      <vt:variant>
        <vt:i4>0</vt:i4>
      </vt:variant>
      <vt:variant>
        <vt:i4>5</vt:i4>
      </vt:variant>
      <vt:variant>
        <vt:lpwstr>http://www.nevo.co.il/case/5903534</vt:lpwstr>
      </vt:variant>
      <vt:variant>
        <vt:lpwstr/>
      </vt:variant>
      <vt:variant>
        <vt:i4>3211383</vt:i4>
      </vt:variant>
      <vt:variant>
        <vt:i4>45</vt:i4>
      </vt:variant>
      <vt:variant>
        <vt:i4>0</vt:i4>
      </vt:variant>
      <vt:variant>
        <vt:i4>5</vt:i4>
      </vt:variant>
      <vt:variant>
        <vt:lpwstr>http://www.nevo.co.il/case/6076151</vt:lpwstr>
      </vt:variant>
      <vt:variant>
        <vt:lpwstr/>
      </vt:variant>
      <vt:variant>
        <vt:i4>3866738</vt:i4>
      </vt:variant>
      <vt:variant>
        <vt:i4>42</vt:i4>
      </vt:variant>
      <vt:variant>
        <vt:i4>0</vt:i4>
      </vt:variant>
      <vt:variant>
        <vt:i4>5</vt:i4>
      </vt:variant>
      <vt:variant>
        <vt:lpwstr>http://www.nevo.co.il/case/5726579</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4128881</vt:i4>
      </vt:variant>
      <vt:variant>
        <vt:i4>36</vt:i4>
      </vt:variant>
      <vt:variant>
        <vt:i4>0</vt:i4>
      </vt:variant>
      <vt:variant>
        <vt:i4>5</vt:i4>
      </vt:variant>
      <vt:variant>
        <vt:lpwstr>http://www.nevo.co.il/case/5585052</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3014778</vt:i4>
      </vt:variant>
      <vt:variant>
        <vt:i4>30</vt:i4>
      </vt:variant>
      <vt:variant>
        <vt:i4>0</vt:i4>
      </vt:variant>
      <vt:variant>
        <vt:i4>5</vt:i4>
      </vt:variant>
      <vt:variant>
        <vt:lpwstr>http://www.nevo.co.il/law/4216/10a</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3014778</vt:i4>
      </vt:variant>
      <vt:variant>
        <vt:i4>9</vt:i4>
      </vt:variant>
      <vt:variant>
        <vt:i4>0</vt:i4>
      </vt:variant>
      <vt:variant>
        <vt:i4>5</vt:i4>
      </vt:variant>
      <vt:variant>
        <vt:lpwstr>http://www.nevo.co.il/law/4216/10a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2025-04-22T22:00:00Z</dcterms:created>
  <dcterms:modified xsi:type="dcterms:W3CDTF">2025-04-22T22:00:00Z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34680</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ליעד סטלמן</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20141112</vt:lpwstr>
  </property>
  <property fmtid="{D5CDD505-2E9C-101B-9397-08002B2CF9AE}" pid="13" name="TYPE_N_DATE">
    <vt:lpwstr>38020141112</vt:lpwstr>
  </property>
  <property fmtid="{D5CDD505-2E9C-101B-9397-08002B2CF9AE}" pid="14" name="CASESLISTTMP1">
    <vt:lpwstr>5585052;5698919;5726579;6076151;5903534;4140033;3894080</vt:lpwstr>
  </property>
  <property fmtid="{D5CDD505-2E9C-101B-9397-08002B2CF9AE}" pid="15" name="CASENOTES1">
    <vt:lpwstr>ProcID=133;209&amp;PartA=38435&amp;PartB=02&amp;PartC=13</vt:lpwstr>
  </property>
  <property fmtid="{D5CDD505-2E9C-101B-9397-08002B2CF9AE}" pid="16" name="WORDNUMPAGES">
    <vt:lpwstr>7</vt:lpwstr>
  </property>
  <property fmtid="{D5CDD505-2E9C-101B-9397-08002B2CF9AE}" pid="17" name="TYPE_ABS_DATE">
    <vt:lpwstr>380020141112</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4216/007.a;007.c;010a</vt:lpwstr>
  </property>
  <property fmtid="{D5CDD505-2E9C-101B-9397-08002B2CF9AE}" pid="38" name="LAWLISTTMP2">
    <vt:lpwstr>70301/040c;040i;040d</vt:lpwstr>
  </property>
</Properties>
</file>