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7C29D2" w:rsidRPr="007E47E3" w14:paraId="36BCD73E" w14:textId="77777777" w:rsidTr="00897D2A">
        <w:trPr>
          <w:trHeight w:hRule="exact" w:val="418"/>
          <w:jc w:val="center"/>
        </w:trPr>
        <w:tc>
          <w:tcPr>
            <w:tcW w:w="8721" w:type="dxa"/>
            <w:gridSpan w:val="2"/>
          </w:tcPr>
          <w:p w14:paraId="5C9AB920" w14:textId="77777777" w:rsidR="007C29D2" w:rsidRPr="007E47E3" w:rsidRDefault="007C29D2" w:rsidP="00F1326F">
            <w:pPr>
              <w:pStyle w:val="a3"/>
              <w:jc w:val="center"/>
              <w:rPr>
                <w:rFonts w:ascii="Tahoma" w:hAnsi="Tahoma"/>
                <w:color w:val="000080"/>
                <w:sz w:val="32"/>
                <w:szCs w:val="32"/>
                <w:rtl/>
              </w:rPr>
            </w:pPr>
            <w:bookmarkStart w:id="0" w:name="LastJudge"/>
            <w:r w:rsidRPr="007E47E3">
              <w:rPr>
                <w:rFonts w:ascii="Tahoma" w:hAnsi="Tahoma"/>
                <w:b/>
                <w:bCs/>
                <w:color w:val="000080"/>
                <w:sz w:val="32"/>
                <w:szCs w:val="32"/>
                <w:rtl/>
              </w:rPr>
              <w:t>בית משפט השלום בתל אביב - יפו</w:t>
            </w:r>
          </w:p>
        </w:tc>
      </w:tr>
      <w:tr w:rsidR="007C29D2" w:rsidRPr="007E47E3" w14:paraId="08CDFF36" w14:textId="77777777" w:rsidTr="00897D2A">
        <w:trPr>
          <w:trHeight w:val="337"/>
          <w:jc w:val="center"/>
        </w:trPr>
        <w:tc>
          <w:tcPr>
            <w:tcW w:w="5054" w:type="dxa"/>
          </w:tcPr>
          <w:p w14:paraId="059A3E78" w14:textId="77777777" w:rsidR="007C29D2" w:rsidRPr="007E47E3" w:rsidRDefault="007C29D2" w:rsidP="00F1326F">
            <w:pPr>
              <w:rPr>
                <w:sz w:val="26"/>
                <w:szCs w:val="26"/>
                <w:rtl/>
              </w:rPr>
            </w:pPr>
            <w:r w:rsidRPr="007E47E3">
              <w:rPr>
                <w:sz w:val="26"/>
                <w:szCs w:val="26"/>
                <w:rtl/>
              </w:rPr>
              <w:t>ת"פ</w:t>
            </w:r>
            <w:r w:rsidRPr="007E47E3">
              <w:rPr>
                <w:rFonts w:hint="cs"/>
                <w:sz w:val="26"/>
                <w:szCs w:val="26"/>
                <w:rtl/>
              </w:rPr>
              <w:t xml:space="preserve"> </w:t>
            </w:r>
            <w:r w:rsidRPr="007E47E3">
              <w:rPr>
                <w:sz w:val="26"/>
                <w:szCs w:val="26"/>
                <w:rtl/>
              </w:rPr>
              <w:t>7754-04-13</w:t>
            </w:r>
            <w:r w:rsidRPr="007E47E3">
              <w:rPr>
                <w:rFonts w:hint="cs"/>
                <w:sz w:val="26"/>
                <w:szCs w:val="26"/>
                <w:rtl/>
              </w:rPr>
              <w:t xml:space="preserve"> </w:t>
            </w:r>
            <w:r w:rsidRPr="007E47E3">
              <w:rPr>
                <w:sz w:val="26"/>
                <w:szCs w:val="26"/>
                <w:rtl/>
              </w:rPr>
              <w:t>מדינת ישראל נ' גילרמן</w:t>
            </w:r>
          </w:p>
        </w:tc>
        <w:tc>
          <w:tcPr>
            <w:tcW w:w="3667" w:type="dxa"/>
          </w:tcPr>
          <w:p w14:paraId="095B2603" w14:textId="77777777" w:rsidR="007C29D2" w:rsidRPr="007E47E3" w:rsidRDefault="007C29D2" w:rsidP="00F1326F">
            <w:pPr>
              <w:pStyle w:val="a3"/>
              <w:jc w:val="right"/>
              <w:rPr>
                <w:rFonts w:cs="FrankRuehl"/>
                <w:sz w:val="28"/>
                <w:szCs w:val="28"/>
                <w:rtl/>
              </w:rPr>
            </w:pPr>
          </w:p>
        </w:tc>
      </w:tr>
    </w:tbl>
    <w:p w14:paraId="61C45DFB" w14:textId="77777777" w:rsidR="007C29D2" w:rsidRPr="007E47E3" w:rsidRDefault="007C29D2" w:rsidP="007C29D2">
      <w:pPr>
        <w:pStyle w:val="a3"/>
        <w:rPr>
          <w:rtl/>
        </w:rPr>
      </w:pPr>
      <w:r w:rsidRPr="007E47E3">
        <w:rPr>
          <w:rFonts w:hint="cs"/>
          <w:rtl/>
        </w:rPr>
        <w:t xml:space="preserve"> </w:t>
      </w:r>
    </w:p>
    <w:p w14:paraId="45565C32" w14:textId="77777777" w:rsidR="007C29D2" w:rsidRPr="007E47E3" w:rsidRDefault="007C29D2" w:rsidP="007C29D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5"/>
        <w:gridCol w:w="4227"/>
        <w:gridCol w:w="3398"/>
      </w:tblGrid>
      <w:tr w:rsidR="007C29D2" w:rsidRPr="007E47E3" w14:paraId="4DB6C679" w14:textId="77777777" w:rsidTr="007C29D2">
        <w:trPr>
          <w:trHeight w:val="295"/>
          <w:jc w:val="center"/>
        </w:trPr>
        <w:tc>
          <w:tcPr>
            <w:tcW w:w="8820" w:type="dxa"/>
            <w:gridSpan w:val="3"/>
            <w:tcBorders>
              <w:top w:val="nil"/>
              <w:left w:val="nil"/>
              <w:bottom w:val="nil"/>
              <w:right w:val="nil"/>
            </w:tcBorders>
            <w:shd w:val="clear" w:color="auto" w:fill="auto"/>
          </w:tcPr>
          <w:p w14:paraId="1D1BC73A" w14:textId="77777777" w:rsidR="007C29D2" w:rsidRPr="007E47E3" w:rsidRDefault="007C29D2" w:rsidP="007C29D2">
            <w:pPr>
              <w:jc w:val="both"/>
              <w:rPr>
                <w:rFonts w:ascii="Arial" w:hAnsi="Arial"/>
                <w:b/>
                <w:bCs/>
                <w:sz w:val="26"/>
                <w:szCs w:val="26"/>
              </w:rPr>
            </w:pPr>
            <w:r w:rsidRPr="007E47E3">
              <w:rPr>
                <w:rFonts w:ascii="Arial" w:hAnsi="Arial" w:hint="cs"/>
                <w:b/>
                <w:bCs/>
                <w:sz w:val="26"/>
                <w:szCs w:val="26"/>
                <w:rtl/>
              </w:rPr>
              <w:t>ל</w:t>
            </w:r>
            <w:r w:rsidRPr="007E47E3">
              <w:rPr>
                <w:rFonts w:ascii="Arial" w:hAnsi="Arial"/>
                <w:b/>
                <w:bCs/>
                <w:sz w:val="26"/>
                <w:szCs w:val="26"/>
                <w:rtl/>
              </w:rPr>
              <w:t xml:space="preserve">פני </w:t>
            </w:r>
            <w:r w:rsidRPr="007E47E3">
              <w:rPr>
                <w:rFonts w:ascii="Arial" w:hAnsi="Arial" w:hint="cs"/>
                <w:b/>
                <w:bCs/>
                <w:sz w:val="26"/>
                <w:szCs w:val="26"/>
                <w:rtl/>
              </w:rPr>
              <w:t>כבוד ה</w:t>
            </w:r>
            <w:r w:rsidRPr="007E47E3">
              <w:rPr>
                <w:rFonts w:ascii="Arial" w:hAnsi="Arial"/>
                <w:b/>
                <w:bCs/>
                <w:sz w:val="26"/>
                <w:szCs w:val="26"/>
                <w:rtl/>
              </w:rPr>
              <w:t>שופטת</w:t>
            </w:r>
            <w:r w:rsidRPr="007E47E3">
              <w:rPr>
                <w:rFonts w:ascii="Arial" w:hAnsi="Arial" w:hint="cs"/>
                <w:b/>
                <w:bCs/>
                <w:sz w:val="26"/>
                <w:szCs w:val="26"/>
                <w:rtl/>
              </w:rPr>
              <w:t xml:space="preserve">  </w:t>
            </w:r>
            <w:r w:rsidRPr="007E47E3">
              <w:rPr>
                <w:rFonts w:ascii="Arial" w:hAnsi="Arial"/>
                <w:b/>
                <w:bCs/>
                <w:sz w:val="26"/>
                <w:szCs w:val="26"/>
                <w:rtl/>
              </w:rPr>
              <w:t>יעל פרדלסקי</w:t>
            </w:r>
          </w:p>
        </w:tc>
      </w:tr>
      <w:tr w:rsidR="007C29D2" w:rsidRPr="007E47E3" w14:paraId="4E11ACE0" w14:textId="77777777" w:rsidTr="007C29D2">
        <w:trPr>
          <w:trHeight w:val="355"/>
          <w:jc w:val="center"/>
        </w:trPr>
        <w:tc>
          <w:tcPr>
            <w:tcW w:w="885" w:type="dxa"/>
            <w:tcBorders>
              <w:top w:val="nil"/>
              <w:left w:val="nil"/>
              <w:bottom w:val="nil"/>
              <w:right w:val="nil"/>
            </w:tcBorders>
            <w:shd w:val="clear" w:color="auto" w:fill="auto"/>
          </w:tcPr>
          <w:p w14:paraId="77E8F7F4" w14:textId="77777777" w:rsidR="007C29D2" w:rsidRPr="007E47E3" w:rsidRDefault="007C29D2" w:rsidP="007C29D2">
            <w:pPr>
              <w:jc w:val="both"/>
              <w:rPr>
                <w:rFonts w:ascii="Arial" w:hAnsi="Arial"/>
                <w:b/>
                <w:bCs/>
                <w:sz w:val="26"/>
                <w:szCs w:val="26"/>
              </w:rPr>
            </w:pPr>
            <w:bookmarkStart w:id="1" w:name="FirstAppellant"/>
            <w:bookmarkStart w:id="2" w:name="FirstLawyer"/>
            <w:r w:rsidRPr="007E47E3">
              <w:rPr>
                <w:rFonts w:ascii="Arial" w:hAnsi="Arial" w:hint="cs"/>
                <w:sz w:val="26"/>
                <w:szCs w:val="26"/>
                <w:rtl/>
              </w:rPr>
              <w:t>ה</w:t>
            </w:r>
            <w:r w:rsidRPr="007E47E3">
              <w:rPr>
                <w:rFonts w:ascii="Arial" w:hAnsi="Arial"/>
                <w:sz w:val="26"/>
                <w:szCs w:val="26"/>
                <w:rtl/>
              </w:rPr>
              <w:t>מאשימה</w:t>
            </w:r>
          </w:p>
        </w:tc>
        <w:tc>
          <w:tcPr>
            <w:tcW w:w="4384" w:type="dxa"/>
            <w:tcBorders>
              <w:top w:val="nil"/>
              <w:left w:val="nil"/>
              <w:bottom w:val="nil"/>
              <w:right w:val="nil"/>
            </w:tcBorders>
            <w:shd w:val="clear" w:color="auto" w:fill="auto"/>
          </w:tcPr>
          <w:p w14:paraId="3F7D5057" w14:textId="77777777" w:rsidR="007C29D2" w:rsidRPr="007E47E3" w:rsidRDefault="007C29D2" w:rsidP="00F1326F">
            <w:pPr>
              <w:rPr>
                <w:sz w:val="26"/>
                <w:szCs w:val="26"/>
                <w:rtl/>
              </w:rPr>
            </w:pPr>
            <w:r w:rsidRPr="007E47E3">
              <w:rPr>
                <w:rFonts w:ascii="Arial" w:hAnsi="Arial"/>
                <w:sz w:val="26"/>
                <w:szCs w:val="26"/>
                <w:rtl/>
              </w:rPr>
              <w:t>מדינת ישראל</w:t>
            </w:r>
          </w:p>
          <w:p w14:paraId="457FE775" w14:textId="77777777" w:rsidR="007C29D2" w:rsidRPr="007E47E3" w:rsidRDefault="007C29D2" w:rsidP="00F1326F">
            <w:pPr>
              <w:rPr>
                <w:sz w:val="26"/>
                <w:szCs w:val="26"/>
              </w:rPr>
            </w:pPr>
            <w:r w:rsidRPr="007E47E3">
              <w:rPr>
                <w:rFonts w:hint="cs"/>
                <w:sz w:val="26"/>
                <w:szCs w:val="26"/>
                <w:rtl/>
              </w:rPr>
              <w:t>ע"י ב"כ עו"ד יאנה קויפמן</w:t>
            </w:r>
          </w:p>
        </w:tc>
        <w:tc>
          <w:tcPr>
            <w:tcW w:w="3551" w:type="dxa"/>
            <w:tcBorders>
              <w:top w:val="nil"/>
              <w:left w:val="nil"/>
              <w:bottom w:val="nil"/>
              <w:right w:val="nil"/>
            </w:tcBorders>
            <w:shd w:val="clear" w:color="auto" w:fill="auto"/>
          </w:tcPr>
          <w:p w14:paraId="56DF42C7" w14:textId="77777777" w:rsidR="007C29D2" w:rsidRPr="007E47E3" w:rsidRDefault="007C29D2" w:rsidP="007C29D2">
            <w:pPr>
              <w:jc w:val="both"/>
              <w:rPr>
                <w:rFonts w:ascii="Arial" w:hAnsi="Arial"/>
                <w:sz w:val="26"/>
                <w:szCs w:val="26"/>
              </w:rPr>
            </w:pPr>
          </w:p>
        </w:tc>
      </w:tr>
      <w:bookmarkEnd w:id="1"/>
      <w:bookmarkEnd w:id="2"/>
      <w:tr w:rsidR="007C29D2" w:rsidRPr="007E47E3" w14:paraId="1AC34010" w14:textId="77777777" w:rsidTr="007C29D2">
        <w:trPr>
          <w:trHeight w:val="373"/>
          <w:jc w:val="center"/>
        </w:trPr>
        <w:tc>
          <w:tcPr>
            <w:tcW w:w="885" w:type="dxa"/>
            <w:tcBorders>
              <w:top w:val="nil"/>
              <w:left w:val="nil"/>
              <w:bottom w:val="nil"/>
              <w:right w:val="nil"/>
            </w:tcBorders>
            <w:shd w:val="clear" w:color="auto" w:fill="auto"/>
          </w:tcPr>
          <w:p w14:paraId="1721EC63" w14:textId="77777777" w:rsidR="007C29D2" w:rsidRPr="007E47E3" w:rsidRDefault="007C29D2" w:rsidP="007C29D2">
            <w:pPr>
              <w:jc w:val="both"/>
              <w:rPr>
                <w:rFonts w:ascii="Arial" w:hAnsi="Arial"/>
                <w:sz w:val="26"/>
                <w:szCs w:val="26"/>
                <w:rtl/>
              </w:rPr>
            </w:pPr>
          </w:p>
        </w:tc>
        <w:tc>
          <w:tcPr>
            <w:tcW w:w="7935" w:type="dxa"/>
            <w:gridSpan w:val="2"/>
            <w:tcBorders>
              <w:top w:val="nil"/>
              <w:left w:val="nil"/>
              <w:bottom w:val="nil"/>
              <w:right w:val="nil"/>
            </w:tcBorders>
            <w:shd w:val="clear" w:color="auto" w:fill="auto"/>
          </w:tcPr>
          <w:p w14:paraId="0B7651BB" w14:textId="77777777" w:rsidR="007C29D2" w:rsidRPr="007E47E3" w:rsidRDefault="007C29D2" w:rsidP="007C29D2">
            <w:pPr>
              <w:jc w:val="center"/>
              <w:rPr>
                <w:rFonts w:ascii="Arial" w:hAnsi="Arial"/>
                <w:b/>
                <w:bCs/>
                <w:sz w:val="26"/>
                <w:szCs w:val="26"/>
                <w:rtl/>
              </w:rPr>
            </w:pPr>
          </w:p>
          <w:p w14:paraId="552A3C83" w14:textId="77777777" w:rsidR="007C29D2" w:rsidRPr="007E47E3" w:rsidRDefault="007C29D2" w:rsidP="007C29D2">
            <w:pPr>
              <w:jc w:val="center"/>
              <w:rPr>
                <w:rFonts w:ascii="Arial" w:hAnsi="Arial"/>
                <w:b/>
                <w:bCs/>
                <w:sz w:val="26"/>
                <w:szCs w:val="26"/>
                <w:rtl/>
              </w:rPr>
            </w:pPr>
            <w:r w:rsidRPr="007E47E3">
              <w:rPr>
                <w:rFonts w:ascii="Arial" w:hAnsi="Arial"/>
                <w:b/>
                <w:bCs/>
                <w:sz w:val="26"/>
                <w:szCs w:val="26"/>
                <w:rtl/>
              </w:rPr>
              <w:t>נגד</w:t>
            </w:r>
          </w:p>
          <w:p w14:paraId="506055AA" w14:textId="77777777" w:rsidR="007C29D2" w:rsidRPr="007E47E3" w:rsidRDefault="007C29D2" w:rsidP="007C29D2">
            <w:pPr>
              <w:jc w:val="both"/>
              <w:rPr>
                <w:rFonts w:ascii="Arial" w:hAnsi="Arial"/>
                <w:sz w:val="26"/>
                <w:szCs w:val="26"/>
              </w:rPr>
            </w:pPr>
          </w:p>
        </w:tc>
      </w:tr>
      <w:tr w:rsidR="007C29D2" w:rsidRPr="007E47E3" w14:paraId="5CCFFF55" w14:textId="77777777" w:rsidTr="007C29D2">
        <w:trPr>
          <w:trHeight w:val="355"/>
          <w:jc w:val="center"/>
        </w:trPr>
        <w:tc>
          <w:tcPr>
            <w:tcW w:w="885" w:type="dxa"/>
            <w:tcBorders>
              <w:top w:val="nil"/>
              <w:left w:val="nil"/>
              <w:bottom w:val="nil"/>
              <w:right w:val="nil"/>
            </w:tcBorders>
            <w:shd w:val="clear" w:color="auto" w:fill="auto"/>
          </w:tcPr>
          <w:p w14:paraId="4F7D6F77" w14:textId="77777777" w:rsidR="007C29D2" w:rsidRPr="007E47E3" w:rsidRDefault="007C29D2" w:rsidP="00F1326F">
            <w:pPr>
              <w:rPr>
                <w:rFonts w:ascii="Arial" w:hAnsi="Arial"/>
                <w:sz w:val="26"/>
                <w:szCs w:val="26"/>
                <w:rtl/>
              </w:rPr>
            </w:pPr>
            <w:r w:rsidRPr="007E47E3">
              <w:rPr>
                <w:rFonts w:ascii="Arial" w:hAnsi="Arial" w:hint="cs"/>
                <w:sz w:val="26"/>
                <w:szCs w:val="26"/>
                <w:rtl/>
              </w:rPr>
              <w:t>ה</w:t>
            </w:r>
            <w:r w:rsidRPr="007E47E3">
              <w:rPr>
                <w:rFonts w:ascii="Arial" w:hAnsi="Arial"/>
                <w:sz w:val="26"/>
                <w:szCs w:val="26"/>
                <w:rtl/>
              </w:rPr>
              <w:t>נאשם</w:t>
            </w:r>
          </w:p>
        </w:tc>
        <w:tc>
          <w:tcPr>
            <w:tcW w:w="4384" w:type="dxa"/>
            <w:tcBorders>
              <w:top w:val="nil"/>
              <w:left w:val="nil"/>
              <w:bottom w:val="nil"/>
              <w:right w:val="nil"/>
            </w:tcBorders>
            <w:shd w:val="clear" w:color="auto" w:fill="auto"/>
          </w:tcPr>
          <w:p w14:paraId="1A2A1747" w14:textId="77777777" w:rsidR="007C29D2" w:rsidRPr="007E47E3" w:rsidRDefault="007C29D2" w:rsidP="00F1326F">
            <w:pPr>
              <w:rPr>
                <w:sz w:val="26"/>
                <w:szCs w:val="26"/>
                <w:rtl/>
              </w:rPr>
            </w:pPr>
            <w:r w:rsidRPr="007E47E3">
              <w:rPr>
                <w:rFonts w:ascii="Arial" w:hAnsi="Arial"/>
                <w:sz w:val="26"/>
                <w:szCs w:val="26"/>
                <w:rtl/>
              </w:rPr>
              <w:t>טימור גילרמן</w:t>
            </w:r>
          </w:p>
          <w:p w14:paraId="5BCBB99C" w14:textId="77777777" w:rsidR="007C29D2" w:rsidRPr="007E47E3" w:rsidRDefault="007C29D2" w:rsidP="00F1326F">
            <w:pPr>
              <w:rPr>
                <w:sz w:val="26"/>
                <w:szCs w:val="26"/>
                <w:rtl/>
              </w:rPr>
            </w:pPr>
            <w:r w:rsidRPr="007E47E3">
              <w:rPr>
                <w:rFonts w:hint="cs"/>
                <w:sz w:val="26"/>
                <w:szCs w:val="26"/>
                <w:rtl/>
              </w:rPr>
              <w:t>ע"י ב"כ עו"ד ישר יעקבי ועו"ד"ד בני ניומן</w:t>
            </w:r>
          </w:p>
        </w:tc>
        <w:tc>
          <w:tcPr>
            <w:tcW w:w="3551" w:type="dxa"/>
            <w:tcBorders>
              <w:top w:val="nil"/>
              <w:left w:val="nil"/>
              <w:bottom w:val="nil"/>
              <w:right w:val="nil"/>
            </w:tcBorders>
            <w:shd w:val="clear" w:color="auto" w:fill="auto"/>
          </w:tcPr>
          <w:p w14:paraId="319C8611" w14:textId="77777777" w:rsidR="007C29D2" w:rsidRPr="007E47E3" w:rsidRDefault="007C29D2" w:rsidP="007C29D2">
            <w:pPr>
              <w:jc w:val="right"/>
              <w:rPr>
                <w:rFonts w:ascii="Arial" w:hAnsi="Arial"/>
                <w:sz w:val="26"/>
                <w:szCs w:val="26"/>
              </w:rPr>
            </w:pPr>
          </w:p>
        </w:tc>
      </w:tr>
    </w:tbl>
    <w:p w14:paraId="328352D2" w14:textId="77777777" w:rsidR="00F458DE" w:rsidRDefault="00F458DE" w:rsidP="007C29D2">
      <w:pPr>
        <w:rPr>
          <w:rtl/>
        </w:rPr>
      </w:pPr>
      <w:bookmarkStart w:id="3" w:name="LawTable"/>
      <w:bookmarkEnd w:id="3"/>
    </w:p>
    <w:p w14:paraId="730D0E30" w14:textId="77777777" w:rsidR="00F458DE" w:rsidRPr="00F458DE" w:rsidRDefault="00F458DE" w:rsidP="00F458DE">
      <w:pPr>
        <w:spacing w:after="120" w:line="240" w:lineRule="exact"/>
        <w:ind w:left="283" w:hanging="283"/>
        <w:jc w:val="both"/>
        <w:rPr>
          <w:rFonts w:ascii="FrankRuehl" w:hAnsi="FrankRuehl" w:cs="FrankRuehl"/>
          <w:rtl/>
        </w:rPr>
      </w:pPr>
    </w:p>
    <w:p w14:paraId="56E647B7" w14:textId="77777777" w:rsidR="00F458DE" w:rsidRPr="00F458DE" w:rsidRDefault="00F458DE" w:rsidP="00F458DE">
      <w:pPr>
        <w:spacing w:after="120" w:line="240" w:lineRule="exact"/>
        <w:ind w:left="283" w:hanging="283"/>
        <w:jc w:val="both"/>
        <w:rPr>
          <w:rFonts w:ascii="FrankRuehl" w:hAnsi="FrankRuehl" w:cs="FrankRuehl"/>
          <w:rtl/>
        </w:rPr>
      </w:pPr>
      <w:r w:rsidRPr="00F458DE">
        <w:rPr>
          <w:rFonts w:ascii="FrankRuehl" w:hAnsi="FrankRuehl" w:cs="FrankRuehl"/>
          <w:rtl/>
        </w:rPr>
        <w:t xml:space="preserve">חקיקה שאוזכרה: </w:t>
      </w:r>
    </w:p>
    <w:p w14:paraId="5B5A101F" w14:textId="77777777" w:rsidR="00F458DE" w:rsidRPr="00F458DE" w:rsidRDefault="00F458DE" w:rsidP="00F458DE">
      <w:pPr>
        <w:spacing w:after="120" w:line="240" w:lineRule="exact"/>
        <w:ind w:left="283" w:hanging="283"/>
        <w:jc w:val="both"/>
        <w:rPr>
          <w:rFonts w:ascii="FrankRuehl" w:hAnsi="FrankRuehl" w:cs="FrankRuehl"/>
          <w:rtl/>
        </w:rPr>
      </w:pPr>
      <w:hyperlink r:id="rId7" w:history="1">
        <w:r w:rsidRPr="00F458DE">
          <w:rPr>
            <w:rFonts w:ascii="FrankRuehl" w:hAnsi="FrankRuehl" w:cs="FrankRuehl"/>
            <w:color w:val="0000FF"/>
            <w:u w:val="single"/>
            <w:rtl/>
          </w:rPr>
          <w:t>פקודת הסמים המסוכנים [נוסח חדש], תשל"ג-1973</w:t>
        </w:r>
      </w:hyperlink>
      <w:r w:rsidRPr="00F458DE">
        <w:rPr>
          <w:rFonts w:ascii="FrankRuehl" w:hAnsi="FrankRuehl" w:cs="FrankRuehl"/>
          <w:rtl/>
        </w:rPr>
        <w:t xml:space="preserve">: סע'  </w:t>
      </w:r>
      <w:hyperlink r:id="rId8" w:history="1">
        <w:r w:rsidRPr="00F458DE">
          <w:rPr>
            <w:rFonts w:ascii="FrankRuehl" w:hAnsi="FrankRuehl" w:cs="FrankRuehl"/>
            <w:color w:val="0000FF"/>
            <w:u w:val="single"/>
            <w:rtl/>
          </w:rPr>
          <w:t>6</w:t>
        </w:r>
      </w:hyperlink>
      <w:r w:rsidRPr="00F458DE">
        <w:rPr>
          <w:rFonts w:ascii="FrankRuehl" w:hAnsi="FrankRuehl" w:cs="FrankRuehl"/>
          <w:rtl/>
        </w:rPr>
        <w:t xml:space="preserve">, </w:t>
      </w:r>
      <w:hyperlink r:id="rId9" w:history="1">
        <w:r w:rsidRPr="00F458DE">
          <w:rPr>
            <w:rFonts w:ascii="FrankRuehl" w:hAnsi="FrankRuehl" w:cs="FrankRuehl"/>
            <w:color w:val="0000FF"/>
            <w:u w:val="single"/>
            <w:rtl/>
          </w:rPr>
          <w:t>7.א.</w:t>
        </w:r>
      </w:hyperlink>
      <w:r w:rsidRPr="00F458DE">
        <w:rPr>
          <w:rFonts w:ascii="FrankRuehl" w:hAnsi="FrankRuehl" w:cs="FrankRuehl"/>
          <w:rtl/>
        </w:rPr>
        <w:t xml:space="preserve">, </w:t>
      </w:r>
      <w:hyperlink r:id="rId10" w:history="1">
        <w:r w:rsidRPr="00F458DE">
          <w:rPr>
            <w:rFonts w:ascii="FrankRuehl" w:hAnsi="FrankRuehl" w:cs="FrankRuehl"/>
            <w:color w:val="0000FF"/>
            <w:u w:val="single"/>
            <w:rtl/>
          </w:rPr>
          <w:t>70ג</w:t>
        </w:r>
      </w:hyperlink>
    </w:p>
    <w:p w14:paraId="29294A88" w14:textId="77777777" w:rsidR="00F458DE" w:rsidRPr="00F458DE" w:rsidRDefault="00F458DE" w:rsidP="00F458DE">
      <w:pPr>
        <w:spacing w:after="120" w:line="240" w:lineRule="exact"/>
        <w:ind w:left="283" w:hanging="283"/>
        <w:jc w:val="both"/>
        <w:rPr>
          <w:rFonts w:ascii="FrankRuehl" w:hAnsi="FrankRuehl" w:cs="FrankRuehl"/>
          <w:rtl/>
        </w:rPr>
      </w:pPr>
      <w:hyperlink r:id="rId11" w:history="1">
        <w:r w:rsidRPr="00F458DE">
          <w:rPr>
            <w:rFonts w:ascii="FrankRuehl" w:hAnsi="FrankRuehl" w:cs="FrankRuehl"/>
            <w:color w:val="0000FF"/>
            <w:u w:val="single"/>
            <w:rtl/>
          </w:rPr>
          <w:t>חוק העונשין, תשל"ז-1977</w:t>
        </w:r>
      </w:hyperlink>
      <w:r w:rsidRPr="00F458DE">
        <w:rPr>
          <w:rFonts w:ascii="FrankRuehl" w:hAnsi="FrankRuehl" w:cs="FrankRuehl"/>
          <w:rtl/>
        </w:rPr>
        <w:t xml:space="preserve">: סע'  </w:t>
      </w:r>
      <w:hyperlink r:id="rId12" w:history="1">
        <w:r w:rsidRPr="00F458DE">
          <w:rPr>
            <w:rFonts w:ascii="FrankRuehl" w:hAnsi="FrankRuehl" w:cs="FrankRuehl"/>
            <w:color w:val="0000FF"/>
            <w:u w:val="single"/>
            <w:rtl/>
          </w:rPr>
          <w:t>72</w:t>
        </w:r>
      </w:hyperlink>
    </w:p>
    <w:p w14:paraId="301D1202" w14:textId="77777777" w:rsidR="00F458DE" w:rsidRPr="00F458DE" w:rsidRDefault="00F458DE" w:rsidP="00F458DE">
      <w:pPr>
        <w:spacing w:after="120" w:line="240" w:lineRule="exact"/>
        <w:ind w:left="283" w:hanging="283"/>
        <w:jc w:val="both"/>
        <w:rPr>
          <w:rFonts w:ascii="FrankRuehl" w:hAnsi="FrankRuehl" w:cs="FrankRuehl"/>
          <w:rtl/>
        </w:rPr>
      </w:pPr>
    </w:p>
    <w:p w14:paraId="66489EF5" w14:textId="77777777" w:rsidR="00F458DE" w:rsidRPr="00F458DE" w:rsidRDefault="00F458DE" w:rsidP="007C29D2">
      <w:pPr>
        <w:rPr>
          <w:rtl/>
        </w:rPr>
      </w:pPr>
      <w:bookmarkStart w:id="4" w:name="LawTable_End"/>
      <w:bookmarkEnd w:id="4"/>
    </w:p>
    <w:p w14:paraId="0B06FABE" w14:textId="77777777" w:rsidR="007E47E3" w:rsidRPr="007E47E3" w:rsidRDefault="007E47E3" w:rsidP="007C29D2">
      <w:pPr>
        <w:rPr>
          <w:rtl/>
        </w:rPr>
      </w:pPr>
    </w:p>
    <w:p w14:paraId="25CE076B" w14:textId="77777777" w:rsidR="007C29D2" w:rsidRPr="007E47E3" w:rsidRDefault="007C29D2" w:rsidP="007C29D2"/>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C29D2" w14:paraId="4E007C3B" w14:textId="77777777" w:rsidTr="007C29D2">
        <w:trPr>
          <w:trHeight w:val="355"/>
          <w:jc w:val="center"/>
        </w:trPr>
        <w:tc>
          <w:tcPr>
            <w:tcW w:w="8820" w:type="dxa"/>
            <w:tcBorders>
              <w:top w:val="nil"/>
              <w:left w:val="nil"/>
              <w:bottom w:val="nil"/>
              <w:right w:val="nil"/>
            </w:tcBorders>
            <w:shd w:val="clear" w:color="auto" w:fill="auto"/>
          </w:tcPr>
          <w:p w14:paraId="6BFF56C8" w14:textId="77777777" w:rsidR="007E47E3" w:rsidRPr="007E47E3" w:rsidRDefault="007E47E3" w:rsidP="007E47E3">
            <w:pPr>
              <w:jc w:val="center"/>
              <w:rPr>
                <w:rFonts w:ascii="Arial" w:hAnsi="Arial"/>
                <w:b/>
                <w:bCs/>
                <w:sz w:val="28"/>
                <w:szCs w:val="28"/>
                <w:u w:val="single"/>
                <w:rtl/>
              </w:rPr>
            </w:pPr>
            <w:bookmarkStart w:id="5" w:name="PsakDin" w:colFirst="0" w:colLast="0"/>
            <w:bookmarkEnd w:id="0"/>
            <w:r w:rsidRPr="007E47E3">
              <w:rPr>
                <w:rFonts w:ascii="Arial" w:hAnsi="Arial"/>
                <w:b/>
                <w:bCs/>
                <w:sz w:val="28"/>
                <w:szCs w:val="28"/>
                <w:u w:val="single"/>
                <w:rtl/>
              </w:rPr>
              <w:t>גזר דין</w:t>
            </w:r>
          </w:p>
          <w:p w14:paraId="3DB1185D" w14:textId="77777777" w:rsidR="007C29D2" w:rsidRPr="007E47E3" w:rsidRDefault="007C29D2" w:rsidP="007E47E3">
            <w:pPr>
              <w:jc w:val="center"/>
              <w:rPr>
                <w:rFonts w:ascii="Arial" w:hAnsi="Arial"/>
                <w:bCs/>
                <w:sz w:val="28"/>
                <w:szCs w:val="28"/>
                <w:u w:val="single"/>
                <w:rtl/>
              </w:rPr>
            </w:pPr>
          </w:p>
        </w:tc>
      </w:tr>
      <w:bookmarkEnd w:id="5"/>
    </w:tbl>
    <w:p w14:paraId="03AAB21D" w14:textId="77777777" w:rsidR="007C29D2" w:rsidRPr="00B05847" w:rsidRDefault="007C29D2" w:rsidP="007C29D2">
      <w:pPr>
        <w:rPr>
          <w:rFonts w:ascii="Arial" w:hAnsi="Arial"/>
          <w:rtl/>
        </w:rPr>
      </w:pPr>
    </w:p>
    <w:p w14:paraId="467FAB5F" w14:textId="77777777" w:rsidR="007C29D2" w:rsidRPr="00B05847" w:rsidRDefault="007C29D2" w:rsidP="007C29D2">
      <w:pPr>
        <w:spacing w:line="360" w:lineRule="auto"/>
        <w:rPr>
          <w:rFonts w:ascii="Arial" w:hAnsi="Arial"/>
          <w:rtl/>
        </w:rPr>
      </w:pPr>
    </w:p>
    <w:p w14:paraId="2ADE3521" w14:textId="77777777" w:rsidR="007C29D2" w:rsidRPr="007C29D2" w:rsidRDefault="007C29D2" w:rsidP="007C29D2">
      <w:pPr>
        <w:spacing w:line="360" w:lineRule="auto"/>
        <w:jc w:val="both"/>
        <w:rPr>
          <w:rFonts w:ascii="Calibri" w:hAnsi="Calibri"/>
          <w:sz w:val="6"/>
          <w:szCs w:val="6"/>
          <w:rtl/>
        </w:rPr>
      </w:pPr>
      <w:r w:rsidRPr="007C29D2">
        <w:rPr>
          <w:rFonts w:ascii="Calibri" w:hAnsi="Calibri" w:hint="cs"/>
          <w:sz w:val="6"/>
          <w:szCs w:val="6"/>
          <w:rtl/>
        </w:rPr>
        <w:t>&lt;#2#&gt;</w:t>
      </w:r>
    </w:p>
    <w:p w14:paraId="29A8EFC2" w14:textId="77777777" w:rsidR="007C29D2" w:rsidRDefault="007C29D2" w:rsidP="007C29D2">
      <w:pPr>
        <w:numPr>
          <w:ilvl w:val="0"/>
          <w:numId w:val="1"/>
        </w:numPr>
        <w:spacing w:line="360" w:lineRule="auto"/>
        <w:jc w:val="both"/>
        <w:rPr>
          <w:rtl/>
        </w:rPr>
      </w:pPr>
      <w:bookmarkStart w:id="6" w:name="ABSTRACT_START"/>
      <w:bookmarkEnd w:id="6"/>
      <w:r>
        <w:rPr>
          <w:rFonts w:hint="cs"/>
          <w:rtl/>
        </w:rPr>
        <w:t>ביום 14.4.16 הציגו ב"כ הצדדים הסדר טיעון לפיו הנאשם יחזור מכפירה, יודה בעובדות כתב אישום מתוקן, יורשע ויופנה לקבלת תסקיר שירות מבחן בטרם הטיעונים לעונש. עוד הוסכם בין הצדדים כי התביעה תעתור להטיל על הנאשם 3 חודשי מאסר שניתן יהיה לרצותם בעבודות שירות, בכפוף לחוות דעת של הממונה על עבודות שירות, מאסר על תנאי והתחייבות וב"כ הנאשם יטען לעונש באופן חופשי וכן יהיה רשאי לטעון לביטול הרשעה</w:t>
      </w:r>
      <w:bookmarkStart w:id="7" w:name="ABSTRACT_END"/>
      <w:bookmarkEnd w:id="7"/>
      <w:r>
        <w:rPr>
          <w:rFonts w:hint="cs"/>
          <w:rtl/>
        </w:rPr>
        <w:t>.</w:t>
      </w:r>
    </w:p>
    <w:p w14:paraId="5102A4DD" w14:textId="77777777" w:rsidR="007C29D2" w:rsidRDefault="007C29D2" w:rsidP="007C29D2">
      <w:pPr>
        <w:numPr>
          <w:ilvl w:val="0"/>
          <w:numId w:val="1"/>
        </w:numPr>
        <w:spacing w:line="360" w:lineRule="auto"/>
        <w:jc w:val="both"/>
      </w:pPr>
      <w:r>
        <w:rPr>
          <w:rFonts w:hint="cs"/>
          <w:rtl/>
        </w:rPr>
        <w:t xml:space="preserve">במסגרת הסדר הטיעון , הורשע הנאשם ביום 14.4.16 על יסוד הודאתו בעובדות כתב אישום מתוקן בביצוע עבירה של גידול סם מסוכן, עבירה לפי </w:t>
      </w:r>
      <w:hyperlink r:id="rId13" w:history="1">
        <w:r w:rsidR="00897D2A" w:rsidRPr="00897D2A">
          <w:rPr>
            <w:color w:val="0000FF"/>
            <w:u w:val="single"/>
            <w:rtl/>
          </w:rPr>
          <w:t>סעיף 6</w:t>
        </w:r>
      </w:hyperlink>
      <w:r>
        <w:rPr>
          <w:rFonts w:hint="cs"/>
          <w:rtl/>
        </w:rPr>
        <w:t xml:space="preserve"> ל</w:t>
      </w:r>
      <w:hyperlink r:id="rId14" w:history="1">
        <w:r w:rsidR="007E47E3" w:rsidRPr="007E47E3">
          <w:rPr>
            <w:color w:val="0000FF"/>
            <w:u w:val="single"/>
            <w:rtl/>
          </w:rPr>
          <w:t>פקודת הסמים המסוכנים</w:t>
        </w:r>
      </w:hyperlink>
      <w:r>
        <w:rPr>
          <w:rFonts w:hint="cs"/>
          <w:rtl/>
        </w:rPr>
        <w:t xml:space="preserve"> [נוסח חדש], התשל"ג- 1973 (להלן: "</w:t>
      </w:r>
      <w:r>
        <w:rPr>
          <w:rFonts w:hint="cs"/>
          <w:b/>
          <w:bCs/>
          <w:rtl/>
        </w:rPr>
        <w:t>הפקודה</w:t>
      </w:r>
      <w:r>
        <w:rPr>
          <w:rFonts w:hint="cs"/>
          <w:rtl/>
        </w:rPr>
        <w:t xml:space="preserve">") ובעבירה של החזקת סם מסוכן לצריכה עצמית, עבירה לפי </w:t>
      </w:r>
      <w:hyperlink r:id="rId15" w:history="1">
        <w:r w:rsidR="00897D2A" w:rsidRPr="00897D2A">
          <w:rPr>
            <w:color w:val="0000FF"/>
            <w:u w:val="single"/>
            <w:rtl/>
          </w:rPr>
          <w:t>סעיף 7(א)+(ג)</w:t>
        </w:r>
      </w:hyperlink>
      <w:r>
        <w:rPr>
          <w:rFonts w:hint="cs"/>
          <w:rtl/>
        </w:rPr>
        <w:t xml:space="preserve"> סיפא לפקודה.</w:t>
      </w:r>
    </w:p>
    <w:p w14:paraId="6D7BA5BF" w14:textId="77777777" w:rsidR="007C29D2" w:rsidRDefault="007C29D2" w:rsidP="007C29D2">
      <w:pPr>
        <w:numPr>
          <w:ilvl w:val="0"/>
          <w:numId w:val="1"/>
        </w:numPr>
        <w:spacing w:line="360" w:lineRule="auto"/>
        <w:jc w:val="both"/>
      </w:pPr>
      <w:r>
        <w:rPr>
          <w:rFonts w:hint="cs"/>
          <w:rtl/>
        </w:rPr>
        <w:t>מעובדות כתב האישום המתוקן עולה כי ביום 19.5.11 בשעה 21:50 או בסמוך לכך ובמשך תקופה שקדמה למועד 19.5.11, גידל הנאשם בביתו בת"א (להלן: "</w:t>
      </w:r>
      <w:r>
        <w:rPr>
          <w:rFonts w:hint="cs"/>
          <w:b/>
          <w:bCs/>
          <w:rtl/>
        </w:rPr>
        <w:t>ביתו</w:t>
      </w:r>
      <w:r>
        <w:rPr>
          <w:rFonts w:hint="cs"/>
          <w:rtl/>
        </w:rPr>
        <w:t xml:space="preserve">") סם מסוכן מסוג קנבוס שלא כדין, כשבביתו נתפסו פרחי סם מסוכן מסוג קנבוס במשקל 280 גר' נטו וכן נתפסו 18 שתילים של סם מסוכן מסוג מריחואנה במשקל 54 גרם נטו. עוד עולה מכתב האישום </w:t>
      </w:r>
      <w:r>
        <w:rPr>
          <w:rFonts w:hint="cs"/>
          <w:rtl/>
        </w:rPr>
        <w:lastRenderedPageBreak/>
        <w:t>המתוקן כי ביום 19.5.11 החזיק הנאשם בביתו 0.25 גרם נטו של סם מסוכן מסוג קנבוס לצריכה עצמית ושלא כדין.</w:t>
      </w:r>
    </w:p>
    <w:p w14:paraId="3B928D11" w14:textId="77777777" w:rsidR="007C29D2" w:rsidRDefault="007C29D2" w:rsidP="007C29D2">
      <w:pPr>
        <w:numPr>
          <w:ilvl w:val="0"/>
          <w:numId w:val="1"/>
        </w:numPr>
        <w:spacing w:line="360" w:lineRule="auto"/>
        <w:jc w:val="both"/>
      </w:pPr>
      <w:r>
        <w:rPr>
          <w:rFonts w:hint="cs"/>
          <w:rtl/>
        </w:rPr>
        <w:t xml:space="preserve"> בהתאם להסדר הטיעון הפניתי את הנאשם בטרם הטיעונים לעונש לקבלת תסקיר שירות מבחן. אציין כי הטיעונים לעונש נדחו מספר פעמים , כשבמהלך הדחיות נתקבלו 6 תסקירים, חוות דעת מטעם הפסיכיאטר המחוזי, אשר קבע כי הנאשם כשיר לעמוד לדין וחוות דעת של הממונה על עבודות שירות, אשר קבע כי לאור מצבו הבריאותי של הנאשם הוא אינו כשיר לבצע עבודות שירות. לאחר ששמעתי את הטיעונים לעונש ואת דברי הנאשם הוריתי בטרם מתן גזר הדין,  לשירות מבחן להכין תכנית של"צ לנאשם וזאת מבלי לקבוע עמדה לעניין העונש ולעניין עתירת ההגנה לבטל את הרשעת הנאשם. בנוסף אציין כי בחודש נובמבר 2017 קיבל הנאשם היתר להשתמש בקנבוס רפואי על רקע "פוסט טראומה" ממנה הוא סובל לאחר שצפה בסרט המתעד את האירוע בו נפצע אחיו בצבא במבצע "חומת מגן".</w:t>
      </w:r>
    </w:p>
    <w:p w14:paraId="003AA89C" w14:textId="77777777" w:rsidR="007C29D2" w:rsidRDefault="007C29D2" w:rsidP="007C29D2">
      <w:pPr>
        <w:numPr>
          <w:ilvl w:val="0"/>
          <w:numId w:val="1"/>
        </w:numPr>
        <w:spacing w:line="360" w:lineRule="auto"/>
        <w:jc w:val="both"/>
        <w:rPr>
          <w:rtl/>
        </w:rPr>
      </w:pPr>
      <w:r>
        <w:rPr>
          <w:rFonts w:hint="cs"/>
          <w:rtl/>
        </w:rPr>
        <w:t xml:space="preserve"> מתסקירי שירות מבחן אשר מטעמי צנעת הפרט לא אפרטם, עולה כי לדברי הנאשם סיים 12 שנות לימוד, שירת שירות צבאי חלקי, שוחרר מצה"ל מסיבת אי התאמה ואינו עובד שנים רבות. בפני שירות מבחן התקשה הנאשם לקבל את מלוא האחריות על ביצוע העבירות וציין כי הרקע לביצוען הוא רצונו לסייע לאחיו על רקע פציעתו בשירותו הצבאי, ולשם שימושו העצמי של הנאשם, אשר משתמש בסמים מגיל 17. שירות המבחן התרשם כי הנאשם מצוי בסיכון להתדרדרות על רקע מצבו הנפשי והתמכרותו לסמים. לאור העובדה כי הנאשם התקשה לשתף פעולה עם שירות המבחן וגורמים טיפולים נוספים והתקשה להתמיד בהליך טיפול מעמיק ואינטנסיבי, נמנע שירות המבחן מהמלצה. עוד עולה מתסקירי שירות מבחן כי שירות מבחן אינו ממליץ לבטל את הרשעת הנאשם על מנת לאפשר לנאשם לעבוד בחוה לגידול קנביס רפואי, אשר מוכנה לקבלו לעבודה, בכפוף לביטול ההרשעה. להערכת שירות המבחן, העבודה בחווה לגידול קנבוס רפואי עלולה להגביר אצל הנאשם את השימוש בסם "וכן להעלות את רמת הסיכון הקיימת ממילא". לבקשת בית משפט לאחר שמיעת הטיעונים לעונש שירות מבחן הכין תכנית של"צ לנאשם וזאת מבלי שבית המשפט הביע עמדתו לעניין העונש ולעניין ההרשעה. שירות מבחן גיבש לנאשם תכנית של 250 שעות של"צ בעמותת "אנוש", תוך ששירות מבחן הביע את ספקנותו באשר ליכולת הנאשם לבצעה. </w:t>
      </w:r>
    </w:p>
    <w:p w14:paraId="65631D92" w14:textId="77777777" w:rsidR="007C29D2" w:rsidRDefault="007C29D2" w:rsidP="007C29D2">
      <w:pPr>
        <w:numPr>
          <w:ilvl w:val="0"/>
          <w:numId w:val="1"/>
        </w:numPr>
        <w:spacing w:line="360" w:lineRule="auto"/>
        <w:jc w:val="both"/>
      </w:pPr>
      <w:r>
        <w:rPr>
          <w:rFonts w:hint="cs"/>
          <w:b/>
          <w:bCs/>
          <w:rtl/>
        </w:rPr>
        <w:t>תמצית טיעוני ב"כ הצדדים</w:t>
      </w:r>
      <w:r>
        <w:rPr>
          <w:rFonts w:hint="cs"/>
          <w:rtl/>
        </w:rPr>
        <w:t>:</w:t>
      </w:r>
    </w:p>
    <w:p w14:paraId="26724D06" w14:textId="77777777" w:rsidR="007C29D2" w:rsidRDefault="007C29D2" w:rsidP="007C29D2">
      <w:pPr>
        <w:numPr>
          <w:ilvl w:val="0"/>
          <w:numId w:val="2"/>
        </w:numPr>
        <w:spacing w:line="360" w:lineRule="auto"/>
        <w:contextualSpacing/>
        <w:jc w:val="both"/>
      </w:pPr>
      <w:r>
        <w:rPr>
          <w:rFonts w:hint="cs"/>
          <w:rtl/>
        </w:rPr>
        <w:t>בא כוח המאשימה הגיש פסיקה ועתר בטיעוניו לעונש שלא לבטל את הרשעת הנאשם לאור חומרת העבירה, בה הורשע בין היתר הנאשם שעניינה גידול סם מסוכן. ב"כ המאשימה טען כי הנאשם פגע בערכים מוגנים של מיגור נגע הסמים בצורה ישירה ועקיפה ומתחם העונש ההולם נע בין 4 ל-12 חודשי מאסר. עוד טען כי אין מקום לחרוג ממדיניות הענישה וכי הסדר הטיעון מקל עם הנאשם, ועתר להטיל על הנאשם 3 חודשי מאסר בפועל, מאסר על תנאי והתחייבות.</w:t>
      </w:r>
    </w:p>
    <w:p w14:paraId="0A019F06" w14:textId="77777777" w:rsidR="007C29D2" w:rsidRDefault="007C29D2" w:rsidP="007C29D2">
      <w:pPr>
        <w:numPr>
          <w:ilvl w:val="0"/>
          <w:numId w:val="2"/>
        </w:numPr>
        <w:spacing w:line="360" w:lineRule="auto"/>
        <w:contextualSpacing/>
        <w:jc w:val="both"/>
      </w:pPr>
      <w:r>
        <w:rPr>
          <w:rFonts w:hint="cs"/>
          <w:rtl/>
        </w:rPr>
        <w:t xml:space="preserve">ב"כ הנאשם בטיעוניו לעונש ביום 21/1/18 הגיש אסופת מסמכים מהם עולה כי לנאשם רישיון להשתמש בקנבוס רפואי מחודש 11/17,  מכתב ממר גרי קולין בעלים ושותף בחברה </w:t>
      </w:r>
      <w:r>
        <w:rPr>
          <w:rFonts w:hint="cs"/>
          <w:rtl/>
        </w:rPr>
        <w:lastRenderedPageBreak/>
        <w:t xml:space="preserve">לגידול קנביס רפואי, ממנו עולה כי הנאשם מעוניין לעבוד אצלו בחווה לגידול סם רפואי מסוג קנבוס ובאם הנאשם יורשע לא יוכל על פי החוק להעסיקו. כן הגיש הערכה פסיכולוגית של פסיכולוג המטפל בנאשם ומכתב מפסיכיאטר המטפל בנאשם. בנוסף הגיש פסיקה ועתר שלא להרשיע את הנאשם ולהסתפק בהתחייבות לפי </w:t>
      </w:r>
      <w:hyperlink r:id="rId16" w:history="1">
        <w:r w:rsidR="00897D2A" w:rsidRPr="00897D2A">
          <w:rPr>
            <w:color w:val="0000FF"/>
            <w:u w:val="single"/>
            <w:rtl/>
          </w:rPr>
          <w:t>סעיף 72</w:t>
        </w:r>
      </w:hyperlink>
      <w:r>
        <w:rPr>
          <w:rFonts w:hint="cs"/>
          <w:rtl/>
        </w:rPr>
        <w:t xml:space="preserve"> ל</w:t>
      </w:r>
      <w:hyperlink r:id="rId17" w:history="1">
        <w:r w:rsidR="007E47E3" w:rsidRPr="007E47E3">
          <w:rPr>
            <w:color w:val="0000FF"/>
            <w:u w:val="single"/>
            <w:rtl/>
          </w:rPr>
          <w:t>חוק העונשין</w:t>
        </w:r>
      </w:hyperlink>
      <w:r>
        <w:rPr>
          <w:rFonts w:hint="cs"/>
          <w:rtl/>
        </w:rPr>
        <w:t xml:space="preserve">. </w:t>
      </w:r>
    </w:p>
    <w:p w14:paraId="7B3E535C" w14:textId="77777777" w:rsidR="007C29D2" w:rsidRDefault="007C29D2" w:rsidP="007C29D2">
      <w:pPr>
        <w:spacing w:line="360" w:lineRule="auto"/>
        <w:ind w:left="720"/>
        <w:jc w:val="both"/>
      </w:pPr>
      <w:r>
        <w:rPr>
          <w:rFonts w:hint="cs"/>
          <w:rtl/>
        </w:rPr>
        <w:t xml:space="preserve">ב"כ הנאשם טען כי יש להתחשב בכך שכיום לנאשם יש אישור להשתמש בקנבוס רפואי, ולו היה לנאשם היתר להשתמש בקנבוס במועד בו הוצג הסדר הטיעון, לא היה מגיע עם המאשימה להסדר הטיעון. בנוסף טען כי יש להתחשב בכך שהנאשם לא ביצע עבירות מאז ביצוע העבירות נשוא כתב האישום ובניגוד לאמור בתסקירי שירות המבחן הפנים את חומרת מעשיו והולך לטיפול פסיכיאטרי ופסיכולוגי. עוד טען כי ההרשעה תפגע פגיעה קונקרטית ביכולת הנאשם לעבוד בחווה לגידול קנבוס רפואי וטען כי מדובר בחווה בה יש פיקוח קפדני על העובדים בה ולפיכך הערכת שירות מבחן לעניין עבודת הנאשם בחווה הנ"ל שגוייה. </w:t>
      </w:r>
    </w:p>
    <w:p w14:paraId="2110FABE" w14:textId="77777777" w:rsidR="007C29D2" w:rsidRDefault="007C29D2" w:rsidP="007C29D2">
      <w:pPr>
        <w:spacing w:line="360" w:lineRule="auto"/>
        <w:ind w:left="720"/>
        <w:jc w:val="both"/>
        <w:rPr>
          <w:rtl/>
        </w:rPr>
      </w:pPr>
      <w:r>
        <w:rPr>
          <w:rFonts w:hint="cs"/>
          <w:rtl/>
        </w:rPr>
        <w:t>היום לאחר קבלת תסקיר שירות מבחן מיום 12/3/18 ביקש ב"כ המאשימה להשלים טיעוניו לעונש וטען כי לאור המלצת שירות מבחן כי הנאשם יבצע 250 שעות של"צ, על בית המשפט להשתמש בסמכותו ולא להרשיע את הנאשם על יסוד התסקיר מיום 12/3/18. כן עתר להטיל על הנאשם לכל היותר 50 שעות של"צ לאור תסקיר זה. עוד עתר להתחשב בחלוף הזמן, בהתמשכות ההליכים, בכך שהעבירה בוצעה בשנת 2011, כתב האישום הוגש בשנת 2013 והנאשם הודה בשנת 2016 במסגרת הסדר טיעון בכתב אישום מתוקן.</w:t>
      </w:r>
    </w:p>
    <w:p w14:paraId="23700A7D" w14:textId="77777777" w:rsidR="007C29D2" w:rsidRDefault="007C29D2" w:rsidP="007C29D2">
      <w:pPr>
        <w:numPr>
          <w:ilvl w:val="0"/>
          <w:numId w:val="2"/>
        </w:numPr>
        <w:spacing w:line="360" w:lineRule="auto"/>
        <w:contextualSpacing/>
        <w:jc w:val="both"/>
        <w:rPr>
          <w:rtl/>
        </w:rPr>
      </w:pPr>
      <w:r>
        <w:rPr>
          <w:rFonts w:hint="cs"/>
          <w:rtl/>
        </w:rPr>
        <w:t>הנאשם הביע צער בפני בית משפט על מעשיו, ציין כי חלפו 7 שנים ועתר לבטל את הרשעתו על מנת שיוכל להתקבל לעבודה בחווה לגידול קנבוס רפואי להתחשב בו.</w:t>
      </w:r>
    </w:p>
    <w:p w14:paraId="1C4F317B" w14:textId="77777777" w:rsidR="007C29D2" w:rsidRDefault="007C29D2" w:rsidP="007C29D2">
      <w:pPr>
        <w:spacing w:line="360" w:lineRule="auto"/>
        <w:ind w:left="420"/>
        <w:contextualSpacing/>
        <w:jc w:val="both"/>
      </w:pPr>
    </w:p>
    <w:p w14:paraId="252A0DE2" w14:textId="77777777" w:rsidR="007C29D2" w:rsidRPr="007C29D2" w:rsidRDefault="007C29D2" w:rsidP="007C29D2">
      <w:pPr>
        <w:numPr>
          <w:ilvl w:val="0"/>
          <w:numId w:val="3"/>
        </w:numPr>
        <w:suppressLineNumbers/>
        <w:tabs>
          <w:tab w:val="left" w:pos="368"/>
          <w:tab w:val="left" w:pos="509"/>
        </w:tabs>
        <w:spacing w:line="360" w:lineRule="auto"/>
        <w:contextualSpacing/>
        <w:jc w:val="both"/>
        <w:rPr>
          <w:rFonts w:ascii="Calibri" w:hAnsi="Calibri"/>
        </w:rPr>
      </w:pPr>
      <w:r w:rsidRPr="007C29D2">
        <w:rPr>
          <w:rFonts w:ascii="Calibri" w:hAnsi="Calibri" w:hint="cs"/>
          <w:b/>
          <w:bCs/>
          <w:rtl/>
        </w:rPr>
        <w:t>הכרעה בבקשת ההגנה לבטל את הרשעת הנאשם:</w:t>
      </w:r>
    </w:p>
    <w:p w14:paraId="5963548B" w14:textId="77777777" w:rsidR="007C29D2" w:rsidRPr="007C29D2" w:rsidRDefault="007C29D2" w:rsidP="007C29D2">
      <w:pPr>
        <w:numPr>
          <w:ilvl w:val="0"/>
          <w:numId w:val="4"/>
        </w:numPr>
        <w:suppressLineNumbers/>
        <w:tabs>
          <w:tab w:val="left" w:pos="368"/>
          <w:tab w:val="left" w:pos="509"/>
        </w:tabs>
        <w:spacing w:line="360" w:lineRule="auto"/>
        <w:contextualSpacing/>
        <w:jc w:val="both"/>
        <w:rPr>
          <w:rFonts w:ascii="Calibri" w:hAnsi="Calibri"/>
          <w:sz w:val="22"/>
        </w:rPr>
      </w:pPr>
      <w:r w:rsidRPr="007C29D2">
        <w:rPr>
          <w:rFonts w:ascii="Calibri" w:hAnsi="Calibri" w:hint="cs"/>
          <w:sz w:val="22"/>
          <w:rtl/>
        </w:rPr>
        <w:tab/>
        <w:t xml:space="preserve">בפסיקה נקבע כי הכלל הוא שיש להרשיע נאשם בגיר שנמצא אשם בביצוע עבירה והימנעות מהרשעה כפופה לנסיבות יוצאות דופן, כשעל נאשם העותר לאי הרשעה לשכנע את ביהמ"ש ששיקולי השיקום גוברים במקרה האינדיבידואלי על השיקולים שבאינטרס הציבורי. עוד נקבע בפסיקה כי הימנעות מהרשעה היא חריג שיופעל בנסיבות חריגות ויוצאות דופן בהן אין יחס סביר בין הנזק הצפוי מן ההרשעה בדין לחומרת העבירה ובהתחשב בשיקולי ענישה אחרים. (ראה לעניין זה </w:t>
      </w:r>
      <w:hyperlink r:id="rId18" w:history="1">
        <w:r w:rsidR="007E47E3" w:rsidRPr="007E47E3">
          <w:rPr>
            <w:rFonts w:ascii="Calibri" w:hAnsi="Calibri" w:hint="eastAsia"/>
            <w:color w:val="0000FF"/>
            <w:sz w:val="22"/>
            <w:u w:val="single"/>
            <w:rtl/>
          </w:rPr>
          <w:t>ע</w:t>
        </w:r>
        <w:r w:rsidR="007E47E3" w:rsidRPr="007E47E3">
          <w:rPr>
            <w:rFonts w:ascii="Calibri" w:hAnsi="Calibri"/>
            <w:color w:val="0000FF"/>
            <w:sz w:val="22"/>
            <w:u w:val="single"/>
            <w:rtl/>
          </w:rPr>
          <w:t>"</w:t>
        </w:r>
        <w:r w:rsidR="007E47E3" w:rsidRPr="007E47E3">
          <w:rPr>
            <w:rFonts w:ascii="Calibri" w:hAnsi="Calibri" w:hint="eastAsia"/>
            <w:color w:val="0000FF"/>
            <w:sz w:val="22"/>
            <w:u w:val="single"/>
            <w:rtl/>
          </w:rPr>
          <w:t>פ</w:t>
        </w:r>
        <w:r w:rsidR="007E47E3" w:rsidRPr="007E47E3">
          <w:rPr>
            <w:rFonts w:ascii="Calibri" w:hAnsi="Calibri"/>
            <w:color w:val="0000FF"/>
            <w:sz w:val="22"/>
            <w:u w:val="single"/>
            <w:rtl/>
          </w:rPr>
          <w:t xml:space="preserve"> 2083/96</w:t>
        </w:r>
      </w:hyperlink>
      <w:r w:rsidRPr="007C29D2">
        <w:rPr>
          <w:rFonts w:ascii="Calibri" w:hAnsi="Calibri" w:hint="cs"/>
          <w:sz w:val="22"/>
          <w:rtl/>
        </w:rPr>
        <w:t xml:space="preserve"> </w:t>
      </w:r>
      <w:r w:rsidRPr="007C29D2">
        <w:rPr>
          <w:rFonts w:ascii="Calibri" w:hAnsi="Calibri" w:hint="cs"/>
          <w:b/>
          <w:bCs/>
          <w:sz w:val="22"/>
          <w:rtl/>
        </w:rPr>
        <w:t xml:space="preserve">תמר כתב נ' מדינת ישראל </w:t>
      </w:r>
      <w:r w:rsidRPr="007C29D2">
        <w:rPr>
          <w:rFonts w:ascii="Calibri" w:hAnsi="Calibri" w:hint="cs"/>
          <w:sz w:val="22"/>
          <w:rtl/>
        </w:rPr>
        <w:t xml:space="preserve">(21.8.97) </w:t>
      </w:r>
      <w:hyperlink r:id="rId19" w:history="1">
        <w:r w:rsidR="007E47E3" w:rsidRPr="007E47E3">
          <w:rPr>
            <w:rFonts w:ascii="Calibri" w:hAnsi="Calibri" w:hint="eastAsia"/>
            <w:color w:val="0000FF"/>
            <w:sz w:val="22"/>
            <w:u w:val="single"/>
            <w:rtl/>
          </w:rPr>
          <w:t>ע</w:t>
        </w:r>
        <w:r w:rsidR="007E47E3" w:rsidRPr="007E47E3">
          <w:rPr>
            <w:rFonts w:ascii="Calibri" w:hAnsi="Calibri"/>
            <w:color w:val="0000FF"/>
            <w:sz w:val="22"/>
            <w:u w:val="single"/>
            <w:rtl/>
          </w:rPr>
          <w:t>"</w:t>
        </w:r>
        <w:r w:rsidR="007E47E3" w:rsidRPr="007E47E3">
          <w:rPr>
            <w:rFonts w:ascii="Calibri" w:hAnsi="Calibri" w:hint="eastAsia"/>
            <w:color w:val="0000FF"/>
            <w:sz w:val="22"/>
            <w:u w:val="single"/>
            <w:rtl/>
          </w:rPr>
          <w:t>פ</w:t>
        </w:r>
        <w:r w:rsidR="007E47E3" w:rsidRPr="007E47E3">
          <w:rPr>
            <w:rFonts w:ascii="Calibri" w:hAnsi="Calibri"/>
            <w:color w:val="0000FF"/>
            <w:sz w:val="22"/>
            <w:u w:val="single"/>
            <w:rtl/>
          </w:rPr>
          <w:t xml:space="preserve"> 9893/06</w:t>
        </w:r>
      </w:hyperlink>
      <w:r w:rsidRPr="007C29D2">
        <w:rPr>
          <w:rFonts w:ascii="Calibri" w:hAnsi="Calibri" w:hint="cs"/>
          <w:b/>
          <w:bCs/>
          <w:sz w:val="22"/>
          <w:rtl/>
        </w:rPr>
        <w:t xml:space="preserve"> לאופר נ' מדינת ישראל</w:t>
      </w:r>
      <w:r w:rsidRPr="007C29D2">
        <w:rPr>
          <w:rFonts w:ascii="Calibri" w:hAnsi="Calibri" w:hint="cs"/>
          <w:sz w:val="22"/>
          <w:rtl/>
        </w:rPr>
        <w:t xml:space="preserve"> (31.12.07) </w:t>
      </w:r>
    </w:p>
    <w:p w14:paraId="52AF303C" w14:textId="77777777" w:rsidR="007C29D2" w:rsidRDefault="007C29D2" w:rsidP="007C29D2">
      <w:pPr>
        <w:numPr>
          <w:ilvl w:val="0"/>
          <w:numId w:val="4"/>
        </w:numPr>
        <w:suppressLineNumbers/>
        <w:tabs>
          <w:tab w:val="left" w:pos="368"/>
          <w:tab w:val="left" w:pos="509"/>
        </w:tabs>
        <w:spacing w:line="360" w:lineRule="auto"/>
        <w:contextualSpacing/>
        <w:jc w:val="both"/>
        <w:rPr>
          <w:rFonts w:ascii="David" w:hAnsi="David"/>
        </w:rPr>
      </w:pPr>
      <w:r w:rsidRPr="007C29D2">
        <w:rPr>
          <w:rFonts w:ascii="Calibri" w:hAnsi="Calibri" w:hint="cs"/>
          <w:sz w:val="22"/>
          <w:rtl/>
        </w:rPr>
        <w:t xml:space="preserve"> </w:t>
      </w:r>
      <w:r w:rsidRPr="007C29D2">
        <w:rPr>
          <w:rFonts w:ascii="Calibri" w:hAnsi="Calibri" w:hint="cs"/>
          <w:sz w:val="22"/>
          <w:rtl/>
        </w:rPr>
        <w:tab/>
        <w:t xml:space="preserve">לאחר ששקלתי את בקשות ב"כ הנאשם והנאשם לביטול ההרשעה, לא שוכנעתי כי מתקיימות בתיק זה נסיבות מיוחדות חריגות ויוצאות דופן המצדיקות סטייה מן הכלל לפיו יש להרשיע נאשם בגיר אשר נמצא אשם בביצוע עבירה. הנאשם הורשע בין היתר בביצוע עבירה מסוג פשע שעניינה גידול סם מסוכן. ההגנה עתרה לבטל את הרשעת הנאשם על מנת שהנאשם יוכל לעבוד בחווה לגידול קנבוס רפואי. מתסקירי שירות המבחן עולה כי הנאשם אינו עובד שנים רבות, שירות מבחן המליץ </w:t>
      </w:r>
      <w:r>
        <w:rPr>
          <w:rFonts w:hint="cs"/>
          <w:rtl/>
        </w:rPr>
        <w:t>שלא לבטל את הרשעת הנאשם על מנת לאפשר לנאשם לעבוד בחווה לגידול קנבוס רפואי, שכן להערכת שירות המבחן העבודה בחווה לגידול קנביס רפואי עלולה להעלות את רמת הסיכון הקיימת אצל הנאשם וכן עלולה להגביר אצל הנאשם את השימוש בסם. לטעמי אין מקום לחרוג מהכלל כי יש להרשיע נאשם בגיר שנמצא אשם בביצוע עבירות, בפרט כשהנאשם הורשע בין היתר בביצוע עבירה חמורה מסוג פשע שעניינה גידול סם מסוכן וכשלנגד עיני תסקיר שירות מבחן ממנו עולה כי ביטול הרשעת הנאשם עלולה לסכן הן את הנאשם והן את הציבור.</w:t>
      </w:r>
    </w:p>
    <w:p w14:paraId="25DA6289" w14:textId="77777777" w:rsidR="007C29D2" w:rsidRDefault="007C29D2" w:rsidP="007C29D2">
      <w:pPr>
        <w:suppressLineNumbers/>
        <w:tabs>
          <w:tab w:val="left" w:pos="368"/>
          <w:tab w:val="left" w:pos="509"/>
        </w:tabs>
        <w:spacing w:line="360" w:lineRule="auto"/>
        <w:ind w:left="662"/>
        <w:contextualSpacing/>
        <w:jc w:val="both"/>
      </w:pPr>
    </w:p>
    <w:p w14:paraId="4602FB75" w14:textId="77777777" w:rsidR="007C29D2" w:rsidRDefault="007C29D2" w:rsidP="007C29D2">
      <w:pPr>
        <w:suppressLineNumbers/>
        <w:tabs>
          <w:tab w:val="left" w:pos="368"/>
          <w:tab w:val="left" w:pos="509"/>
        </w:tabs>
        <w:spacing w:line="360" w:lineRule="auto"/>
        <w:ind w:left="662"/>
        <w:contextualSpacing/>
        <w:jc w:val="both"/>
        <w:rPr>
          <w:rtl/>
        </w:rPr>
      </w:pPr>
    </w:p>
    <w:p w14:paraId="7B75A199" w14:textId="77777777" w:rsidR="007C29D2" w:rsidRDefault="007C29D2" w:rsidP="007C29D2">
      <w:pPr>
        <w:suppressLineNumbers/>
        <w:tabs>
          <w:tab w:val="left" w:pos="368"/>
          <w:tab w:val="left" w:pos="509"/>
        </w:tabs>
        <w:spacing w:line="360" w:lineRule="auto"/>
        <w:ind w:left="662"/>
        <w:contextualSpacing/>
        <w:jc w:val="both"/>
        <w:rPr>
          <w:rFonts w:ascii="David" w:hAnsi="David"/>
          <w:rtl/>
        </w:rPr>
      </w:pPr>
      <w:r>
        <w:rPr>
          <w:rFonts w:hint="cs"/>
          <w:rtl/>
        </w:rPr>
        <w:t>יובהר כי מעיון בתסקיר מיום 12/3/18 עולה כי שירות המבחן הכין תכנית של"צ לנאשם ולא התייחס כלל לשאלת ביטול ההרשעה. לפיכך אני דוחה את טענת ב"כ הנאשם מהיום כי בתסקיר מיום 12/3/18 המליץ שירות המבחן לבטל את הרשעת הנאשם.</w:t>
      </w:r>
    </w:p>
    <w:p w14:paraId="6AC57293" w14:textId="77777777" w:rsidR="007C29D2" w:rsidRDefault="007C29D2" w:rsidP="007C29D2">
      <w:pPr>
        <w:numPr>
          <w:ilvl w:val="0"/>
          <w:numId w:val="5"/>
        </w:numPr>
        <w:spacing w:line="360" w:lineRule="auto"/>
        <w:ind w:left="368"/>
        <w:contextualSpacing/>
        <w:jc w:val="both"/>
      </w:pPr>
      <w:r>
        <w:rPr>
          <w:rFonts w:hint="cs"/>
          <w:rtl/>
        </w:rPr>
        <w:t>הנאשם הורשע בביצוע עבירות של גידול סם מסוכן והחזקת סם מסוכן לצריכה עצמית שלא כדין, כמפורט בהכרעת הדין. הערך החברתי המוגן אשר נפגע כתוצאה מביצוע העבירות על ידי הנאשם הינו פגיעה בחברה מפני נזקים ארוכי טווח שעלולים להיגרם כתוצאה משימוש בסמים. בפסיקה נקבע כי על מתחם העונש ההולם לשקף בין היתר את הצורך להביא להדברת נגע הסמים וליתן ביטוי, בין היתר, לנתונים נוספים שעניינם: סוג הסם המסוכן, כמות הסם המסוכן שהוחזקה וגודלה שלא כדין</w:t>
      </w:r>
      <w:r>
        <w:rPr>
          <w:rFonts w:hint="cs"/>
          <w:b/>
          <w:rtl/>
        </w:rPr>
        <w:t xml:space="preserve"> ולאור פוטנציאל הנזק שעלול היה להיגרם באם השתילים שנתפסו היו נתפסים במועד מאוחר יותר (ראה לעניין זה </w:t>
      </w:r>
      <w:hyperlink r:id="rId20" w:history="1">
        <w:r w:rsidR="007E47E3" w:rsidRPr="007E47E3">
          <w:rPr>
            <w:b/>
            <w:color w:val="0000FF"/>
            <w:u w:val="single"/>
            <w:rtl/>
          </w:rPr>
          <w:t>רע"פ 4512/15</w:t>
        </w:r>
      </w:hyperlink>
      <w:r>
        <w:rPr>
          <w:rFonts w:hint="cs"/>
          <w:b/>
          <w:rtl/>
        </w:rPr>
        <w:t xml:space="preserve"> </w:t>
      </w:r>
      <w:r>
        <w:rPr>
          <w:rFonts w:hint="cs"/>
          <w:b/>
          <w:bCs/>
          <w:rtl/>
        </w:rPr>
        <w:t>הרוש נ' מדינת ישראל</w:t>
      </w:r>
      <w:r>
        <w:rPr>
          <w:rFonts w:hint="cs"/>
          <w:rtl/>
        </w:rPr>
        <w:t xml:space="preserve">(6.7.15)). </w:t>
      </w:r>
    </w:p>
    <w:p w14:paraId="33C96551" w14:textId="77777777" w:rsidR="007C29D2" w:rsidRDefault="007C29D2" w:rsidP="007C29D2">
      <w:pPr>
        <w:numPr>
          <w:ilvl w:val="0"/>
          <w:numId w:val="5"/>
        </w:numPr>
        <w:spacing w:line="360" w:lineRule="auto"/>
        <w:contextualSpacing/>
        <w:jc w:val="both"/>
      </w:pPr>
      <w:r>
        <w:rPr>
          <w:rFonts w:hint="cs"/>
          <w:b/>
          <w:bCs/>
          <w:rtl/>
        </w:rPr>
        <w:t>מדיניות הענישה הנוהגת</w:t>
      </w:r>
      <w:r>
        <w:rPr>
          <w:rFonts w:hint="cs"/>
          <w:rtl/>
        </w:rPr>
        <w:t>:</w:t>
      </w:r>
    </w:p>
    <w:p w14:paraId="5040AE44" w14:textId="77777777" w:rsidR="007C29D2" w:rsidRDefault="007C29D2" w:rsidP="007C29D2">
      <w:pPr>
        <w:spacing w:line="360" w:lineRule="auto"/>
        <w:ind w:left="720"/>
        <w:jc w:val="both"/>
        <w:rPr>
          <w:rtl/>
        </w:rPr>
      </w:pPr>
      <w:r>
        <w:rPr>
          <w:rFonts w:hint="cs"/>
          <w:rtl/>
        </w:rPr>
        <w:t>ב</w:t>
      </w:r>
      <w:hyperlink r:id="rId21" w:history="1">
        <w:r w:rsidR="007E47E3" w:rsidRPr="007E47E3">
          <w:rPr>
            <w:color w:val="0000FF"/>
            <w:u w:val="single"/>
            <w:rtl/>
          </w:rPr>
          <w:t>רע"פ 6987/13</w:t>
        </w:r>
      </w:hyperlink>
      <w:r>
        <w:rPr>
          <w:rFonts w:hint="cs"/>
          <w:rtl/>
        </w:rPr>
        <w:t xml:space="preserve"> </w:t>
      </w:r>
      <w:r>
        <w:rPr>
          <w:rFonts w:hint="cs"/>
          <w:b/>
          <w:bCs/>
          <w:rtl/>
        </w:rPr>
        <w:t>אברמוב נ' מד"י</w:t>
      </w:r>
      <w:r>
        <w:rPr>
          <w:rFonts w:hint="cs"/>
          <w:rtl/>
        </w:rPr>
        <w:t xml:space="preserve"> (21.10.13): נדחתה בקשת רשות ערעור של נאשם שהורשע על-פי הודאתו בגידול סם מסוכן, החזקת סם שלא לצריכה עצמית, החזקת כלים ונהיגה בזמן פסילה. בדירתו של הנאשם נמצאה מעבדה ובה שתילי קנבוס במשקל </w:t>
      </w:r>
      <w:smartTag w:uri="urn:schemas-microsoft-com:office:smarttags" w:element="metricconverter">
        <w:smartTagPr>
          <w:attr w:name="ProductID" w:val="10 ק&quot;ג"/>
        </w:smartTagPr>
        <w:r>
          <w:rPr>
            <w:rFonts w:hint="cs"/>
            <w:rtl/>
          </w:rPr>
          <w:t>10 ק"ג</w:t>
        </w:r>
      </w:smartTag>
      <w:r>
        <w:rPr>
          <w:rFonts w:hint="cs"/>
          <w:rtl/>
        </w:rPr>
        <w:t xml:space="preserve"> נטו. אושר מתחם העונש שקבע בית משפט השלום בין 6 חודשי מאסר בעבודות שירות ל-24 חודשי מאסר בפועל, ואושר גזר הדין של בית משפט קמא 12 חודשי מאסר בפועל וענישה נלווית.</w:t>
      </w:r>
    </w:p>
    <w:p w14:paraId="5C6A3860" w14:textId="77777777" w:rsidR="007C29D2" w:rsidRDefault="007C29D2" w:rsidP="007C29D2">
      <w:pPr>
        <w:spacing w:line="360" w:lineRule="auto"/>
        <w:ind w:left="360"/>
        <w:jc w:val="both"/>
        <w:rPr>
          <w:rFonts w:ascii="David" w:hAnsi="David"/>
          <w:highlight w:val="yellow"/>
          <w:rtl/>
        </w:rPr>
      </w:pPr>
    </w:p>
    <w:p w14:paraId="72019443" w14:textId="77777777" w:rsidR="007C29D2" w:rsidRDefault="007C29D2" w:rsidP="007C29D2">
      <w:pPr>
        <w:spacing w:line="360" w:lineRule="auto"/>
        <w:ind w:left="720"/>
        <w:jc w:val="both"/>
      </w:pPr>
      <w:r>
        <w:rPr>
          <w:rFonts w:hint="cs"/>
          <w:rtl/>
        </w:rPr>
        <w:t>ב</w:t>
      </w:r>
      <w:hyperlink r:id="rId22" w:history="1">
        <w:r w:rsidR="007E47E3" w:rsidRPr="007E47E3">
          <w:rPr>
            <w:color w:val="0000FF"/>
            <w:u w:val="single"/>
            <w:rtl/>
          </w:rPr>
          <w:t>עפ"ג 52810-07-10</w:t>
        </w:r>
      </w:hyperlink>
      <w:r>
        <w:rPr>
          <w:rFonts w:hint="cs"/>
          <w:rtl/>
        </w:rPr>
        <w:t xml:space="preserve"> (מחוזי מרכז) </w:t>
      </w:r>
      <w:r>
        <w:rPr>
          <w:rFonts w:hint="cs"/>
          <w:b/>
          <w:bCs/>
          <w:rtl/>
        </w:rPr>
        <w:t>עזריה נ' מדינת ישראל</w:t>
      </w:r>
      <w:r>
        <w:rPr>
          <w:rFonts w:hint="cs"/>
          <w:rtl/>
        </w:rPr>
        <w:t xml:space="preserve"> (21.12.10): בית משפט השלום הרשיע את הנאשם בגידול סם מסוכן, החזקת סם שלא לצריכה עצמית והחזקת כלים. הנאשם גידל בביתו שתילי קנבוס במשקל </w:t>
      </w:r>
      <w:smartTag w:uri="urn:schemas-microsoft-com:office:smarttags" w:element="metricconverter">
        <w:smartTagPr>
          <w:attr w:name="ProductID" w:val="1.180 ק&quot;ג"/>
        </w:smartTagPr>
        <w:r>
          <w:rPr>
            <w:rFonts w:hint="cs"/>
            <w:rtl/>
          </w:rPr>
          <w:t>1.180 ק"ג</w:t>
        </w:r>
      </w:smartTag>
      <w:r>
        <w:rPr>
          <w:rFonts w:hint="cs"/>
          <w:rtl/>
        </w:rPr>
        <w:t xml:space="preserve"> נטו. בביתו נמצאו חשיש במשקל </w:t>
      </w:r>
      <w:smartTag w:uri="urn:schemas-microsoft-com:office:smarttags" w:element="metricconverter">
        <w:smartTagPr>
          <w:attr w:name="ProductID" w:val="227.29 גרם"/>
        </w:smartTagPr>
        <w:r>
          <w:rPr>
            <w:rFonts w:hint="cs"/>
            <w:rtl/>
          </w:rPr>
          <w:t>227.29 גרם</w:t>
        </w:r>
      </w:smartTag>
      <w:r>
        <w:rPr>
          <w:rFonts w:hint="cs"/>
          <w:rtl/>
        </w:rPr>
        <w:t xml:space="preserve"> נטו וחגיגת במשקל </w:t>
      </w:r>
      <w:smartTag w:uri="urn:schemas-microsoft-com:office:smarttags" w:element="metricconverter">
        <w:smartTagPr>
          <w:attr w:name="ProductID" w:val="94.66 גרם"/>
        </w:smartTagPr>
        <w:r>
          <w:rPr>
            <w:rFonts w:hint="cs"/>
            <w:rtl/>
          </w:rPr>
          <w:t>94.66 גרם</w:t>
        </w:r>
      </w:smartTag>
      <w:r>
        <w:rPr>
          <w:rFonts w:hint="cs"/>
          <w:rtl/>
        </w:rPr>
        <w:t>. בית משפט השלום השית על הנאשם 9 חודשי מאסר בפועל, מאסר על תנאי וקנס. לאור קיומם של שיקולי שיקום ותהליך הגמילה שעבר הנאשם, בית המשפט המחוזי קיבל חלקית את ערעורו והמיר את רכיב המאסר ב-6 חודשי מאסר בעבודות שירות.</w:t>
      </w:r>
    </w:p>
    <w:p w14:paraId="41A1C2EE" w14:textId="77777777" w:rsidR="007C29D2" w:rsidRDefault="007C29D2" w:rsidP="007C29D2">
      <w:pPr>
        <w:spacing w:line="360" w:lineRule="auto"/>
        <w:ind w:left="720"/>
        <w:jc w:val="both"/>
        <w:rPr>
          <w:rtl/>
        </w:rPr>
      </w:pPr>
    </w:p>
    <w:p w14:paraId="75BFF036" w14:textId="77777777" w:rsidR="007C29D2" w:rsidRDefault="007C29D2" w:rsidP="007C29D2">
      <w:pPr>
        <w:spacing w:line="360" w:lineRule="auto"/>
        <w:ind w:left="720"/>
        <w:jc w:val="both"/>
        <w:rPr>
          <w:rtl/>
        </w:rPr>
      </w:pPr>
      <w:r>
        <w:rPr>
          <w:rFonts w:hint="cs"/>
          <w:rtl/>
        </w:rPr>
        <w:t>ב</w:t>
      </w:r>
      <w:hyperlink r:id="rId23" w:history="1">
        <w:r w:rsidR="007E47E3" w:rsidRPr="007E47E3">
          <w:rPr>
            <w:color w:val="0000FF"/>
            <w:u w:val="single"/>
            <w:rtl/>
          </w:rPr>
          <w:t>עפ"ג 41900-11-16</w:t>
        </w:r>
      </w:hyperlink>
      <w:r>
        <w:rPr>
          <w:rFonts w:hint="cs"/>
          <w:rtl/>
        </w:rPr>
        <w:t xml:space="preserve"> (מחוזי מרכז) </w:t>
      </w:r>
      <w:r>
        <w:rPr>
          <w:rFonts w:hint="cs"/>
          <w:b/>
          <w:bCs/>
          <w:rtl/>
        </w:rPr>
        <w:t>מדינת ישראל נ' דרור</w:t>
      </w:r>
      <w:r>
        <w:rPr>
          <w:rFonts w:hint="cs"/>
          <w:rtl/>
        </w:rPr>
        <w:t xml:space="preserve"> (12.2.17): המשיב אשר הורשע בגידול 17 קילו קנביס ונידון בבית משפט השלום לשל"צ, מאסר על תנאי ולקנס. ערכאת הערעור התחשבה  בכך שהמשיב קיבל אישור להשתמש בקנביס מסיבות רפואיות וגזרה על הנאשם חודש מאסר ועבודות שירות.</w:t>
      </w:r>
    </w:p>
    <w:p w14:paraId="5F6F39F5" w14:textId="77777777" w:rsidR="007C29D2" w:rsidRDefault="007C29D2" w:rsidP="007C29D2">
      <w:pPr>
        <w:spacing w:line="360" w:lineRule="auto"/>
        <w:jc w:val="both"/>
        <w:rPr>
          <w:highlight w:val="yellow"/>
          <w:rtl/>
        </w:rPr>
      </w:pPr>
    </w:p>
    <w:p w14:paraId="490F4D09" w14:textId="77777777" w:rsidR="007C29D2" w:rsidRDefault="007C29D2" w:rsidP="007C29D2">
      <w:pPr>
        <w:spacing w:line="360" w:lineRule="auto"/>
        <w:ind w:left="849"/>
        <w:jc w:val="both"/>
        <w:rPr>
          <w:rtl/>
        </w:rPr>
      </w:pPr>
      <w:r>
        <w:rPr>
          <w:rFonts w:hint="cs"/>
          <w:rtl/>
        </w:rPr>
        <w:t>ב</w:t>
      </w:r>
      <w:hyperlink r:id="rId24" w:history="1">
        <w:r w:rsidR="007E47E3" w:rsidRPr="007E47E3">
          <w:rPr>
            <w:color w:val="0000FF"/>
            <w:u w:val="single"/>
            <w:rtl/>
          </w:rPr>
          <w:t>ת"פ  51025-04-15</w:t>
        </w:r>
      </w:hyperlink>
      <w:r>
        <w:rPr>
          <w:rFonts w:hint="cs"/>
          <w:rtl/>
        </w:rPr>
        <w:t xml:space="preserve"> </w:t>
      </w:r>
      <w:r>
        <w:rPr>
          <w:rFonts w:hint="cs"/>
          <w:b/>
          <w:bCs/>
          <w:rtl/>
        </w:rPr>
        <w:t>(</w:t>
      </w:r>
      <w:r>
        <w:rPr>
          <w:rFonts w:hint="cs"/>
          <w:rtl/>
        </w:rPr>
        <w:t>שלום רחובות)</w:t>
      </w:r>
      <w:r>
        <w:rPr>
          <w:rFonts w:hint="cs"/>
          <w:b/>
          <w:bCs/>
          <w:rtl/>
        </w:rPr>
        <w:t xml:space="preserve"> מדינת ישראל נ' מימון</w:t>
      </w:r>
      <w:r>
        <w:rPr>
          <w:rFonts w:hint="cs"/>
          <w:rtl/>
        </w:rPr>
        <w:t xml:space="preserve"> (3.3.17): הוטלו על נאשם שגידל 3 שתילי קנבוס והחזיק סם לשימוש עצמי מאסר על תנאי ועונשים נלווים.</w:t>
      </w:r>
    </w:p>
    <w:p w14:paraId="6B0B34B9" w14:textId="77777777" w:rsidR="007C29D2" w:rsidRDefault="007C29D2" w:rsidP="007C29D2">
      <w:pPr>
        <w:spacing w:line="360" w:lineRule="auto"/>
        <w:ind w:left="849"/>
        <w:jc w:val="both"/>
        <w:rPr>
          <w:rFonts w:ascii="David" w:hAnsi="David"/>
          <w:rtl/>
        </w:rPr>
      </w:pPr>
    </w:p>
    <w:p w14:paraId="27F290F9" w14:textId="77777777" w:rsidR="007C29D2" w:rsidRDefault="007C29D2" w:rsidP="007C29D2">
      <w:pPr>
        <w:spacing w:line="360" w:lineRule="auto"/>
        <w:ind w:left="849"/>
        <w:jc w:val="both"/>
        <w:rPr>
          <w:rtl/>
        </w:rPr>
      </w:pPr>
      <w:r>
        <w:rPr>
          <w:rFonts w:hint="cs"/>
          <w:rtl/>
        </w:rPr>
        <w:t>ב</w:t>
      </w:r>
      <w:hyperlink r:id="rId25" w:history="1">
        <w:r w:rsidR="007E47E3" w:rsidRPr="007E47E3">
          <w:rPr>
            <w:color w:val="0000FF"/>
            <w:u w:val="single"/>
            <w:rtl/>
          </w:rPr>
          <w:t>ת"פ 17508-04-16</w:t>
        </w:r>
      </w:hyperlink>
      <w:r>
        <w:rPr>
          <w:rFonts w:hint="cs"/>
          <w:rtl/>
        </w:rPr>
        <w:t xml:space="preserve"> (שלום ירושלים)</w:t>
      </w:r>
      <w:r>
        <w:rPr>
          <w:rFonts w:hint="cs"/>
          <w:b/>
          <w:bCs/>
          <w:rtl/>
        </w:rPr>
        <w:t xml:space="preserve"> מדינת ישראל נ' חלבי</w:t>
      </w:r>
      <w:r>
        <w:rPr>
          <w:rFonts w:hint="cs"/>
          <w:rtl/>
        </w:rPr>
        <w:t xml:space="preserve"> (24.5.17) הורשע הנאשם בהפרעה לשוטר, גידול סם מסוכן והחזקה של סם מסוכן לצריכה עצמית שעניינו גידול שני עציצים של סם מסוכן מסוג קנבוס, האחד במשקל 21.17 גרם נטו והשני במשקל 183.09 גרם נטו, והחזקת שני פרחי קנבוס במשקל 1.41 גרם נטו. על הנאשם הוטלו מאסר על תנאי למשך 5 חודשים, 250 שעות של"צ, צו מבחן וקנס.</w:t>
      </w:r>
    </w:p>
    <w:p w14:paraId="1FB06C5D" w14:textId="77777777" w:rsidR="007C29D2" w:rsidRDefault="007C29D2" w:rsidP="007C29D2">
      <w:pPr>
        <w:spacing w:line="360" w:lineRule="auto"/>
        <w:ind w:left="849"/>
        <w:jc w:val="both"/>
        <w:rPr>
          <w:rFonts w:ascii="Calibri" w:hAnsi="Calibri"/>
          <w:rtl/>
        </w:rPr>
      </w:pPr>
    </w:p>
    <w:p w14:paraId="4E39DF56" w14:textId="77777777" w:rsidR="007C29D2" w:rsidRDefault="007C29D2" w:rsidP="007C29D2">
      <w:pPr>
        <w:spacing w:line="360" w:lineRule="auto"/>
        <w:ind w:left="849"/>
        <w:jc w:val="both"/>
        <w:rPr>
          <w:rFonts w:ascii="Calibri" w:hAnsi="Calibri"/>
          <w:rtl/>
        </w:rPr>
      </w:pPr>
      <w:r>
        <w:rPr>
          <w:rFonts w:hint="cs"/>
          <w:rtl/>
        </w:rPr>
        <w:t>ב</w:t>
      </w:r>
      <w:hyperlink r:id="rId26" w:history="1">
        <w:r w:rsidR="007E47E3" w:rsidRPr="007E47E3">
          <w:rPr>
            <w:color w:val="0000FF"/>
            <w:u w:val="single"/>
            <w:rtl/>
          </w:rPr>
          <w:t>ת"פ 8483-03-16</w:t>
        </w:r>
      </w:hyperlink>
      <w:r>
        <w:rPr>
          <w:rFonts w:hint="cs"/>
          <w:rtl/>
        </w:rPr>
        <w:t xml:space="preserve"> (שלום ירושלים) </w:t>
      </w:r>
      <w:r>
        <w:rPr>
          <w:rFonts w:hint="cs"/>
          <w:b/>
          <w:bCs/>
          <w:rtl/>
        </w:rPr>
        <w:t>מדינת ישראל נ' אפרתי</w:t>
      </w:r>
      <w:r>
        <w:rPr>
          <w:rFonts w:ascii="Calibri" w:hAnsi="Calibri" w:hint="cs"/>
          <w:rtl/>
        </w:rPr>
        <w:t xml:space="preserve"> (1.1.16): הורשע הנאשם בעבירה של גידול, סם מסוכן ובעבירה של החזקה ושימוש בסמים לצריכה עצמית בשל גידול שישה עציצים של קנבוס במשקל 1451.84 גרם נטו והחזקת קנבוס במשקל 52.83 גרם נטו. על הנאשם הוטלו 280 שעות של"צ, מאסר על תנאי, פסילת רישיון נהיגה וקנס. </w:t>
      </w:r>
    </w:p>
    <w:p w14:paraId="1D39BEE3" w14:textId="77777777" w:rsidR="007C29D2" w:rsidRDefault="007C29D2" w:rsidP="007C29D2">
      <w:pPr>
        <w:spacing w:line="360" w:lineRule="auto"/>
        <w:jc w:val="both"/>
        <w:rPr>
          <w:rtl/>
        </w:rPr>
      </w:pPr>
    </w:p>
    <w:p w14:paraId="4B5CB95F" w14:textId="77777777" w:rsidR="007C29D2" w:rsidRDefault="007C29D2" w:rsidP="007C29D2">
      <w:pPr>
        <w:numPr>
          <w:ilvl w:val="0"/>
          <w:numId w:val="5"/>
        </w:numPr>
        <w:spacing w:line="360" w:lineRule="auto"/>
        <w:contextualSpacing/>
        <w:jc w:val="both"/>
        <w:rPr>
          <w:rtl/>
        </w:rPr>
      </w:pPr>
      <w:r>
        <w:rPr>
          <w:rFonts w:hint="cs"/>
          <w:rtl/>
        </w:rPr>
        <w:t>לטעמי מתחם העונש ההולם בהתחשב בפגיעה בערכים המוגנים, במדיניות הענישה ובנסיבות ביצוע העבירות הינו בין מאסר על תנאי ושל"צ ל-8 חודשי מאסר.</w:t>
      </w:r>
    </w:p>
    <w:p w14:paraId="3F40401D" w14:textId="77777777" w:rsidR="007C29D2" w:rsidRDefault="007C29D2" w:rsidP="007C29D2">
      <w:pPr>
        <w:numPr>
          <w:ilvl w:val="0"/>
          <w:numId w:val="5"/>
        </w:numPr>
        <w:spacing w:line="360" w:lineRule="auto"/>
        <w:contextualSpacing/>
        <w:jc w:val="both"/>
      </w:pPr>
      <w:r>
        <w:rPr>
          <w:rFonts w:hint="cs"/>
          <w:rtl/>
        </w:rPr>
        <w:t xml:space="preserve">בבואי לגזור את עונשו של הנאשם שבפניי, עמדו לנגד עיניי בנוסף למתחם העונש ההולם, טיעוני ב"כ הצדדים ודברי הנאשם, הודאת הנאשם, הנעדר עבר פלילי, החיסכון בזמן שיפוטי, חלוף הזמן והעובדה כי לא נפתחו לנאשם תיקים חדשים. עוד עמדו לנגד עיני תסקירי שירות המבחן והמסמכים שהגישה ההגנה. </w:t>
      </w:r>
    </w:p>
    <w:p w14:paraId="1EE860C5" w14:textId="77777777" w:rsidR="007C29D2" w:rsidRDefault="007C29D2" w:rsidP="007C29D2">
      <w:pPr>
        <w:numPr>
          <w:ilvl w:val="0"/>
          <w:numId w:val="5"/>
        </w:numPr>
        <w:spacing w:line="360" w:lineRule="auto"/>
        <w:contextualSpacing/>
        <w:jc w:val="both"/>
        <w:rPr>
          <w:rFonts w:ascii="David" w:hAnsi="David"/>
          <w:rtl/>
        </w:rPr>
      </w:pPr>
      <w:r>
        <w:rPr>
          <w:rFonts w:hint="cs"/>
          <w:rtl/>
        </w:rPr>
        <w:t>לאחר ששקלתי את מכלול השיקולים וכשלנגד עיני תיקון 113 ל</w:t>
      </w:r>
      <w:hyperlink r:id="rId27" w:history="1">
        <w:r w:rsidR="007E47E3" w:rsidRPr="007E47E3">
          <w:rPr>
            <w:color w:val="0000FF"/>
            <w:u w:val="single"/>
            <w:rtl/>
          </w:rPr>
          <w:t>חוק העונשין</w:t>
        </w:r>
      </w:hyperlink>
      <w:r>
        <w:rPr>
          <w:rFonts w:hint="cs"/>
          <w:rtl/>
        </w:rPr>
        <w:t xml:space="preserve"> ופסיקה, החלטתי שאין מקום לחרוג ממתחם העונש משיקולי שיקום. יחד עם זאת מצאתי כי יש מקום להקל בעונשו של הנא</w:t>
      </w:r>
      <w:r w:rsidRPr="007C29D2">
        <w:rPr>
          <w:rFonts w:ascii="Calibri" w:hAnsi="Calibri" w:hint="cs"/>
          <w:rtl/>
        </w:rPr>
        <w:t>שם הסובל מפוסט טראומה ואשר קיבל רישיון להשתמש בקנבוס רפואי בשנת 2017. לפיכך החלטתי לגזור על הנאשם את העונשים הבא</w:t>
      </w:r>
      <w:r>
        <w:rPr>
          <w:rFonts w:hint="cs"/>
          <w:rtl/>
        </w:rPr>
        <w:t>ים:</w:t>
      </w:r>
    </w:p>
    <w:p w14:paraId="53D51CF0" w14:textId="77777777" w:rsidR="007C29D2" w:rsidRDefault="007C29D2" w:rsidP="007C29D2">
      <w:pPr>
        <w:spacing w:line="360" w:lineRule="auto"/>
        <w:ind w:left="1440" w:hanging="720"/>
        <w:contextualSpacing/>
        <w:jc w:val="both"/>
      </w:pPr>
      <w:r>
        <w:rPr>
          <w:rFonts w:hint="cs"/>
          <w:rtl/>
        </w:rPr>
        <w:t>א.</w:t>
      </w:r>
      <w:r>
        <w:rPr>
          <w:rFonts w:hint="cs"/>
          <w:rtl/>
        </w:rPr>
        <w:tab/>
        <w:t xml:space="preserve">5 חודשי מאסר על תנאי לתקופה של 3 שנים והתנאי הוא שלא יעבור כל עבירה על פי </w:t>
      </w:r>
      <w:hyperlink r:id="rId28" w:history="1">
        <w:r w:rsidR="007E47E3" w:rsidRPr="007E47E3">
          <w:rPr>
            <w:color w:val="0000FF"/>
            <w:u w:val="single"/>
            <w:rtl/>
          </w:rPr>
          <w:t>פקודת הסמים המסוכנים</w:t>
        </w:r>
      </w:hyperlink>
      <w:r>
        <w:rPr>
          <w:rFonts w:hint="cs"/>
          <w:rtl/>
        </w:rPr>
        <w:t>.</w:t>
      </w:r>
    </w:p>
    <w:p w14:paraId="31C405F2" w14:textId="77777777" w:rsidR="007C29D2" w:rsidRDefault="007C29D2" w:rsidP="007C29D2">
      <w:pPr>
        <w:spacing w:line="360" w:lineRule="auto"/>
        <w:ind w:left="1440" w:hanging="720"/>
        <w:contextualSpacing/>
        <w:jc w:val="both"/>
        <w:rPr>
          <w:rtl/>
        </w:rPr>
      </w:pPr>
      <w:r>
        <w:rPr>
          <w:rFonts w:hint="cs"/>
          <w:rtl/>
        </w:rPr>
        <w:t>ב.</w:t>
      </w:r>
      <w:r>
        <w:rPr>
          <w:rFonts w:hint="cs"/>
          <w:rtl/>
        </w:rPr>
        <w:tab/>
        <w:t>120 שעות של"צ.</w:t>
      </w:r>
    </w:p>
    <w:p w14:paraId="4824D7D3" w14:textId="77777777" w:rsidR="007C29D2" w:rsidRDefault="007C29D2" w:rsidP="007C29D2">
      <w:pPr>
        <w:spacing w:line="360" w:lineRule="auto"/>
        <w:ind w:left="1440" w:hanging="720"/>
        <w:contextualSpacing/>
        <w:jc w:val="both"/>
        <w:rPr>
          <w:rtl/>
        </w:rPr>
      </w:pPr>
      <w:r>
        <w:rPr>
          <w:rFonts w:hint="cs"/>
          <w:rtl/>
        </w:rPr>
        <w:t>ג.</w:t>
      </w:r>
      <w:r>
        <w:rPr>
          <w:rFonts w:hint="cs"/>
          <w:rtl/>
        </w:rPr>
        <w:tab/>
        <w:t>הנאשם יחתום על התחייבות בסך 1,000 במזכירות בית המשפט לא יאוחר מיום 22/3/18 בשעה 10:00, להימנע במשך שנתיים מלעבור על העבירות בהן הורשע, לא תיחתם ההתחייבות יאסר ליומיים.</w:t>
      </w:r>
    </w:p>
    <w:p w14:paraId="48789B5C" w14:textId="77777777" w:rsidR="007C29D2" w:rsidRDefault="007C29D2" w:rsidP="007C29D2">
      <w:pPr>
        <w:spacing w:line="360" w:lineRule="auto"/>
        <w:ind w:left="426"/>
        <w:contextualSpacing/>
        <w:jc w:val="both"/>
        <w:rPr>
          <w:rtl/>
        </w:rPr>
      </w:pPr>
    </w:p>
    <w:p w14:paraId="55ECECDD" w14:textId="77777777" w:rsidR="007C29D2" w:rsidRDefault="007C29D2" w:rsidP="007C29D2">
      <w:pPr>
        <w:spacing w:line="360" w:lineRule="auto"/>
        <w:ind w:left="426"/>
        <w:contextualSpacing/>
        <w:jc w:val="both"/>
        <w:rPr>
          <w:b/>
          <w:bCs/>
          <w:rtl/>
        </w:rPr>
      </w:pPr>
      <w:r>
        <w:rPr>
          <w:rFonts w:hint="cs"/>
          <w:b/>
          <w:bCs/>
          <w:rtl/>
        </w:rPr>
        <w:t xml:space="preserve">מובהר לנאשם כי אם לא יבצע את עבודות השל"צ במלואן ו/או יבצע עבירה בתקופת ביצוע עבודת השל"צ, ניתן יהיה להחזיר עניינו לדיון בבית משפט להפקיע את צו השל"צ ולהטיל ענישה חלופית. </w:t>
      </w:r>
    </w:p>
    <w:p w14:paraId="7D47CF52" w14:textId="77777777" w:rsidR="007C29D2" w:rsidRDefault="007C29D2" w:rsidP="007C29D2">
      <w:pPr>
        <w:spacing w:line="360" w:lineRule="auto"/>
        <w:ind w:left="426"/>
        <w:contextualSpacing/>
        <w:jc w:val="both"/>
        <w:rPr>
          <w:rtl/>
        </w:rPr>
      </w:pPr>
    </w:p>
    <w:p w14:paraId="46E9725A" w14:textId="77777777" w:rsidR="007C29D2" w:rsidRDefault="007C29D2" w:rsidP="007C29D2">
      <w:pPr>
        <w:spacing w:line="360" w:lineRule="auto"/>
        <w:ind w:left="426"/>
        <w:contextualSpacing/>
        <w:jc w:val="both"/>
        <w:rPr>
          <w:rtl/>
        </w:rPr>
      </w:pPr>
      <w:r>
        <w:rPr>
          <w:rFonts w:hint="cs"/>
          <w:rtl/>
        </w:rPr>
        <w:t xml:space="preserve">באם הפקיד הנאשם פיקדון, במסגרת תיק זה או במסגרת תיקים הקשורים לתיק זה, יוחזר הפיקדון לנאשם בהעדר החלטה אחרת או מניעה על פי דין. </w:t>
      </w:r>
    </w:p>
    <w:p w14:paraId="04D4C063" w14:textId="77777777" w:rsidR="007C29D2" w:rsidRDefault="007C29D2" w:rsidP="007C29D2">
      <w:pPr>
        <w:spacing w:line="360" w:lineRule="auto"/>
        <w:ind w:left="426"/>
        <w:contextualSpacing/>
        <w:jc w:val="both"/>
        <w:rPr>
          <w:b/>
          <w:bCs/>
          <w:rtl/>
        </w:rPr>
      </w:pPr>
    </w:p>
    <w:p w14:paraId="70E559B3" w14:textId="77777777" w:rsidR="007C29D2" w:rsidRDefault="007C29D2" w:rsidP="007C29D2">
      <w:pPr>
        <w:spacing w:line="360" w:lineRule="auto"/>
        <w:ind w:left="426"/>
        <w:contextualSpacing/>
        <w:jc w:val="both"/>
        <w:rPr>
          <w:b/>
          <w:bCs/>
          <w:rtl/>
        </w:rPr>
      </w:pPr>
      <w:r>
        <w:rPr>
          <w:rFonts w:hint="cs"/>
          <w:b/>
          <w:bCs/>
          <w:rtl/>
        </w:rPr>
        <w:t>זכות ערעור תוך 45 יום לבית המשפט המחוזי</w:t>
      </w:r>
    </w:p>
    <w:p w14:paraId="29AF09A9" w14:textId="77777777" w:rsidR="007C29D2" w:rsidRDefault="007C29D2" w:rsidP="007C29D2">
      <w:pPr>
        <w:spacing w:line="360" w:lineRule="auto"/>
        <w:ind w:left="426"/>
        <w:contextualSpacing/>
        <w:jc w:val="both"/>
        <w:rPr>
          <w:b/>
          <w:bCs/>
          <w:rtl/>
        </w:rPr>
      </w:pPr>
      <w:r>
        <w:rPr>
          <w:rFonts w:hint="cs"/>
          <w:b/>
          <w:bCs/>
          <w:rtl/>
        </w:rPr>
        <w:t xml:space="preserve">מזכירות תשלח עותק של גזר הדין לשירות המבחן ולממונה על עבודות שירות </w:t>
      </w:r>
    </w:p>
    <w:p w14:paraId="3B1265F2" w14:textId="77777777" w:rsidR="007C29D2" w:rsidRDefault="007C29D2" w:rsidP="007C29D2">
      <w:pPr>
        <w:spacing w:line="360" w:lineRule="auto"/>
        <w:jc w:val="both"/>
        <w:rPr>
          <w:rFonts w:ascii="David" w:eastAsia="David" w:hAnsi="David"/>
          <w:sz w:val="6"/>
          <w:szCs w:val="6"/>
        </w:rPr>
      </w:pPr>
      <w:r>
        <w:rPr>
          <w:rFonts w:hint="cs"/>
          <w:sz w:val="6"/>
          <w:szCs w:val="6"/>
          <w:rtl/>
        </w:rPr>
        <w:t>&lt;#3#&gt;</w:t>
      </w:r>
    </w:p>
    <w:p w14:paraId="4BDDCEAE" w14:textId="77777777" w:rsidR="007C29D2" w:rsidRPr="007E47E3" w:rsidRDefault="007E47E3" w:rsidP="007C29D2">
      <w:pPr>
        <w:rPr>
          <w:color w:val="FFFFFF"/>
          <w:sz w:val="2"/>
          <w:szCs w:val="2"/>
          <w:rtl/>
        </w:rPr>
      </w:pPr>
      <w:r w:rsidRPr="007E47E3">
        <w:rPr>
          <w:color w:val="FFFFFF"/>
          <w:sz w:val="2"/>
          <w:szCs w:val="2"/>
          <w:rtl/>
        </w:rPr>
        <w:t>5129371</w:t>
      </w:r>
    </w:p>
    <w:tbl>
      <w:tblPr>
        <w:bidiVisual/>
        <w:tblW w:w="0" w:type="auto"/>
        <w:tblBorders>
          <w:insideH w:val="single" w:sz="4" w:space="0" w:color="auto"/>
          <w:insideV w:val="single" w:sz="4" w:space="0" w:color="auto"/>
        </w:tblBorders>
        <w:tblLook w:val="01E0" w:firstRow="1" w:lastRow="1" w:firstColumn="1" w:lastColumn="1" w:noHBand="0" w:noVBand="0"/>
      </w:tblPr>
      <w:tblGrid>
        <w:gridCol w:w="3936"/>
      </w:tblGrid>
      <w:tr w:rsidR="007C29D2" w14:paraId="0CCFBD2C" w14:textId="77777777" w:rsidTr="007C29D2">
        <w:trPr>
          <w:trHeight w:val="316"/>
        </w:trPr>
        <w:tc>
          <w:tcPr>
            <w:tcW w:w="3936" w:type="dxa"/>
            <w:tcBorders>
              <w:top w:val="nil"/>
              <w:left w:val="nil"/>
              <w:bottom w:val="single" w:sz="4" w:space="0" w:color="auto"/>
              <w:right w:val="nil"/>
            </w:tcBorders>
            <w:shd w:val="clear" w:color="auto" w:fill="auto"/>
            <w:vAlign w:val="bottom"/>
          </w:tcPr>
          <w:p w14:paraId="174EB3EB" w14:textId="77777777" w:rsidR="007C29D2" w:rsidRDefault="007E47E3" w:rsidP="007C29D2">
            <w:pPr>
              <w:jc w:val="center"/>
              <w:rPr>
                <w:rtl/>
              </w:rPr>
            </w:pPr>
            <w:r w:rsidRPr="007E47E3">
              <w:rPr>
                <w:b/>
                <w:bCs/>
                <w:color w:val="FFFFFF"/>
                <w:sz w:val="2"/>
                <w:szCs w:val="2"/>
                <w:rtl/>
              </w:rPr>
              <w:t>54678313</w:t>
            </w:r>
            <w:r>
              <w:rPr>
                <w:b/>
                <w:bCs/>
                <w:rtl/>
              </w:rPr>
              <w:t xml:space="preserve">ניתנה והודעה היום כ"ח אדר תשע"ח, 15/03/2018 במעמד הנוכחים. </w:t>
            </w:r>
            <w:r w:rsidR="007C29D2" w:rsidRPr="007C29D2">
              <w:rPr>
                <w:rFonts w:cs="Times New Roman"/>
                <w:rtl/>
              </w:rPr>
              <w:t xml:space="preserve">     </w:t>
            </w:r>
          </w:p>
          <w:p w14:paraId="4158F585" w14:textId="77777777" w:rsidR="007C29D2" w:rsidRDefault="007C29D2" w:rsidP="007C29D2">
            <w:pPr>
              <w:jc w:val="center"/>
            </w:pPr>
          </w:p>
        </w:tc>
      </w:tr>
      <w:tr w:rsidR="007C29D2" w14:paraId="3D51D6C6" w14:textId="77777777" w:rsidTr="007C29D2">
        <w:trPr>
          <w:trHeight w:val="361"/>
        </w:trPr>
        <w:tc>
          <w:tcPr>
            <w:tcW w:w="3936" w:type="dxa"/>
            <w:tcBorders>
              <w:top w:val="single" w:sz="4" w:space="0" w:color="auto"/>
              <w:left w:val="nil"/>
              <w:bottom w:val="nil"/>
              <w:right w:val="nil"/>
            </w:tcBorders>
            <w:shd w:val="clear" w:color="auto" w:fill="auto"/>
          </w:tcPr>
          <w:p w14:paraId="1898E9E6" w14:textId="77777777" w:rsidR="007C29D2" w:rsidRPr="007C29D2" w:rsidRDefault="007C29D2" w:rsidP="007C29D2">
            <w:pPr>
              <w:jc w:val="center"/>
              <w:rPr>
                <w:b/>
                <w:bCs/>
                <w:rtl/>
              </w:rPr>
            </w:pPr>
            <w:r w:rsidRPr="007C29D2">
              <w:rPr>
                <w:rFonts w:hint="cs"/>
                <w:b/>
                <w:bCs/>
                <w:rtl/>
              </w:rPr>
              <w:t>יעל פרדלסקי, שופטת</w:t>
            </w:r>
          </w:p>
        </w:tc>
      </w:tr>
    </w:tbl>
    <w:p w14:paraId="07A948F1" w14:textId="77777777" w:rsidR="007C29D2" w:rsidRDefault="007C29D2" w:rsidP="007C29D2">
      <w:pPr>
        <w:rPr>
          <w:rFonts w:ascii="David" w:hAnsi="David"/>
          <w:rtl/>
        </w:rPr>
      </w:pPr>
    </w:p>
    <w:p w14:paraId="04600552" w14:textId="77777777" w:rsidR="007C29D2" w:rsidRPr="00897D2A" w:rsidRDefault="00897D2A" w:rsidP="007C29D2">
      <w:pPr>
        <w:pStyle w:val="a3"/>
        <w:jc w:val="center"/>
        <w:rPr>
          <w:color w:val="FFFFFF"/>
          <w:sz w:val="2"/>
          <w:szCs w:val="2"/>
          <w:rtl/>
        </w:rPr>
      </w:pPr>
      <w:r w:rsidRPr="00897D2A">
        <w:rPr>
          <w:color w:val="FFFFFF"/>
          <w:sz w:val="2"/>
          <w:szCs w:val="2"/>
          <w:rtl/>
        </w:rPr>
        <w:t>5129371</w:t>
      </w:r>
    </w:p>
    <w:p w14:paraId="72B8BE01" w14:textId="77777777" w:rsidR="002D7B2F" w:rsidRPr="00897D2A" w:rsidRDefault="00897D2A" w:rsidP="007E47E3">
      <w:pPr>
        <w:keepNext/>
        <w:rPr>
          <w:rFonts w:ascii="David" w:hAnsi="David"/>
          <w:color w:val="FFFFFF"/>
          <w:sz w:val="2"/>
          <w:szCs w:val="2"/>
          <w:rtl/>
        </w:rPr>
      </w:pPr>
      <w:r w:rsidRPr="00897D2A">
        <w:rPr>
          <w:rFonts w:ascii="David" w:hAnsi="David"/>
          <w:color w:val="FFFFFF"/>
          <w:sz w:val="2"/>
          <w:szCs w:val="2"/>
          <w:rtl/>
        </w:rPr>
        <w:t>54678313</w:t>
      </w:r>
    </w:p>
    <w:p w14:paraId="345E1471" w14:textId="77777777" w:rsidR="007E47E3" w:rsidRPr="007E47E3" w:rsidRDefault="007E47E3" w:rsidP="007E47E3">
      <w:pPr>
        <w:keepNext/>
        <w:rPr>
          <w:rFonts w:ascii="David" w:hAnsi="David"/>
          <w:color w:val="000000"/>
          <w:sz w:val="22"/>
          <w:szCs w:val="22"/>
          <w:rtl/>
        </w:rPr>
      </w:pPr>
      <w:r w:rsidRPr="007E47E3">
        <w:rPr>
          <w:rFonts w:ascii="David" w:hAnsi="David"/>
          <w:color w:val="000000"/>
          <w:sz w:val="22"/>
          <w:szCs w:val="22"/>
          <w:rtl/>
        </w:rPr>
        <w:t>יעל פרדלסקי 54678313</w:t>
      </w:r>
    </w:p>
    <w:p w14:paraId="1842F211" w14:textId="77777777" w:rsidR="007E47E3" w:rsidRDefault="007E47E3" w:rsidP="007E47E3">
      <w:r w:rsidRPr="007E47E3">
        <w:rPr>
          <w:color w:val="000000"/>
          <w:rtl/>
        </w:rPr>
        <w:t>נוסח מסמך זה כפוף לשינויי ניסוח ועריכה</w:t>
      </w:r>
    </w:p>
    <w:p w14:paraId="5B4D46CC" w14:textId="77777777" w:rsidR="007E47E3" w:rsidRDefault="007E47E3" w:rsidP="007E47E3">
      <w:pPr>
        <w:rPr>
          <w:rtl/>
        </w:rPr>
      </w:pPr>
    </w:p>
    <w:p w14:paraId="3EA1EB08" w14:textId="77777777" w:rsidR="007E47E3" w:rsidRDefault="007E47E3" w:rsidP="007E47E3">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14:paraId="64C27376" w14:textId="77777777" w:rsidR="00897D2A" w:rsidRPr="00897D2A" w:rsidRDefault="00897D2A" w:rsidP="00897D2A">
      <w:pPr>
        <w:keepNext/>
        <w:rPr>
          <w:rFonts w:ascii="David" w:hAnsi="David"/>
          <w:color w:val="000000"/>
          <w:sz w:val="22"/>
          <w:szCs w:val="22"/>
          <w:rtl/>
        </w:rPr>
      </w:pPr>
    </w:p>
    <w:p w14:paraId="12D462BE" w14:textId="77777777" w:rsidR="007E47E3" w:rsidRDefault="007E47E3" w:rsidP="00897D2A">
      <w:pPr>
        <w:rPr>
          <w:color w:val="0000FF"/>
          <w:u w:val="single"/>
          <w:rtl/>
        </w:rPr>
      </w:pPr>
    </w:p>
    <w:p w14:paraId="78DCC393" w14:textId="77777777" w:rsidR="007E18A8" w:rsidRPr="007E47E3" w:rsidRDefault="007E18A8" w:rsidP="00897D2A">
      <w:pPr>
        <w:rPr>
          <w:color w:val="0000FF"/>
          <w:u w:val="single"/>
        </w:rPr>
      </w:pPr>
    </w:p>
    <w:sectPr w:rsidR="007E18A8" w:rsidRPr="007E47E3" w:rsidSect="00897D2A">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1FC17" w14:textId="77777777" w:rsidR="00012742" w:rsidRDefault="00012742" w:rsidP="005E3A61">
      <w:r>
        <w:separator/>
      </w:r>
    </w:p>
  </w:endnote>
  <w:endnote w:type="continuationSeparator" w:id="0">
    <w:p w14:paraId="7FCD58F6" w14:textId="77777777" w:rsidR="00012742" w:rsidRDefault="00012742" w:rsidP="005E3A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5DFFCF" w14:textId="77777777" w:rsidR="00897D2A" w:rsidRDefault="00897D2A" w:rsidP="00897D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02B9392" w14:textId="77777777" w:rsidR="00F1326F" w:rsidRPr="00897D2A" w:rsidRDefault="00897D2A" w:rsidP="00897D2A">
    <w:pPr>
      <w:pStyle w:val="a5"/>
      <w:pBdr>
        <w:top w:val="single" w:sz="4" w:space="1" w:color="auto"/>
        <w:between w:val="single" w:sz="4" w:space="0" w:color="auto"/>
      </w:pBdr>
      <w:spacing w:after="60"/>
      <w:jc w:val="center"/>
      <w:rPr>
        <w:rFonts w:ascii="FrankRuehl" w:hAnsi="FrankRuehl" w:cs="FrankRuehl"/>
        <w:color w:val="000000"/>
      </w:rPr>
    </w:pPr>
    <w:r w:rsidRPr="00897D2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1D325" w14:textId="77777777" w:rsidR="00897D2A" w:rsidRDefault="00897D2A" w:rsidP="00897D2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C95170">
      <w:rPr>
        <w:rFonts w:ascii="FrankRuehl" w:hAnsi="FrankRuehl" w:cs="FrankRuehl"/>
        <w:noProof/>
        <w:rtl/>
      </w:rPr>
      <w:t>1</w:t>
    </w:r>
    <w:r>
      <w:rPr>
        <w:rFonts w:ascii="FrankRuehl" w:hAnsi="FrankRuehl" w:cs="FrankRuehl"/>
        <w:rtl/>
      </w:rPr>
      <w:fldChar w:fldCharType="end"/>
    </w:r>
  </w:p>
  <w:p w14:paraId="2E9DE53F" w14:textId="77777777" w:rsidR="00F1326F" w:rsidRPr="00897D2A" w:rsidRDefault="00897D2A" w:rsidP="00897D2A">
    <w:pPr>
      <w:pStyle w:val="a5"/>
      <w:pBdr>
        <w:top w:val="single" w:sz="4" w:space="1" w:color="auto"/>
        <w:between w:val="single" w:sz="4" w:space="0" w:color="auto"/>
      </w:pBdr>
      <w:spacing w:after="60"/>
      <w:jc w:val="center"/>
      <w:rPr>
        <w:rFonts w:ascii="FrankRuehl" w:hAnsi="FrankRuehl" w:cs="FrankRuehl"/>
        <w:color w:val="000000"/>
      </w:rPr>
    </w:pPr>
    <w:r w:rsidRPr="00897D2A">
      <w:rPr>
        <w:rFonts w:ascii="FrankRuehl" w:hAnsi="FrankRuehl" w:cs="FrankRuehl"/>
        <w:color w:val="000000"/>
      </w:rPr>
      <w:pict w14:anchorId="01E47F5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7EC5B7" w14:textId="77777777" w:rsidR="00012742" w:rsidRDefault="00012742" w:rsidP="005E3A61">
      <w:r>
        <w:separator/>
      </w:r>
    </w:p>
  </w:footnote>
  <w:footnote w:type="continuationSeparator" w:id="0">
    <w:p w14:paraId="1C3577B3" w14:textId="77777777" w:rsidR="00012742" w:rsidRDefault="00012742" w:rsidP="005E3A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296BD6" w14:textId="77777777" w:rsidR="007E47E3" w:rsidRPr="00897D2A" w:rsidRDefault="00897D2A" w:rsidP="00897D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7754-04-13</w:t>
    </w:r>
    <w:r>
      <w:rPr>
        <w:rFonts w:ascii="David" w:hAnsi="David"/>
        <w:color w:val="000000"/>
        <w:sz w:val="22"/>
        <w:szCs w:val="22"/>
        <w:rtl/>
      </w:rPr>
      <w:tab/>
      <w:t xml:space="preserve"> מדינת ישראל נ' טימור גילרמן</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79BA1" w14:textId="77777777" w:rsidR="007E47E3" w:rsidRPr="00897D2A" w:rsidRDefault="00897D2A" w:rsidP="00897D2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(ת"א) 7754-04-13</w:t>
    </w:r>
    <w:r>
      <w:rPr>
        <w:rFonts w:ascii="David" w:hAnsi="David"/>
        <w:color w:val="000000"/>
        <w:sz w:val="22"/>
        <w:szCs w:val="22"/>
        <w:rtl/>
      </w:rPr>
      <w:tab/>
      <w:t xml:space="preserve"> מדינת ישראל נ' טימור גילרמן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05DD6"/>
    <w:multiLevelType w:val="hybridMultilevel"/>
    <w:tmpl w:val="7E82E166"/>
    <w:lvl w:ilvl="0" w:tplc="9CD8A196">
      <w:start w:val="1"/>
      <w:numFmt w:val="hebrew1"/>
      <w:lvlText w:val="%1."/>
      <w:lvlJc w:val="left"/>
      <w:pPr>
        <w:ind w:left="662" w:hanging="360"/>
      </w:pPr>
      <w:rPr>
        <w:rFonts w:cs="David" w:hint="cs"/>
        <w:bCs/>
        <w:iCs w:val="0"/>
      </w:rPr>
    </w:lvl>
    <w:lvl w:ilvl="1" w:tplc="04090019">
      <w:start w:val="1"/>
      <w:numFmt w:val="lowerLetter"/>
      <w:lvlText w:val="%2."/>
      <w:lvlJc w:val="left"/>
      <w:pPr>
        <w:ind w:left="1382" w:hanging="360"/>
      </w:pPr>
      <w:rPr>
        <w:rFonts w:cs="Times New Roman"/>
      </w:rPr>
    </w:lvl>
    <w:lvl w:ilvl="2" w:tplc="0409001B">
      <w:start w:val="1"/>
      <w:numFmt w:val="lowerRoman"/>
      <w:lvlText w:val="%3."/>
      <w:lvlJc w:val="right"/>
      <w:pPr>
        <w:ind w:left="2102" w:hanging="180"/>
      </w:pPr>
      <w:rPr>
        <w:rFonts w:cs="Times New Roman"/>
      </w:rPr>
    </w:lvl>
    <w:lvl w:ilvl="3" w:tplc="0409000F">
      <w:start w:val="1"/>
      <w:numFmt w:val="decimal"/>
      <w:lvlText w:val="%4."/>
      <w:lvlJc w:val="left"/>
      <w:pPr>
        <w:ind w:left="2822" w:hanging="360"/>
      </w:pPr>
      <w:rPr>
        <w:rFonts w:cs="Times New Roman"/>
      </w:rPr>
    </w:lvl>
    <w:lvl w:ilvl="4" w:tplc="04090019">
      <w:start w:val="1"/>
      <w:numFmt w:val="lowerLetter"/>
      <w:lvlText w:val="%5."/>
      <w:lvlJc w:val="left"/>
      <w:pPr>
        <w:ind w:left="3542" w:hanging="360"/>
      </w:pPr>
      <w:rPr>
        <w:rFonts w:cs="Times New Roman"/>
      </w:rPr>
    </w:lvl>
    <w:lvl w:ilvl="5" w:tplc="0409001B">
      <w:start w:val="1"/>
      <w:numFmt w:val="lowerRoman"/>
      <w:lvlText w:val="%6."/>
      <w:lvlJc w:val="right"/>
      <w:pPr>
        <w:ind w:left="4262" w:hanging="180"/>
      </w:pPr>
      <w:rPr>
        <w:rFonts w:cs="Times New Roman"/>
      </w:rPr>
    </w:lvl>
    <w:lvl w:ilvl="6" w:tplc="0409000F">
      <w:start w:val="1"/>
      <w:numFmt w:val="decimal"/>
      <w:lvlText w:val="%7."/>
      <w:lvlJc w:val="left"/>
      <w:pPr>
        <w:ind w:left="4982" w:hanging="360"/>
      </w:pPr>
      <w:rPr>
        <w:rFonts w:cs="Times New Roman"/>
      </w:rPr>
    </w:lvl>
    <w:lvl w:ilvl="7" w:tplc="04090019">
      <w:start w:val="1"/>
      <w:numFmt w:val="lowerLetter"/>
      <w:lvlText w:val="%8."/>
      <w:lvlJc w:val="left"/>
      <w:pPr>
        <w:ind w:left="5702" w:hanging="360"/>
      </w:pPr>
      <w:rPr>
        <w:rFonts w:cs="Times New Roman"/>
      </w:rPr>
    </w:lvl>
    <w:lvl w:ilvl="8" w:tplc="0409001B">
      <w:start w:val="1"/>
      <w:numFmt w:val="lowerRoman"/>
      <w:lvlText w:val="%9."/>
      <w:lvlJc w:val="right"/>
      <w:pPr>
        <w:ind w:left="6422" w:hanging="180"/>
      </w:pPr>
      <w:rPr>
        <w:rFonts w:cs="Times New Roman"/>
      </w:rPr>
    </w:lvl>
  </w:abstractNum>
  <w:abstractNum w:abstractNumId="1" w15:restartNumberingAfterBreak="0">
    <w:nsid w:val="01FA0DB0"/>
    <w:multiLevelType w:val="hybridMultilevel"/>
    <w:tmpl w:val="B8C270A2"/>
    <w:lvl w:ilvl="0" w:tplc="0A4C80CA">
      <w:start w:val="1"/>
      <w:numFmt w:val="hebrew1"/>
      <w:lvlText w:val="%1."/>
      <w:lvlJc w:val="left"/>
      <w:pPr>
        <w:ind w:left="720" w:hanging="360"/>
      </w:pPr>
      <w:rPr>
        <w:rFonts w:cs="Times New Roman"/>
        <w:bCs/>
        <w:i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52F95AF1"/>
    <w:multiLevelType w:val="hybridMultilevel"/>
    <w:tmpl w:val="3FD07E50"/>
    <w:lvl w:ilvl="0" w:tplc="6D7488D4">
      <w:start w:val="7"/>
      <w:numFmt w:val="decimal"/>
      <w:lvlText w:val="%1."/>
      <w:lvlJc w:val="left"/>
      <w:pPr>
        <w:ind w:left="420" w:hanging="360"/>
      </w:pPr>
      <w:rPr>
        <w:rFonts w:cs="Times New Roman"/>
        <w:bCs/>
        <w:i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6D5472E4"/>
    <w:multiLevelType w:val="hybridMultilevel"/>
    <w:tmpl w:val="10A28A2E"/>
    <w:lvl w:ilvl="0" w:tplc="B948AC1A">
      <w:start w:val="8"/>
      <w:numFmt w:val="decimal"/>
      <w:lvlText w:val="%1."/>
      <w:lvlJc w:val="left"/>
      <w:pPr>
        <w:ind w:left="502" w:hanging="360"/>
      </w:pPr>
      <w:rPr>
        <w:rFonts w:cs="Times New Roman"/>
        <w:bCs/>
        <w:iCs w:val="0"/>
      </w:rPr>
    </w:lvl>
    <w:lvl w:ilvl="1" w:tplc="04090019">
      <w:start w:val="1"/>
      <w:numFmt w:val="lowerLetter"/>
      <w:lvlText w:val="%2."/>
      <w:lvlJc w:val="left"/>
      <w:pPr>
        <w:ind w:left="1222" w:hanging="360"/>
      </w:pPr>
      <w:rPr>
        <w:rFonts w:cs="Times New Roman"/>
      </w:rPr>
    </w:lvl>
    <w:lvl w:ilvl="2" w:tplc="0409001B">
      <w:start w:val="1"/>
      <w:numFmt w:val="lowerRoman"/>
      <w:lvlText w:val="%3."/>
      <w:lvlJc w:val="right"/>
      <w:pPr>
        <w:ind w:left="1942" w:hanging="180"/>
      </w:pPr>
      <w:rPr>
        <w:rFonts w:cs="Times New Roman"/>
      </w:rPr>
    </w:lvl>
    <w:lvl w:ilvl="3" w:tplc="0409000F">
      <w:start w:val="1"/>
      <w:numFmt w:val="decimal"/>
      <w:lvlText w:val="%4."/>
      <w:lvlJc w:val="left"/>
      <w:pPr>
        <w:ind w:left="2662" w:hanging="360"/>
      </w:pPr>
      <w:rPr>
        <w:rFonts w:cs="Times New Roman"/>
      </w:rPr>
    </w:lvl>
    <w:lvl w:ilvl="4" w:tplc="04090019">
      <w:start w:val="1"/>
      <w:numFmt w:val="lowerLetter"/>
      <w:lvlText w:val="%5."/>
      <w:lvlJc w:val="left"/>
      <w:pPr>
        <w:ind w:left="3382" w:hanging="360"/>
      </w:pPr>
      <w:rPr>
        <w:rFonts w:cs="Times New Roman"/>
      </w:rPr>
    </w:lvl>
    <w:lvl w:ilvl="5" w:tplc="0409001B">
      <w:start w:val="1"/>
      <w:numFmt w:val="lowerRoman"/>
      <w:lvlText w:val="%6."/>
      <w:lvlJc w:val="right"/>
      <w:pPr>
        <w:ind w:left="4102" w:hanging="180"/>
      </w:pPr>
      <w:rPr>
        <w:rFonts w:cs="Times New Roman"/>
      </w:rPr>
    </w:lvl>
    <w:lvl w:ilvl="6" w:tplc="0409000F">
      <w:start w:val="1"/>
      <w:numFmt w:val="decimal"/>
      <w:lvlText w:val="%7."/>
      <w:lvlJc w:val="left"/>
      <w:pPr>
        <w:ind w:left="4822" w:hanging="360"/>
      </w:pPr>
      <w:rPr>
        <w:rFonts w:cs="Times New Roman"/>
      </w:rPr>
    </w:lvl>
    <w:lvl w:ilvl="7" w:tplc="04090019">
      <w:start w:val="1"/>
      <w:numFmt w:val="lowerLetter"/>
      <w:lvlText w:val="%8."/>
      <w:lvlJc w:val="left"/>
      <w:pPr>
        <w:ind w:left="5542" w:hanging="360"/>
      </w:pPr>
      <w:rPr>
        <w:rFonts w:cs="Times New Roman"/>
      </w:rPr>
    </w:lvl>
    <w:lvl w:ilvl="8" w:tplc="0409001B">
      <w:start w:val="1"/>
      <w:numFmt w:val="lowerRoman"/>
      <w:lvlText w:val="%9."/>
      <w:lvlJc w:val="right"/>
      <w:pPr>
        <w:ind w:left="6262" w:hanging="180"/>
      </w:pPr>
      <w:rPr>
        <w:rFonts w:cs="Times New Roman"/>
      </w:rPr>
    </w:lvl>
  </w:abstractNum>
  <w:abstractNum w:abstractNumId="4" w15:restartNumberingAfterBreak="0">
    <w:nsid w:val="7FAE065C"/>
    <w:multiLevelType w:val="hybridMultilevel"/>
    <w:tmpl w:val="97BED91C"/>
    <w:lvl w:ilvl="0" w:tplc="D12C1FC8">
      <w:start w:val="1"/>
      <w:numFmt w:val="decimal"/>
      <w:lvlText w:val="%1."/>
      <w:lvlJc w:val="left"/>
      <w:pPr>
        <w:tabs>
          <w:tab w:val="num" w:pos="426"/>
        </w:tabs>
        <w:ind w:left="426" w:hanging="284"/>
      </w:pPr>
      <w:rPr>
        <w:rFonts w:cs="Times New Roman"/>
        <w:b w:val="0"/>
        <w:bCs/>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16cid:durableId="10464943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6093178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3767858">
    <w:abstractNumId w:val="2"/>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1974467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98190261">
    <w:abstractNumId w:val="3"/>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C29D2"/>
    <w:rsid w:val="00012742"/>
    <w:rsid w:val="0004319D"/>
    <w:rsid w:val="002D7B2F"/>
    <w:rsid w:val="00576AFC"/>
    <w:rsid w:val="005E3A61"/>
    <w:rsid w:val="007C29D2"/>
    <w:rsid w:val="007E18A8"/>
    <w:rsid w:val="007E47E3"/>
    <w:rsid w:val="00897D2A"/>
    <w:rsid w:val="009F1116"/>
    <w:rsid w:val="00AE4E83"/>
    <w:rsid w:val="00BA16A0"/>
    <w:rsid w:val="00C95170"/>
    <w:rsid w:val="00E40D5D"/>
    <w:rsid w:val="00F1326F"/>
    <w:rsid w:val="00F458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4:docId w14:val="5F840968"/>
  <w15:chartTrackingRefBased/>
  <w15:docId w15:val="{2B23625E-2838-41E1-95B5-D1E8C48A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C29D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C29D2"/>
    <w:pPr>
      <w:tabs>
        <w:tab w:val="center" w:pos="4153"/>
        <w:tab w:val="right" w:pos="8306"/>
      </w:tabs>
    </w:pPr>
  </w:style>
  <w:style w:type="character" w:customStyle="1" w:styleId="a4">
    <w:name w:val="כותרת עליונה תו"/>
    <w:link w:val="a3"/>
    <w:rsid w:val="007C29D2"/>
    <w:rPr>
      <w:rFonts w:ascii="Times New Roman" w:eastAsia="Times New Roman" w:hAnsi="Times New Roman" w:cs="David"/>
      <w:sz w:val="24"/>
      <w:szCs w:val="24"/>
    </w:rPr>
  </w:style>
  <w:style w:type="paragraph" w:styleId="a5">
    <w:name w:val="footer"/>
    <w:basedOn w:val="a"/>
    <w:link w:val="a6"/>
    <w:rsid w:val="007C29D2"/>
    <w:pPr>
      <w:tabs>
        <w:tab w:val="center" w:pos="4153"/>
        <w:tab w:val="right" w:pos="8306"/>
      </w:tabs>
    </w:pPr>
  </w:style>
  <w:style w:type="character" w:customStyle="1" w:styleId="a6">
    <w:name w:val="כותרת תחתונה תו"/>
    <w:link w:val="a5"/>
    <w:rsid w:val="007C29D2"/>
    <w:rPr>
      <w:rFonts w:ascii="Times New Roman" w:eastAsia="Times New Roman" w:hAnsi="Times New Roman" w:cs="David"/>
      <w:sz w:val="24"/>
      <w:szCs w:val="24"/>
    </w:rPr>
  </w:style>
  <w:style w:type="table" w:styleId="a7">
    <w:name w:val="Table Grid"/>
    <w:basedOn w:val="a1"/>
    <w:rsid w:val="007C29D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C29D2"/>
  </w:style>
  <w:style w:type="character" w:styleId="Hyperlink">
    <w:name w:val="Hyperlink"/>
    <w:rsid w:val="007E47E3"/>
    <w:rPr>
      <w:color w:val="0563C1"/>
      <w:u w:val="single"/>
    </w:rPr>
  </w:style>
  <w:style w:type="character" w:styleId="a9">
    <w:name w:val="Unresolved Mention"/>
    <w:rsid w:val="007E47E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5810781" TargetMode="External"/><Relationship Id="rId26" Type="http://schemas.openxmlformats.org/officeDocument/2006/relationships/hyperlink" Target="http://www.nevo.co.il/case/22116728" TargetMode="External"/><Relationship Id="rId3" Type="http://schemas.openxmlformats.org/officeDocument/2006/relationships/settings" Target="settings.xml"/><Relationship Id="rId21" Type="http://schemas.openxmlformats.org/officeDocument/2006/relationships/hyperlink" Target="http://www.nevo.co.il/case/8291661"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70301/72"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1288276"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law/70301/72" TargetMode="External"/><Relationship Id="rId20" Type="http://schemas.openxmlformats.org/officeDocument/2006/relationships/hyperlink" Target="http://www.nevo.co.il/case/20402486"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0228235"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4216/7.a.;70c" TargetMode="External"/><Relationship Id="rId23" Type="http://schemas.openxmlformats.org/officeDocument/2006/relationships/hyperlink" Target="http://www.nevo.co.il/case/22017509"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70c" TargetMode="External"/><Relationship Id="rId19" Type="http://schemas.openxmlformats.org/officeDocument/2006/relationships/hyperlink" Target="http://www.nevo.co.il/case/6161385"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079155" TargetMode="External"/><Relationship Id="rId27" Type="http://schemas.openxmlformats.org/officeDocument/2006/relationships/hyperlink" Target="http://www.nevo.co.il/law/70301"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2039</Words>
  <Characters>10200</Characters>
  <Application>Microsoft Office Word</Application>
  <DocSecurity>0</DocSecurity>
  <Lines>85</Lines>
  <Paragraphs>24</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12215</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7995492</vt:i4>
      </vt:variant>
      <vt:variant>
        <vt:i4>60</vt:i4>
      </vt:variant>
      <vt:variant>
        <vt:i4>0</vt:i4>
      </vt:variant>
      <vt:variant>
        <vt:i4>5</vt:i4>
      </vt:variant>
      <vt:variant>
        <vt:lpwstr>http://www.nevo.co.il/law/70301</vt:lpwstr>
      </vt:variant>
      <vt:variant>
        <vt:lpwstr/>
      </vt:variant>
      <vt:variant>
        <vt:i4>3604592</vt:i4>
      </vt:variant>
      <vt:variant>
        <vt:i4>57</vt:i4>
      </vt:variant>
      <vt:variant>
        <vt:i4>0</vt:i4>
      </vt:variant>
      <vt:variant>
        <vt:i4>5</vt:i4>
      </vt:variant>
      <vt:variant>
        <vt:lpwstr>http://www.nevo.co.il/case/22116728</vt:lpwstr>
      </vt:variant>
      <vt:variant>
        <vt:lpwstr/>
      </vt:variant>
      <vt:variant>
        <vt:i4>4128895</vt:i4>
      </vt:variant>
      <vt:variant>
        <vt:i4>54</vt:i4>
      </vt:variant>
      <vt:variant>
        <vt:i4>0</vt:i4>
      </vt:variant>
      <vt:variant>
        <vt:i4>5</vt:i4>
      </vt:variant>
      <vt:variant>
        <vt:lpwstr>http://www.nevo.co.il/case/21288276</vt:lpwstr>
      </vt:variant>
      <vt:variant>
        <vt:lpwstr/>
      </vt:variant>
      <vt:variant>
        <vt:i4>3866740</vt:i4>
      </vt:variant>
      <vt:variant>
        <vt:i4>51</vt:i4>
      </vt:variant>
      <vt:variant>
        <vt:i4>0</vt:i4>
      </vt:variant>
      <vt:variant>
        <vt:i4>5</vt:i4>
      </vt:variant>
      <vt:variant>
        <vt:lpwstr>http://www.nevo.co.il/case/20228235</vt:lpwstr>
      </vt:variant>
      <vt:variant>
        <vt:lpwstr/>
      </vt:variant>
      <vt:variant>
        <vt:i4>3473522</vt:i4>
      </vt:variant>
      <vt:variant>
        <vt:i4>48</vt:i4>
      </vt:variant>
      <vt:variant>
        <vt:i4>0</vt:i4>
      </vt:variant>
      <vt:variant>
        <vt:i4>5</vt:i4>
      </vt:variant>
      <vt:variant>
        <vt:lpwstr>http://www.nevo.co.il/case/22017509</vt:lpwstr>
      </vt:variant>
      <vt:variant>
        <vt:lpwstr/>
      </vt:variant>
      <vt:variant>
        <vt:i4>3539064</vt:i4>
      </vt:variant>
      <vt:variant>
        <vt:i4>45</vt:i4>
      </vt:variant>
      <vt:variant>
        <vt:i4>0</vt:i4>
      </vt:variant>
      <vt:variant>
        <vt:i4>5</vt:i4>
      </vt:variant>
      <vt:variant>
        <vt:lpwstr>http://www.nevo.co.il/case/5079155</vt:lpwstr>
      </vt:variant>
      <vt:variant>
        <vt:lpwstr/>
      </vt:variant>
      <vt:variant>
        <vt:i4>3539057</vt:i4>
      </vt:variant>
      <vt:variant>
        <vt:i4>42</vt:i4>
      </vt:variant>
      <vt:variant>
        <vt:i4>0</vt:i4>
      </vt:variant>
      <vt:variant>
        <vt:i4>5</vt:i4>
      </vt:variant>
      <vt:variant>
        <vt:lpwstr>http://www.nevo.co.il/case/8291661</vt:lpwstr>
      </vt:variant>
      <vt:variant>
        <vt:lpwstr/>
      </vt:variant>
      <vt:variant>
        <vt:i4>3932272</vt:i4>
      </vt:variant>
      <vt:variant>
        <vt:i4>39</vt:i4>
      </vt:variant>
      <vt:variant>
        <vt:i4>0</vt:i4>
      </vt:variant>
      <vt:variant>
        <vt:i4>5</vt:i4>
      </vt:variant>
      <vt:variant>
        <vt:lpwstr>http://www.nevo.co.il/case/20402486</vt:lpwstr>
      </vt:variant>
      <vt:variant>
        <vt:lpwstr/>
      </vt:variant>
      <vt:variant>
        <vt:i4>3539068</vt:i4>
      </vt:variant>
      <vt:variant>
        <vt:i4>36</vt:i4>
      </vt:variant>
      <vt:variant>
        <vt:i4>0</vt:i4>
      </vt:variant>
      <vt:variant>
        <vt:i4>5</vt:i4>
      </vt:variant>
      <vt:variant>
        <vt:lpwstr>http://www.nevo.co.il/case/6161385</vt:lpwstr>
      </vt:variant>
      <vt:variant>
        <vt:lpwstr/>
      </vt:variant>
      <vt:variant>
        <vt:i4>3276916</vt:i4>
      </vt:variant>
      <vt:variant>
        <vt:i4>33</vt:i4>
      </vt:variant>
      <vt:variant>
        <vt:i4>0</vt:i4>
      </vt:variant>
      <vt:variant>
        <vt:i4>5</vt:i4>
      </vt:variant>
      <vt:variant>
        <vt:lpwstr>http://www.nevo.co.il/case/5810781</vt:lpwstr>
      </vt:variant>
      <vt:variant>
        <vt:lpwstr/>
      </vt:variant>
      <vt:variant>
        <vt:i4>7995492</vt:i4>
      </vt:variant>
      <vt:variant>
        <vt:i4>30</vt:i4>
      </vt:variant>
      <vt:variant>
        <vt:i4>0</vt:i4>
      </vt:variant>
      <vt:variant>
        <vt:i4>5</vt:i4>
      </vt:variant>
      <vt:variant>
        <vt:lpwstr>http://www.nevo.co.il/law/70301</vt:lpwstr>
      </vt:variant>
      <vt:variant>
        <vt:lpwstr/>
      </vt:variant>
      <vt:variant>
        <vt:i4>6750306</vt:i4>
      </vt:variant>
      <vt:variant>
        <vt:i4>27</vt:i4>
      </vt:variant>
      <vt:variant>
        <vt:i4>0</vt:i4>
      </vt:variant>
      <vt:variant>
        <vt:i4>5</vt:i4>
      </vt:variant>
      <vt:variant>
        <vt:lpwstr>http://www.nevo.co.il/law/70301/72</vt:lpwstr>
      </vt:variant>
      <vt:variant>
        <vt:lpwstr/>
      </vt:variant>
      <vt:variant>
        <vt:i4>2293885</vt:i4>
      </vt:variant>
      <vt:variant>
        <vt:i4>24</vt:i4>
      </vt:variant>
      <vt:variant>
        <vt:i4>0</vt:i4>
      </vt:variant>
      <vt:variant>
        <vt:i4>5</vt:i4>
      </vt:variant>
      <vt:variant>
        <vt:lpwstr>http://www.nevo.co.il/law/4216/7.a.;70c</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6750306</vt:i4>
      </vt:variant>
      <vt:variant>
        <vt:i4>15</vt:i4>
      </vt:variant>
      <vt:variant>
        <vt:i4>0</vt:i4>
      </vt:variant>
      <vt:variant>
        <vt:i4>5</vt:i4>
      </vt:variant>
      <vt:variant>
        <vt:lpwstr>http://www.nevo.co.il/law/70301/72</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2752634</vt:i4>
      </vt:variant>
      <vt:variant>
        <vt:i4>9</vt:i4>
      </vt:variant>
      <vt:variant>
        <vt:i4>0</vt:i4>
      </vt:variant>
      <vt:variant>
        <vt:i4>5</vt:i4>
      </vt:variant>
      <vt:variant>
        <vt:lpwstr>http://www.nevo.co.il/law/4216/70c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2025-04-22T22:00:00Z</dcterms:created>
  <dcterms:modified xsi:type="dcterms:W3CDTF">2025-04-22T22:00:00Z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7754</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טימור גילרמן</vt:lpwstr>
  </property>
  <property fmtid="{D5CDD505-2E9C-101B-9397-08002B2CF9AE}" pid="10" name="LAWYER">
    <vt:lpwstr>יאנה קויפמן;ישר יעקבי;בני ניומן</vt:lpwstr>
  </property>
  <property fmtid="{D5CDD505-2E9C-101B-9397-08002B2CF9AE}" pid="11" name="JUDGE">
    <vt:lpwstr>יעל פרדלסקי</vt:lpwstr>
  </property>
  <property fmtid="{D5CDD505-2E9C-101B-9397-08002B2CF9AE}" pid="12" name="CITY">
    <vt:lpwstr>ת"א</vt:lpwstr>
  </property>
  <property fmtid="{D5CDD505-2E9C-101B-9397-08002B2CF9AE}" pid="13" name="DATE">
    <vt:lpwstr>20180315</vt:lpwstr>
  </property>
  <property fmtid="{D5CDD505-2E9C-101B-9397-08002B2CF9AE}" pid="14" name="TYPE_N_DATE">
    <vt:lpwstr>38020180315</vt:lpwstr>
  </property>
  <property fmtid="{D5CDD505-2E9C-101B-9397-08002B2CF9AE}" pid="15" name="WORDNUMPAGES">
    <vt:lpwstr>6</vt:lpwstr>
  </property>
  <property fmtid="{D5CDD505-2E9C-101B-9397-08002B2CF9AE}" pid="16" name="TYPE_ABS_DATE">
    <vt:lpwstr>380020180315</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5810781;6161385;20402486;8291661;5079155;22017509;20228235;21288276;22116728</vt:lpwstr>
  </property>
  <property fmtid="{D5CDD505-2E9C-101B-9397-08002B2CF9AE}" pid="36" name="LAWLISTTMP1">
    <vt:lpwstr>4216/006;007.a;070c</vt:lpwstr>
  </property>
  <property fmtid="{D5CDD505-2E9C-101B-9397-08002B2CF9AE}" pid="37" name="LAWLISTTMP2">
    <vt:lpwstr>70301/072</vt:lpwstr>
  </property>
</Properties>
</file>