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F0499" w:rsidRPr="007B22AC" w14:paraId="5EA45813" w14:textId="77777777">
        <w:trPr>
          <w:trHeight w:hRule="exact" w:val="418"/>
          <w:jc w:val="center"/>
        </w:trPr>
        <w:tc>
          <w:tcPr>
            <w:tcW w:w="8720" w:type="dxa"/>
            <w:gridSpan w:val="3"/>
          </w:tcPr>
          <w:p w14:paraId="4D9B6CA8" w14:textId="77777777" w:rsidR="008F0499" w:rsidRPr="007B22AC" w:rsidRDefault="007B22AC">
            <w:pPr>
              <w:pStyle w:val="a3"/>
              <w:tabs>
                <w:tab w:val="clear" w:pos="8306"/>
              </w:tabs>
              <w:jc w:val="center"/>
              <w:rPr>
                <w:rFonts w:ascii="Tahoma" w:hAnsi="Tahoma" w:cs="Tahoma"/>
                <w:b/>
                <w:bCs/>
                <w:color w:val="000080"/>
                <w:sz w:val="20"/>
                <w:szCs w:val="20"/>
                <w:rtl/>
              </w:rPr>
            </w:pPr>
            <w:bookmarkStart w:id="0" w:name="LastJudge"/>
            <w:r w:rsidRPr="007B22AC">
              <w:rPr>
                <w:rFonts w:ascii="Tahoma" w:hAnsi="Tahoma" w:cs="Tahoma"/>
                <w:b/>
                <w:bCs/>
                <w:color w:val="000080"/>
                <w:sz w:val="20"/>
                <w:szCs w:val="20"/>
                <w:rtl/>
              </w:rPr>
              <w:t>בית משפט השלום בבאר שבע</w:t>
            </w:r>
          </w:p>
        </w:tc>
      </w:tr>
      <w:tr w:rsidR="008F0499" w:rsidRPr="007B22AC" w14:paraId="382797FA" w14:textId="77777777">
        <w:trPr>
          <w:trHeight w:val="337"/>
          <w:jc w:val="center"/>
        </w:trPr>
        <w:tc>
          <w:tcPr>
            <w:tcW w:w="6396" w:type="dxa"/>
          </w:tcPr>
          <w:p w14:paraId="61D3B215" w14:textId="77777777" w:rsidR="008F0499" w:rsidRPr="007B22AC" w:rsidRDefault="007B22AC">
            <w:pPr>
              <w:rPr>
                <w:b/>
                <w:bCs/>
                <w:sz w:val="26"/>
                <w:szCs w:val="26"/>
                <w:rtl/>
              </w:rPr>
            </w:pPr>
            <w:r w:rsidRPr="007B22AC">
              <w:rPr>
                <w:b/>
                <w:bCs/>
                <w:sz w:val="26"/>
                <w:szCs w:val="26"/>
                <w:rtl/>
              </w:rPr>
              <w:t>ת"פ</w:t>
            </w:r>
            <w:r w:rsidRPr="007B22AC">
              <w:rPr>
                <w:rFonts w:hint="cs"/>
                <w:b/>
                <w:bCs/>
                <w:sz w:val="26"/>
                <w:szCs w:val="26"/>
                <w:rtl/>
              </w:rPr>
              <w:t xml:space="preserve"> </w:t>
            </w:r>
            <w:r w:rsidRPr="007B22AC">
              <w:rPr>
                <w:b/>
                <w:bCs/>
                <w:sz w:val="26"/>
                <w:szCs w:val="26"/>
                <w:rtl/>
              </w:rPr>
              <w:t>22722-05-13</w:t>
            </w:r>
            <w:r w:rsidRPr="007B22AC">
              <w:rPr>
                <w:rFonts w:hint="cs"/>
                <w:b/>
                <w:bCs/>
                <w:sz w:val="26"/>
                <w:szCs w:val="26"/>
                <w:rtl/>
              </w:rPr>
              <w:t xml:space="preserve"> </w:t>
            </w:r>
            <w:r w:rsidRPr="007B22AC">
              <w:rPr>
                <w:b/>
                <w:bCs/>
                <w:sz w:val="26"/>
                <w:szCs w:val="26"/>
                <w:rtl/>
              </w:rPr>
              <w:t>מדינת ישראל נ' אלאעסם</w:t>
            </w:r>
          </w:p>
          <w:p w14:paraId="1163C006" w14:textId="77777777" w:rsidR="008F0499" w:rsidRPr="007B22AC" w:rsidRDefault="008F0499">
            <w:pPr>
              <w:rPr>
                <w:b/>
                <w:bCs/>
                <w:sz w:val="26"/>
                <w:szCs w:val="26"/>
                <w:rtl/>
              </w:rPr>
            </w:pPr>
          </w:p>
        </w:tc>
        <w:tc>
          <w:tcPr>
            <w:tcW w:w="236" w:type="dxa"/>
          </w:tcPr>
          <w:p w14:paraId="3ACA6B57" w14:textId="77777777" w:rsidR="008F0499" w:rsidRPr="007B22AC" w:rsidRDefault="008F0499">
            <w:pPr>
              <w:pStyle w:val="a3"/>
              <w:jc w:val="right"/>
              <w:rPr>
                <w:b/>
                <w:bCs/>
                <w:sz w:val="26"/>
                <w:szCs w:val="26"/>
                <w:rtl/>
              </w:rPr>
            </w:pPr>
          </w:p>
        </w:tc>
        <w:tc>
          <w:tcPr>
            <w:tcW w:w="2088" w:type="dxa"/>
          </w:tcPr>
          <w:p w14:paraId="0284B530" w14:textId="77777777" w:rsidR="008F0499" w:rsidRPr="007B22AC" w:rsidRDefault="007B22AC">
            <w:pPr>
              <w:pStyle w:val="a3"/>
              <w:tabs>
                <w:tab w:val="clear" w:pos="4153"/>
              </w:tabs>
              <w:jc w:val="right"/>
              <w:rPr>
                <w:b/>
                <w:bCs/>
                <w:sz w:val="26"/>
                <w:szCs w:val="26"/>
                <w:rtl/>
              </w:rPr>
            </w:pPr>
            <w:r w:rsidRPr="007B22AC">
              <w:rPr>
                <w:b/>
                <w:bCs/>
                <w:sz w:val="26"/>
                <w:szCs w:val="26"/>
                <w:rtl/>
              </w:rPr>
              <w:t>13 אפריל 2014</w:t>
            </w:r>
          </w:p>
        </w:tc>
      </w:tr>
    </w:tbl>
    <w:p w14:paraId="61FE2BBC" w14:textId="77777777" w:rsidR="008F0499" w:rsidRPr="007B22AC" w:rsidRDefault="008F0499">
      <w:pPr>
        <w:pStyle w:val="a3"/>
        <w:jc w:val="center"/>
        <w:rPr>
          <w:rFonts w:ascii="Tahoma" w:hAnsi="Tahoma" w:cs="Tahoma"/>
          <w:b/>
          <w:bCs/>
          <w:color w:val="000080"/>
          <w:sz w:val="20"/>
          <w:szCs w:val="20"/>
          <w:rtl/>
        </w:rPr>
      </w:pPr>
    </w:p>
    <w:p w14:paraId="6EE0BAF0" w14:textId="77777777" w:rsidR="008F0499" w:rsidRPr="007B22AC" w:rsidRDefault="008F0499">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8F0499" w:rsidRPr="007B22AC" w14:paraId="012ED82A" w14:textId="77777777">
        <w:trPr>
          <w:trHeight w:val="337"/>
          <w:jc w:val="center"/>
        </w:trPr>
        <w:tc>
          <w:tcPr>
            <w:tcW w:w="1592" w:type="dxa"/>
          </w:tcPr>
          <w:p w14:paraId="3E707BC1" w14:textId="77777777" w:rsidR="008F0499" w:rsidRPr="007B22AC" w:rsidRDefault="007B22AC">
            <w:pPr>
              <w:pStyle w:val="a3"/>
              <w:bidi w:val="0"/>
              <w:spacing w:line="360" w:lineRule="auto"/>
              <w:jc w:val="both"/>
              <w:rPr>
                <w:rFonts w:ascii="Times New Roman" w:hAnsi="Times New Roman"/>
              </w:rPr>
            </w:pPr>
            <w:r w:rsidRPr="007B22AC">
              <w:rPr>
                <w:rFonts w:ascii="Times New Roman" w:hAnsi="Times New Roman"/>
              </w:rPr>
              <w:t xml:space="preserve">  </w:t>
            </w:r>
          </w:p>
        </w:tc>
        <w:tc>
          <w:tcPr>
            <w:tcW w:w="7128" w:type="dxa"/>
          </w:tcPr>
          <w:p w14:paraId="7C486A9C" w14:textId="77777777" w:rsidR="008F0499" w:rsidRPr="007B22AC" w:rsidRDefault="007B22AC">
            <w:pPr>
              <w:pStyle w:val="a3"/>
              <w:spacing w:line="360" w:lineRule="auto"/>
              <w:jc w:val="right"/>
              <w:rPr>
                <w:b/>
                <w:bCs/>
                <w:sz w:val="26"/>
                <w:szCs w:val="26"/>
                <w:rtl/>
              </w:rPr>
            </w:pPr>
            <w:r w:rsidRPr="007B22AC">
              <w:rPr>
                <w:rFonts w:hint="cs"/>
                <w:rtl/>
              </w:rPr>
              <w:t xml:space="preserve"> 22728-05-13</w:t>
            </w:r>
          </w:p>
        </w:tc>
      </w:tr>
    </w:tbl>
    <w:p w14:paraId="7D276F89" w14:textId="77777777" w:rsidR="008F0499" w:rsidRPr="007B22AC" w:rsidRDefault="008F0499">
      <w:pPr>
        <w:spacing w:line="360" w:lineRule="auto"/>
        <w:jc w:val="both"/>
        <w:rPr>
          <w:rFonts w:ascii="Arial" w:hAnsi="Arial"/>
          <w:rtl/>
        </w:rPr>
      </w:pPr>
    </w:p>
    <w:p w14:paraId="6CEEE862" w14:textId="77777777" w:rsidR="008F0499" w:rsidRPr="007B22AC" w:rsidRDefault="008F0499">
      <w:pPr>
        <w:pStyle w:val="12"/>
        <w:spacing w:line="360" w:lineRule="auto"/>
        <w:rPr>
          <w:b w:val="0"/>
          <w:bCs w:val="0"/>
          <w:u w:val="none"/>
          <w:rtl/>
        </w:rPr>
      </w:pPr>
    </w:p>
    <w:tbl>
      <w:tblPr>
        <w:bidiVisual/>
        <w:tblW w:w="8802" w:type="dxa"/>
        <w:tblInd w:w="-28" w:type="dxa"/>
        <w:tblLook w:val="01E0" w:firstRow="1" w:lastRow="1" w:firstColumn="1" w:lastColumn="1" w:noHBand="0" w:noVBand="0"/>
      </w:tblPr>
      <w:tblGrid>
        <w:gridCol w:w="2880"/>
        <w:gridCol w:w="5839"/>
        <w:gridCol w:w="83"/>
      </w:tblGrid>
      <w:tr w:rsidR="008F0499" w:rsidRPr="007B22AC" w14:paraId="0EC605F8" w14:textId="77777777">
        <w:trPr>
          <w:gridAfter w:val="1"/>
          <w:wAfter w:w="55" w:type="dxa"/>
        </w:trPr>
        <w:tc>
          <w:tcPr>
            <w:tcW w:w="8719" w:type="dxa"/>
            <w:gridSpan w:val="2"/>
          </w:tcPr>
          <w:p w14:paraId="2455E885" w14:textId="77777777" w:rsidR="008F0499" w:rsidRPr="007B22AC" w:rsidRDefault="007B22AC">
            <w:pPr>
              <w:spacing w:line="360" w:lineRule="auto"/>
              <w:rPr>
                <w:rFonts w:ascii="Times New Roman" w:eastAsia="Times New Roman" w:hAnsi="Times New Roman"/>
                <w:b/>
                <w:bCs/>
                <w:sz w:val="26"/>
                <w:szCs w:val="26"/>
                <w:rtl/>
              </w:rPr>
            </w:pPr>
            <w:r w:rsidRPr="007B22AC">
              <w:rPr>
                <w:rFonts w:ascii="Times New Roman" w:eastAsia="Times New Roman" w:hAnsi="Times New Roman" w:hint="cs"/>
                <w:b/>
                <w:bCs/>
                <w:sz w:val="26"/>
                <w:szCs w:val="26"/>
                <w:rtl/>
              </w:rPr>
              <w:t>בפני כב' ה</w:t>
            </w:r>
            <w:r w:rsidRPr="007B22AC">
              <w:rPr>
                <w:rFonts w:ascii="Times New Roman" w:eastAsia="Times New Roman" w:hAnsi="Times New Roman" w:hint="cs"/>
                <w:rtl/>
              </w:rPr>
              <w:t>שופט אמיר דורון</w:t>
            </w:r>
            <w:r w:rsidRPr="007B22AC">
              <w:rPr>
                <w:rStyle w:val="TimesNewRomanTimesNewRoman"/>
                <w:rFonts w:eastAsia="Times New Roman"/>
                <w:rtl/>
              </w:rPr>
              <w:t xml:space="preserve"> </w:t>
            </w:r>
          </w:p>
        </w:tc>
      </w:tr>
      <w:tr w:rsidR="008F0499" w:rsidRPr="007B22AC" w14:paraId="34152D2C" w14:textId="77777777">
        <w:tc>
          <w:tcPr>
            <w:tcW w:w="2880" w:type="dxa"/>
          </w:tcPr>
          <w:p w14:paraId="5DDFB1CA" w14:textId="77777777" w:rsidR="008F0499" w:rsidRPr="007B22AC" w:rsidRDefault="007B22AC">
            <w:pPr>
              <w:spacing w:line="360" w:lineRule="auto"/>
              <w:ind w:left="26"/>
              <w:rPr>
                <w:rFonts w:ascii="Times New Roman" w:eastAsia="Times New Roman" w:hAnsi="Times New Roman"/>
                <w:b/>
                <w:bCs/>
                <w:sz w:val="26"/>
                <w:szCs w:val="26"/>
                <w:rtl/>
              </w:rPr>
            </w:pPr>
            <w:bookmarkStart w:id="1" w:name="FirstAppellant"/>
            <w:bookmarkStart w:id="2" w:name="FirstLawyer"/>
            <w:r w:rsidRPr="007B22AC">
              <w:rPr>
                <w:rFonts w:ascii="Times New Roman" w:eastAsia="Times New Roman" w:hAnsi="Times New Roman" w:hint="cs"/>
                <w:b/>
                <w:bCs/>
                <w:sz w:val="26"/>
                <w:szCs w:val="26"/>
                <w:rtl/>
              </w:rPr>
              <w:t>ה</w:t>
            </w:r>
            <w:r w:rsidRPr="007B22AC">
              <w:rPr>
                <w:rFonts w:ascii="Times New Roman" w:eastAsia="Times New Roman" w:hAnsi="Times New Roman" w:hint="cs"/>
                <w:rtl/>
              </w:rPr>
              <w:t>מאשימה</w:t>
            </w:r>
          </w:p>
        </w:tc>
        <w:tc>
          <w:tcPr>
            <w:tcW w:w="5922" w:type="dxa"/>
            <w:gridSpan w:val="2"/>
          </w:tcPr>
          <w:p w14:paraId="69B48326" w14:textId="77777777" w:rsidR="008F0499" w:rsidRPr="007B22AC" w:rsidRDefault="007B22AC">
            <w:pPr>
              <w:spacing w:line="360" w:lineRule="auto"/>
              <w:rPr>
                <w:rFonts w:ascii="Times New Roman" w:eastAsia="Times New Roman" w:hAnsi="Times New Roman"/>
                <w:b/>
                <w:bCs/>
                <w:sz w:val="26"/>
                <w:szCs w:val="26"/>
                <w:rtl/>
              </w:rPr>
            </w:pPr>
            <w:r w:rsidRPr="007B22AC">
              <w:rPr>
                <w:rFonts w:ascii="Times New Roman" w:eastAsia="Times New Roman" w:hAnsi="Times New Roman" w:hint="cs"/>
                <w:rtl/>
              </w:rPr>
              <w:t>מדינת ישראל</w:t>
            </w:r>
          </w:p>
          <w:p w14:paraId="4D1830CE" w14:textId="77777777" w:rsidR="008F0499" w:rsidRPr="007B22AC" w:rsidRDefault="007B22AC">
            <w:pPr>
              <w:spacing w:line="360" w:lineRule="auto"/>
              <w:rPr>
                <w:rFonts w:ascii="Times New Roman" w:eastAsia="Times New Roman" w:hAnsi="Times New Roman"/>
                <w:b/>
                <w:bCs/>
                <w:sz w:val="26"/>
                <w:szCs w:val="26"/>
                <w:rtl/>
              </w:rPr>
            </w:pPr>
            <w:r w:rsidRPr="007B22AC">
              <w:rPr>
                <w:rFonts w:ascii="Times New Roman" w:eastAsia="Times New Roman" w:hAnsi="Times New Roman" w:hint="cs"/>
                <w:b/>
                <w:bCs/>
                <w:sz w:val="26"/>
                <w:szCs w:val="26"/>
                <w:rtl/>
              </w:rPr>
              <w:t>ע"י עוה"ד דוד ג'נבה</w:t>
            </w:r>
          </w:p>
        </w:tc>
      </w:tr>
      <w:bookmarkEnd w:id="1"/>
      <w:bookmarkEnd w:id="2"/>
      <w:tr w:rsidR="008F0499" w:rsidRPr="007B22AC" w14:paraId="4AD7FB25" w14:textId="77777777">
        <w:tc>
          <w:tcPr>
            <w:tcW w:w="8802" w:type="dxa"/>
            <w:gridSpan w:val="3"/>
          </w:tcPr>
          <w:p w14:paraId="2B72BEC3" w14:textId="77777777" w:rsidR="008F0499" w:rsidRPr="007B22AC" w:rsidRDefault="007B22AC">
            <w:pPr>
              <w:spacing w:line="360" w:lineRule="auto"/>
              <w:jc w:val="center"/>
              <w:rPr>
                <w:rFonts w:ascii="Arial" w:eastAsia="Times New Roman" w:hAnsi="Arial"/>
                <w:b/>
                <w:bCs/>
                <w:sz w:val="26"/>
                <w:szCs w:val="26"/>
                <w:rtl/>
              </w:rPr>
            </w:pPr>
            <w:r w:rsidRPr="007B22AC">
              <w:rPr>
                <w:rFonts w:ascii="Arial" w:eastAsia="Times New Roman" w:hAnsi="Arial"/>
                <w:b/>
                <w:bCs/>
                <w:sz w:val="26"/>
                <w:szCs w:val="26"/>
                <w:rtl/>
              </w:rPr>
              <w:t>נגד</w:t>
            </w:r>
          </w:p>
          <w:p w14:paraId="6C0D0725" w14:textId="77777777" w:rsidR="008F0499" w:rsidRPr="007B22AC" w:rsidRDefault="008F0499">
            <w:pPr>
              <w:spacing w:line="360" w:lineRule="auto"/>
              <w:jc w:val="center"/>
              <w:rPr>
                <w:rFonts w:ascii="Arial" w:eastAsia="Times New Roman" w:hAnsi="Arial"/>
                <w:b/>
                <w:bCs/>
                <w:sz w:val="26"/>
                <w:szCs w:val="26"/>
              </w:rPr>
            </w:pPr>
          </w:p>
        </w:tc>
      </w:tr>
      <w:tr w:rsidR="008F0499" w:rsidRPr="007B22AC" w14:paraId="4A666DFC" w14:textId="77777777">
        <w:tc>
          <w:tcPr>
            <w:tcW w:w="2880" w:type="dxa"/>
          </w:tcPr>
          <w:p w14:paraId="5ACA9913" w14:textId="77777777" w:rsidR="008F0499" w:rsidRPr="007B22AC" w:rsidRDefault="007B22AC">
            <w:pPr>
              <w:spacing w:line="360" w:lineRule="auto"/>
              <w:ind w:left="26"/>
              <w:rPr>
                <w:rFonts w:ascii="Times New Roman" w:eastAsia="Times New Roman" w:hAnsi="Times New Roman"/>
                <w:b/>
                <w:bCs/>
                <w:sz w:val="26"/>
                <w:szCs w:val="26"/>
                <w:rtl/>
              </w:rPr>
            </w:pPr>
            <w:r w:rsidRPr="007B22AC">
              <w:rPr>
                <w:rFonts w:ascii="Times New Roman" w:eastAsia="Times New Roman" w:hAnsi="Times New Roman" w:hint="cs"/>
                <w:b/>
                <w:bCs/>
                <w:sz w:val="26"/>
                <w:szCs w:val="26"/>
                <w:rtl/>
              </w:rPr>
              <w:t>ה</w:t>
            </w:r>
            <w:r w:rsidRPr="007B22AC">
              <w:rPr>
                <w:rFonts w:ascii="Times New Roman" w:eastAsia="Times New Roman" w:hAnsi="Times New Roman" w:hint="cs"/>
                <w:rtl/>
              </w:rPr>
              <w:t>נאשם</w:t>
            </w:r>
          </w:p>
        </w:tc>
        <w:tc>
          <w:tcPr>
            <w:tcW w:w="5922" w:type="dxa"/>
            <w:gridSpan w:val="2"/>
          </w:tcPr>
          <w:p w14:paraId="295F578E" w14:textId="77777777" w:rsidR="008F0499" w:rsidRPr="007B22AC" w:rsidRDefault="007B22AC">
            <w:pPr>
              <w:spacing w:line="360" w:lineRule="auto"/>
              <w:rPr>
                <w:rFonts w:ascii="Times New Roman" w:eastAsia="Times New Roman" w:hAnsi="Times New Roman"/>
                <w:b/>
                <w:bCs/>
                <w:sz w:val="26"/>
                <w:szCs w:val="26"/>
                <w:rtl/>
              </w:rPr>
            </w:pPr>
            <w:r w:rsidRPr="007B22AC">
              <w:rPr>
                <w:rFonts w:ascii="Times New Roman" w:eastAsia="Times New Roman" w:hAnsi="Times New Roman" w:hint="cs"/>
                <w:rtl/>
              </w:rPr>
              <w:t>אסמעיל אלאעסם</w:t>
            </w:r>
            <w:r w:rsidRPr="007B22AC">
              <w:rPr>
                <w:rFonts w:ascii="Times New Roman" w:eastAsia="Times New Roman" w:hAnsi="Times New Roman" w:hint="cs"/>
                <w:b/>
                <w:bCs/>
                <w:sz w:val="26"/>
                <w:szCs w:val="26"/>
                <w:rtl/>
              </w:rPr>
              <w:t>- בעצמו</w:t>
            </w:r>
          </w:p>
          <w:p w14:paraId="49AE9A68" w14:textId="77777777" w:rsidR="008F0499" w:rsidRPr="007B22AC" w:rsidRDefault="007B22AC">
            <w:pPr>
              <w:spacing w:line="360" w:lineRule="auto"/>
              <w:rPr>
                <w:rFonts w:ascii="Times New Roman" w:eastAsia="Times New Roman" w:hAnsi="Times New Roman"/>
                <w:b/>
                <w:bCs/>
                <w:sz w:val="26"/>
                <w:szCs w:val="26"/>
                <w:rtl/>
              </w:rPr>
            </w:pPr>
            <w:r w:rsidRPr="007B22AC">
              <w:rPr>
                <w:rFonts w:ascii="Times New Roman" w:eastAsia="Times New Roman" w:hAnsi="Times New Roman" w:hint="cs"/>
                <w:b/>
                <w:bCs/>
                <w:sz w:val="26"/>
                <w:szCs w:val="26"/>
                <w:rtl/>
              </w:rPr>
              <w:t>ע"י עוה"ד סמיר אבו עאבד</w:t>
            </w:r>
          </w:p>
        </w:tc>
      </w:tr>
    </w:tbl>
    <w:p w14:paraId="56962D18" w14:textId="77777777" w:rsidR="0050459C" w:rsidRPr="0050459C" w:rsidRDefault="0050459C" w:rsidP="0050459C">
      <w:pPr>
        <w:pStyle w:val="12"/>
        <w:spacing w:after="120" w:line="240" w:lineRule="exact"/>
        <w:ind w:left="283" w:hanging="283"/>
        <w:jc w:val="both"/>
        <w:rPr>
          <w:rFonts w:ascii="FrankRuehl" w:hAnsi="FrankRuehl" w:cs="FrankRuehl"/>
          <w:b w:val="0"/>
          <w:bCs w:val="0"/>
          <w:u w:val="none"/>
          <w:rtl/>
        </w:rPr>
      </w:pPr>
      <w:bookmarkStart w:id="3" w:name="LawTable"/>
      <w:bookmarkEnd w:id="3"/>
    </w:p>
    <w:p w14:paraId="5A4CD5AC" w14:textId="77777777" w:rsidR="0050459C" w:rsidRPr="0050459C" w:rsidRDefault="0050459C" w:rsidP="0050459C">
      <w:pPr>
        <w:pStyle w:val="12"/>
        <w:spacing w:after="120" w:line="240" w:lineRule="exact"/>
        <w:ind w:left="283" w:hanging="283"/>
        <w:jc w:val="both"/>
        <w:rPr>
          <w:rFonts w:ascii="FrankRuehl" w:hAnsi="FrankRuehl" w:cs="FrankRuehl"/>
          <w:b w:val="0"/>
          <w:bCs w:val="0"/>
          <w:u w:val="none"/>
          <w:rtl/>
        </w:rPr>
      </w:pPr>
      <w:r w:rsidRPr="0050459C">
        <w:rPr>
          <w:rFonts w:ascii="FrankRuehl" w:hAnsi="FrankRuehl" w:cs="FrankRuehl"/>
          <w:b w:val="0"/>
          <w:bCs w:val="0"/>
          <w:u w:val="none"/>
          <w:rtl/>
        </w:rPr>
        <w:t xml:space="preserve">חקיקה שאוזכרה: </w:t>
      </w:r>
    </w:p>
    <w:p w14:paraId="50AE0D29" w14:textId="77777777" w:rsidR="0050459C" w:rsidRPr="0050459C" w:rsidRDefault="0050459C" w:rsidP="0050459C">
      <w:pPr>
        <w:pStyle w:val="12"/>
        <w:spacing w:after="120" w:line="240" w:lineRule="exact"/>
        <w:ind w:left="283" w:hanging="283"/>
        <w:jc w:val="both"/>
        <w:rPr>
          <w:rFonts w:ascii="FrankRuehl" w:hAnsi="FrankRuehl" w:cs="FrankRuehl"/>
          <w:b w:val="0"/>
          <w:bCs w:val="0"/>
          <w:color w:val="0000FF"/>
          <w:rtl/>
        </w:rPr>
      </w:pPr>
      <w:hyperlink r:id="rId7" w:history="1">
        <w:r w:rsidRPr="0050459C">
          <w:rPr>
            <w:rStyle w:val="Hyperlink"/>
            <w:rFonts w:ascii="FrankRuehl" w:eastAsia="David" w:hAnsi="FrankRuehl" w:cs="FrankRuehl"/>
            <w:b w:val="0"/>
            <w:bCs w:val="0"/>
            <w:rtl/>
          </w:rPr>
          <w:t>פקודת הסמים המסוכנים [נוסח חדש], תשל"ג-1973</w:t>
        </w:r>
      </w:hyperlink>
      <w:r w:rsidRPr="0050459C">
        <w:rPr>
          <w:rFonts w:ascii="FrankRuehl" w:hAnsi="FrankRuehl" w:cs="FrankRuehl"/>
          <w:b w:val="0"/>
          <w:bCs w:val="0"/>
          <w:color w:val="0000FF"/>
          <w:rtl/>
        </w:rPr>
        <w:t xml:space="preserve">: סע'  </w:t>
      </w:r>
      <w:hyperlink r:id="rId8" w:history="1">
        <w:r w:rsidRPr="0050459C">
          <w:rPr>
            <w:rStyle w:val="Hyperlink"/>
            <w:rFonts w:ascii="FrankRuehl" w:eastAsia="David" w:hAnsi="FrankRuehl" w:cs="FrankRuehl"/>
            <w:b w:val="0"/>
            <w:bCs w:val="0"/>
          </w:rPr>
          <w:t>7(</w:t>
        </w:r>
        <w:r w:rsidRPr="0050459C">
          <w:rPr>
            <w:rStyle w:val="Hyperlink"/>
            <w:rFonts w:ascii="FrankRuehl" w:eastAsia="David" w:hAnsi="FrankRuehl" w:cs="FrankRuehl"/>
            <w:b w:val="0"/>
            <w:bCs w:val="0"/>
            <w:rtl/>
          </w:rPr>
          <w:t>א</w:t>
        </w:r>
        <w:r w:rsidRPr="0050459C">
          <w:rPr>
            <w:rStyle w:val="Hyperlink"/>
            <w:rFonts w:ascii="FrankRuehl" w:eastAsia="David" w:hAnsi="FrankRuehl" w:cs="FrankRuehl"/>
            <w:b w:val="0"/>
            <w:bCs w:val="0"/>
          </w:rPr>
          <w:t>)</w:t>
        </w:r>
      </w:hyperlink>
      <w:r w:rsidRPr="0050459C">
        <w:rPr>
          <w:rFonts w:ascii="FrankRuehl" w:hAnsi="FrankRuehl" w:cs="FrankRuehl"/>
          <w:b w:val="0"/>
          <w:bCs w:val="0"/>
          <w:color w:val="0000FF"/>
          <w:rtl/>
        </w:rPr>
        <w:t xml:space="preserve">, </w:t>
      </w:r>
      <w:hyperlink r:id="rId9" w:history="1">
        <w:r w:rsidRPr="0050459C">
          <w:rPr>
            <w:rStyle w:val="Hyperlink"/>
            <w:rFonts w:ascii="FrankRuehl" w:eastAsia="David" w:hAnsi="FrankRuehl" w:cs="FrankRuehl"/>
            <w:b w:val="0"/>
            <w:bCs w:val="0"/>
          </w:rPr>
          <w:t>7(</w:t>
        </w:r>
        <w:r w:rsidRPr="0050459C">
          <w:rPr>
            <w:rStyle w:val="Hyperlink"/>
            <w:rFonts w:ascii="FrankRuehl" w:eastAsia="David" w:hAnsi="FrankRuehl" w:cs="FrankRuehl"/>
            <w:b w:val="0"/>
            <w:bCs w:val="0"/>
            <w:rtl/>
          </w:rPr>
          <w:t>ג</w:t>
        </w:r>
        <w:r w:rsidRPr="0050459C">
          <w:rPr>
            <w:rStyle w:val="Hyperlink"/>
            <w:rFonts w:ascii="FrankRuehl" w:eastAsia="David" w:hAnsi="FrankRuehl" w:cs="FrankRuehl"/>
            <w:b w:val="0"/>
            <w:bCs w:val="0"/>
          </w:rPr>
          <w:t>)</w:t>
        </w:r>
      </w:hyperlink>
    </w:p>
    <w:p w14:paraId="403BCA64" w14:textId="77777777" w:rsidR="0050459C" w:rsidRPr="0050459C" w:rsidRDefault="0050459C" w:rsidP="0050459C">
      <w:pPr>
        <w:pStyle w:val="12"/>
        <w:spacing w:after="120" w:line="240" w:lineRule="exact"/>
        <w:ind w:left="283" w:hanging="283"/>
        <w:jc w:val="both"/>
        <w:rPr>
          <w:rFonts w:ascii="FrankRuehl" w:hAnsi="FrankRuehl" w:cs="FrankRuehl"/>
          <w:b w:val="0"/>
          <w:bCs w:val="0"/>
          <w:color w:val="0000FF"/>
          <w:rtl/>
        </w:rPr>
      </w:pPr>
      <w:hyperlink r:id="rId10" w:history="1">
        <w:r w:rsidRPr="0050459C">
          <w:rPr>
            <w:rStyle w:val="Hyperlink"/>
            <w:rFonts w:ascii="FrankRuehl" w:eastAsia="David" w:hAnsi="FrankRuehl" w:cs="FrankRuehl"/>
            <w:b w:val="0"/>
            <w:bCs w:val="0"/>
            <w:rtl/>
          </w:rPr>
          <w:t>חוק העונשין, תשל"ז-1977</w:t>
        </w:r>
      </w:hyperlink>
      <w:r w:rsidRPr="0050459C">
        <w:rPr>
          <w:rFonts w:ascii="FrankRuehl" w:hAnsi="FrankRuehl" w:cs="FrankRuehl"/>
          <w:b w:val="0"/>
          <w:bCs w:val="0"/>
          <w:color w:val="0000FF"/>
          <w:rtl/>
        </w:rPr>
        <w:t xml:space="preserve">: סע'  </w:t>
      </w:r>
      <w:hyperlink r:id="rId11" w:history="1">
        <w:r w:rsidRPr="0050459C">
          <w:rPr>
            <w:rStyle w:val="Hyperlink"/>
            <w:rFonts w:ascii="FrankRuehl" w:eastAsia="David" w:hAnsi="FrankRuehl" w:cs="FrankRuehl"/>
            <w:b w:val="0"/>
            <w:bCs w:val="0"/>
          </w:rPr>
          <w:t>275</w:t>
        </w:r>
      </w:hyperlink>
      <w:r w:rsidRPr="0050459C">
        <w:rPr>
          <w:rFonts w:ascii="FrankRuehl" w:hAnsi="FrankRuehl" w:cs="FrankRuehl"/>
          <w:b w:val="0"/>
          <w:bCs w:val="0"/>
          <w:color w:val="0000FF"/>
          <w:rtl/>
        </w:rPr>
        <w:t xml:space="preserve">, </w:t>
      </w:r>
      <w:hyperlink r:id="rId12" w:history="1">
        <w:r w:rsidRPr="0050459C">
          <w:rPr>
            <w:rStyle w:val="Hyperlink"/>
            <w:rFonts w:ascii="FrankRuehl" w:eastAsia="David" w:hAnsi="FrankRuehl" w:cs="FrankRuehl"/>
            <w:b w:val="0"/>
            <w:bCs w:val="0"/>
          </w:rPr>
          <w:t>40</w:t>
        </w:r>
        <w:r w:rsidRPr="0050459C">
          <w:rPr>
            <w:rStyle w:val="Hyperlink"/>
            <w:rFonts w:ascii="FrankRuehl" w:eastAsia="David" w:hAnsi="FrankRuehl" w:cs="FrankRuehl"/>
            <w:b w:val="0"/>
            <w:bCs w:val="0"/>
            <w:rtl/>
          </w:rPr>
          <w:t>יא</w:t>
        </w:r>
        <w:r w:rsidRPr="0050459C">
          <w:rPr>
            <w:rStyle w:val="Hyperlink"/>
            <w:rFonts w:ascii="FrankRuehl" w:eastAsia="David" w:hAnsi="FrankRuehl" w:cs="FrankRuehl"/>
            <w:b w:val="0"/>
            <w:bCs w:val="0"/>
          </w:rPr>
          <w:t>'</w:t>
        </w:r>
      </w:hyperlink>
      <w:r w:rsidRPr="0050459C">
        <w:rPr>
          <w:rFonts w:ascii="FrankRuehl" w:hAnsi="FrankRuehl" w:cs="FrankRuehl"/>
          <w:b w:val="0"/>
          <w:bCs w:val="0"/>
          <w:color w:val="0000FF"/>
          <w:rtl/>
        </w:rPr>
        <w:t xml:space="preserve">, </w:t>
      </w:r>
      <w:hyperlink r:id="rId13" w:history="1">
        <w:r w:rsidRPr="0050459C">
          <w:rPr>
            <w:rStyle w:val="Hyperlink"/>
            <w:rFonts w:ascii="FrankRuehl" w:eastAsia="David" w:hAnsi="FrankRuehl" w:cs="FrankRuehl"/>
            <w:b w:val="0"/>
            <w:bCs w:val="0"/>
          </w:rPr>
          <w:t>40</w:t>
        </w:r>
        <w:r w:rsidRPr="0050459C">
          <w:rPr>
            <w:rStyle w:val="Hyperlink"/>
            <w:rFonts w:ascii="FrankRuehl" w:eastAsia="David" w:hAnsi="FrankRuehl" w:cs="FrankRuehl"/>
            <w:b w:val="0"/>
            <w:bCs w:val="0"/>
            <w:rtl/>
          </w:rPr>
          <w:t>יא(4</w:t>
        </w:r>
        <w:r w:rsidRPr="0050459C">
          <w:rPr>
            <w:rStyle w:val="Hyperlink"/>
            <w:rFonts w:ascii="FrankRuehl" w:eastAsia="David" w:hAnsi="FrankRuehl" w:cs="FrankRuehl"/>
            <w:b w:val="0"/>
            <w:bCs w:val="0"/>
          </w:rPr>
          <w:t>)</w:t>
        </w:r>
      </w:hyperlink>
    </w:p>
    <w:p w14:paraId="50D038C4" w14:textId="77777777" w:rsidR="0050459C" w:rsidRPr="0050459C" w:rsidRDefault="0050459C" w:rsidP="0050459C">
      <w:pPr>
        <w:pStyle w:val="12"/>
        <w:spacing w:after="120" w:line="240" w:lineRule="exact"/>
        <w:ind w:left="283" w:hanging="283"/>
        <w:jc w:val="both"/>
        <w:rPr>
          <w:rFonts w:ascii="FrankRuehl" w:hAnsi="FrankRuehl" w:cs="FrankRuehl"/>
          <w:b w:val="0"/>
          <w:bCs w:val="0"/>
          <w:u w:val="none"/>
          <w:rtl/>
        </w:rPr>
      </w:pPr>
    </w:p>
    <w:p w14:paraId="5F1E9A42" w14:textId="77777777" w:rsidR="007B22AC" w:rsidRPr="007B22AC" w:rsidRDefault="007B22AC" w:rsidP="007B22AC">
      <w:pPr>
        <w:spacing w:line="360" w:lineRule="auto"/>
        <w:jc w:val="center"/>
        <w:rPr>
          <w:b/>
          <w:bCs/>
          <w:sz w:val="36"/>
          <w:szCs w:val="36"/>
          <w:u w:val="single"/>
          <w:rtl/>
        </w:rPr>
      </w:pPr>
      <w:bookmarkStart w:id="4" w:name="LawTable_End"/>
      <w:bookmarkStart w:id="5" w:name="PsakDin"/>
      <w:bookmarkEnd w:id="0"/>
      <w:bookmarkEnd w:id="4"/>
      <w:r w:rsidRPr="007B22AC">
        <w:rPr>
          <w:b/>
          <w:bCs/>
          <w:sz w:val="36"/>
          <w:szCs w:val="36"/>
          <w:u w:val="single"/>
          <w:rtl/>
        </w:rPr>
        <w:t>גזר דין</w:t>
      </w:r>
    </w:p>
    <w:bookmarkEnd w:id="5"/>
    <w:p w14:paraId="3410B4C3" w14:textId="77777777" w:rsidR="008F0499" w:rsidRDefault="007B22AC">
      <w:pPr>
        <w:spacing w:line="360" w:lineRule="auto"/>
        <w:jc w:val="both"/>
        <w:rPr>
          <w:b/>
          <w:bCs/>
          <w:u w:val="single"/>
          <w:rtl/>
        </w:rPr>
      </w:pPr>
      <w:r>
        <w:rPr>
          <w:rFonts w:hint="cs"/>
          <w:b/>
          <w:bCs/>
          <w:u w:val="single"/>
          <w:rtl/>
        </w:rPr>
        <w:t>רקע</w:t>
      </w:r>
    </w:p>
    <w:p w14:paraId="7FF36E0F" w14:textId="77777777" w:rsidR="008F0499" w:rsidRDefault="007B22AC">
      <w:pPr>
        <w:pStyle w:val="ListParagraph"/>
        <w:numPr>
          <w:ilvl w:val="0"/>
          <w:numId w:val="1"/>
        </w:numPr>
        <w:spacing w:line="360" w:lineRule="auto"/>
        <w:jc w:val="both"/>
        <w:rPr>
          <w:rFonts w:cs="David"/>
          <w:sz w:val="24"/>
          <w:szCs w:val="24"/>
          <w:rtl/>
        </w:rPr>
      </w:pPr>
      <w:bookmarkStart w:id="6" w:name="ABSTRACT_START"/>
      <w:bookmarkEnd w:id="6"/>
      <w:r>
        <w:rPr>
          <w:rFonts w:cs="David" w:hint="cs"/>
          <w:sz w:val="24"/>
          <w:szCs w:val="24"/>
          <w:rtl/>
        </w:rPr>
        <w:t xml:space="preserve">הנאשם לאחר הודייתו, בעובדות כתב אישום מתוקן מיום 9.10.13, הורשע בביצוע עבירות של החזקת סם מסוכן שלא לצריכה עצמית, והפרעה לשוטר במילוי תפקידו, עבירות על </w:t>
      </w:r>
      <w:hyperlink r:id="rId14" w:history="1">
        <w:r w:rsidR="00BB77CD" w:rsidRPr="00BB77CD">
          <w:rPr>
            <w:rStyle w:val="Hyperlink"/>
            <w:rFonts w:cs="David" w:hint="cs"/>
            <w:sz w:val="24"/>
            <w:szCs w:val="24"/>
            <w:rtl/>
          </w:rPr>
          <w:t>סעיפים</w:t>
        </w:r>
        <w:r w:rsidR="00BB77CD" w:rsidRPr="00BB77CD">
          <w:rPr>
            <w:rStyle w:val="Hyperlink"/>
            <w:rFonts w:cs="David"/>
            <w:sz w:val="24"/>
            <w:szCs w:val="24"/>
            <w:rtl/>
          </w:rPr>
          <w:t xml:space="preserve"> 7(</w:t>
        </w:r>
        <w:r w:rsidR="00BB77CD" w:rsidRPr="00BB77CD">
          <w:rPr>
            <w:rStyle w:val="Hyperlink"/>
            <w:rFonts w:cs="David" w:hint="cs"/>
            <w:sz w:val="24"/>
            <w:szCs w:val="24"/>
            <w:rtl/>
          </w:rPr>
          <w:t>א</w:t>
        </w:r>
        <w:r w:rsidR="00BB77CD" w:rsidRPr="00BB77CD">
          <w:rPr>
            <w:rStyle w:val="Hyperlink"/>
            <w:rFonts w:cs="David"/>
            <w:sz w:val="24"/>
            <w:szCs w:val="24"/>
            <w:rtl/>
          </w:rPr>
          <w:t>)</w:t>
        </w:r>
      </w:hyperlink>
      <w:r>
        <w:rPr>
          <w:rFonts w:cs="David" w:hint="cs"/>
          <w:sz w:val="24"/>
          <w:szCs w:val="24"/>
          <w:rtl/>
        </w:rPr>
        <w:t xml:space="preserve"> ביחד עם </w:t>
      </w:r>
      <w:hyperlink r:id="rId15" w:history="1">
        <w:r w:rsidR="00BB77CD" w:rsidRPr="00BB77CD">
          <w:rPr>
            <w:rStyle w:val="Hyperlink"/>
            <w:rFonts w:cs="David"/>
            <w:sz w:val="24"/>
            <w:szCs w:val="24"/>
            <w:rtl/>
          </w:rPr>
          <w:t>7(</w:t>
        </w:r>
        <w:r w:rsidR="00BB77CD" w:rsidRPr="00BB77CD">
          <w:rPr>
            <w:rStyle w:val="Hyperlink"/>
            <w:rFonts w:cs="David" w:hint="cs"/>
            <w:sz w:val="24"/>
            <w:szCs w:val="24"/>
            <w:rtl/>
          </w:rPr>
          <w:t>ג</w:t>
        </w:r>
        <w:r w:rsidR="00BB77CD" w:rsidRPr="00BB77CD">
          <w:rPr>
            <w:rStyle w:val="Hyperlink"/>
            <w:rFonts w:cs="David"/>
            <w:sz w:val="24"/>
            <w:szCs w:val="24"/>
            <w:rtl/>
          </w:rPr>
          <w:t>)</w:t>
        </w:r>
      </w:hyperlink>
      <w:r>
        <w:rPr>
          <w:rFonts w:cs="David" w:hint="cs"/>
          <w:sz w:val="24"/>
          <w:szCs w:val="24"/>
          <w:rtl/>
        </w:rPr>
        <w:t xml:space="preserve"> רישא ב</w:t>
      </w:r>
      <w:hyperlink r:id="rId16" w:history="1">
        <w:r w:rsidRPr="007B22AC">
          <w:rPr>
            <w:rFonts w:cs="David" w:hint="cs"/>
            <w:color w:val="0000FF"/>
            <w:sz w:val="24"/>
            <w:szCs w:val="24"/>
            <w:u w:val="single"/>
            <w:rtl/>
          </w:rPr>
          <w:t>פקודת</w:t>
        </w:r>
        <w:r w:rsidRPr="007B22AC">
          <w:rPr>
            <w:rFonts w:cs="David"/>
            <w:color w:val="0000FF"/>
            <w:sz w:val="24"/>
            <w:szCs w:val="24"/>
            <w:u w:val="single"/>
            <w:rtl/>
          </w:rPr>
          <w:t xml:space="preserve"> </w:t>
        </w:r>
        <w:r w:rsidRPr="007B22AC">
          <w:rPr>
            <w:rFonts w:cs="David" w:hint="cs"/>
            <w:color w:val="0000FF"/>
            <w:sz w:val="24"/>
            <w:szCs w:val="24"/>
            <w:u w:val="single"/>
            <w:rtl/>
          </w:rPr>
          <w:t>הסמים</w:t>
        </w:r>
        <w:r w:rsidRPr="007B22AC">
          <w:rPr>
            <w:rFonts w:cs="David"/>
            <w:color w:val="0000FF"/>
            <w:sz w:val="24"/>
            <w:szCs w:val="24"/>
            <w:u w:val="single"/>
            <w:rtl/>
          </w:rPr>
          <w:t xml:space="preserve"> </w:t>
        </w:r>
        <w:r w:rsidRPr="007B22AC">
          <w:rPr>
            <w:rFonts w:cs="David" w:hint="cs"/>
            <w:color w:val="0000FF"/>
            <w:sz w:val="24"/>
            <w:szCs w:val="24"/>
            <w:u w:val="single"/>
            <w:rtl/>
          </w:rPr>
          <w:t>המסוכנים</w:t>
        </w:r>
      </w:hyperlink>
      <w:r>
        <w:rPr>
          <w:rFonts w:cs="David" w:hint="cs"/>
          <w:sz w:val="24"/>
          <w:szCs w:val="24"/>
          <w:rtl/>
        </w:rPr>
        <w:t xml:space="preserve"> (נוסח חדש) תשל"ג - 1973 ועבירה על </w:t>
      </w:r>
      <w:hyperlink r:id="rId17" w:history="1">
        <w:r w:rsidR="00BB77CD" w:rsidRPr="00BB77CD">
          <w:rPr>
            <w:rStyle w:val="Hyperlink"/>
            <w:rFonts w:cs="David" w:hint="cs"/>
            <w:sz w:val="24"/>
            <w:szCs w:val="24"/>
            <w:rtl/>
          </w:rPr>
          <w:t>סעיף</w:t>
        </w:r>
        <w:r w:rsidR="00BB77CD" w:rsidRPr="00BB77CD">
          <w:rPr>
            <w:rStyle w:val="Hyperlink"/>
            <w:rFonts w:cs="David"/>
            <w:sz w:val="24"/>
            <w:szCs w:val="24"/>
            <w:rtl/>
          </w:rPr>
          <w:t xml:space="preserve"> 275</w:t>
        </w:r>
      </w:hyperlink>
      <w:r>
        <w:rPr>
          <w:rFonts w:cs="David" w:hint="cs"/>
          <w:sz w:val="24"/>
          <w:szCs w:val="24"/>
          <w:rtl/>
        </w:rPr>
        <w:t xml:space="preserve"> ב</w:t>
      </w:r>
      <w:hyperlink r:id="rId18" w:history="1">
        <w:r w:rsidRPr="007B22AC">
          <w:rPr>
            <w:rFonts w:cs="David" w:hint="cs"/>
            <w:color w:val="0000FF"/>
            <w:sz w:val="24"/>
            <w:szCs w:val="24"/>
            <w:u w:val="single"/>
            <w:rtl/>
          </w:rPr>
          <w:t>חוק</w:t>
        </w:r>
        <w:r w:rsidRPr="007B22AC">
          <w:rPr>
            <w:rFonts w:cs="David"/>
            <w:color w:val="0000FF"/>
            <w:sz w:val="24"/>
            <w:szCs w:val="24"/>
            <w:u w:val="single"/>
            <w:rtl/>
          </w:rPr>
          <w:t xml:space="preserve"> </w:t>
        </w:r>
        <w:r w:rsidRPr="007B22AC">
          <w:rPr>
            <w:rFonts w:cs="David" w:hint="cs"/>
            <w:color w:val="0000FF"/>
            <w:sz w:val="24"/>
            <w:szCs w:val="24"/>
            <w:u w:val="single"/>
            <w:rtl/>
          </w:rPr>
          <w:t>העונשין</w:t>
        </w:r>
      </w:hyperlink>
      <w:r>
        <w:rPr>
          <w:rFonts w:cs="David" w:hint="cs"/>
          <w:sz w:val="24"/>
          <w:szCs w:val="24"/>
          <w:rtl/>
        </w:rPr>
        <w:t>, התשל"ז - 1977.</w:t>
      </w:r>
    </w:p>
    <w:p w14:paraId="38D231C2" w14:textId="77777777" w:rsidR="008F0499" w:rsidRDefault="008F0499">
      <w:pPr>
        <w:pStyle w:val="ListParagraph"/>
        <w:spacing w:line="360" w:lineRule="auto"/>
        <w:jc w:val="both"/>
        <w:rPr>
          <w:rFonts w:cs="David"/>
          <w:sz w:val="24"/>
          <w:szCs w:val="24"/>
        </w:rPr>
      </w:pPr>
      <w:bookmarkStart w:id="7" w:name="ABSTRACT_END"/>
      <w:bookmarkEnd w:id="7"/>
    </w:p>
    <w:p w14:paraId="72CBA023" w14:textId="77777777" w:rsidR="008F0499" w:rsidRDefault="007B22AC">
      <w:pPr>
        <w:pStyle w:val="ListParagraph"/>
        <w:numPr>
          <w:ilvl w:val="0"/>
          <w:numId w:val="1"/>
        </w:numPr>
        <w:spacing w:line="360" w:lineRule="auto"/>
        <w:ind w:hanging="352"/>
        <w:jc w:val="both"/>
        <w:rPr>
          <w:rFonts w:cs="David"/>
          <w:sz w:val="24"/>
          <w:szCs w:val="24"/>
        </w:rPr>
      </w:pPr>
      <w:r>
        <w:rPr>
          <w:rFonts w:cs="David" w:hint="cs"/>
          <w:sz w:val="24"/>
          <w:szCs w:val="24"/>
          <w:rtl/>
        </w:rPr>
        <w:t xml:space="preserve">על פי המתואר בכתב האישום המתוקן, ביום 7.5.13, בתל שבע, פנו שוטרים לרכב בו שהה הנאשם. משהבחין בהם הנאשם, יצא במהירות מהרכב ונתפס על ידי אחד השוטרים. באותן נסיבות, ובעודו עומד ליד השוטר שעיכבו, השליך הנאשם מידו סם מסוכן מסוג קוקאין במשקל של </w:t>
      </w:r>
      <w:smartTag w:uri="urn:schemas-microsoft-com:office:smarttags" w:element="metricconverter">
        <w:smartTagPr>
          <w:attr w:name="ProductID" w:val="4.4679 גרם"/>
        </w:smartTagPr>
        <w:r>
          <w:rPr>
            <w:rFonts w:cs="David" w:hint="cs"/>
            <w:sz w:val="24"/>
            <w:szCs w:val="24"/>
            <w:rtl/>
          </w:rPr>
          <w:t>4.4679 גרם</w:t>
        </w:r>
      </w:smartTag>
      <w:r>
        <w:rPr>
          <w:rFonts w:cs="David" w:hint="cs"/>
          <w:sz w:val="24"/>
          <w:szCs w:val="24"/>
          <w:rtl/>
        </w:rPr>
        <w:t xml:space="preserve"> אל עבר הבית הסמוך.  </w:t>
      </w:r>
    </w:p>
    <w:p w14:paraId="08CB558E" w14:textId="77777777" w:rsidR="008F0499" w:rsidRDefault="007B22AC">
      <w:pPr>
        <w:spacing w:line="360" w:lineRule="auto"/>
        <w:ind w:firstLine="360"/>
        <w:jc w:val="both"/>
        <w:rPr>
          <w:b/>
          <w:bCs/>
          <w:u w:val="single"/>
        </w:rPr>
      </w:pPr>
      <w:r>
        <w:rPr>
          <w:rFonts w:hint="cs"/>
          <w:b/>
          <w:bCs/>
          <w:u w:val="single"/>
          <w:rtl/>
        </w:rPr>
        <w:t>טיעוני הצדדים:</w:t>
      </w:r>
    </w:p>
    <w:p w14:paraId="7B9DDF5B" w14:textId="77777777" w:rsidR="008F0499" w:rsidRDefault="007B22AC">
      <w:pPr>
        <w:spacing w:line="360" w:lineRule="auto"/>
        <w:ind w:firstLine="360"/>
        <w:jc w:val="both"/>
        <w:rPr>
          <w:b/>
          <w:bCs/>
          <w:u w:val="single"/>
          <w:rtl/>
        </w:rPr>
      </w:pPr>
      <w:r>
        <w:rPr>
          <w:rFonts w:hint="cs"/>
          <w:b/>
          <w:bCs/>
          <w:u w:val="single"/>
          <w:rtl/>
        </w:rPr>
        <w:t>תסקירי שירות המבחן</w:t>
      </w:r>
    </w:p>
    <w:p w14:paraId="728E9DCB" w14:textId="77777777" w:rsidR="008F0499" w:rsidRDefault="007B22AC">
      <w:pPr>
        <w:pStyle w:val="ListParagraph"/>
        <w:numPr>
          <w:ilvl w:val="0"/>
          <w:numId w:val="1"/>
        </w:numPr>
        <w:spacing w:line="360" w:lineRule="auto"/>
        <w:jc w:val="both"/>
        <w:rPr>
          <w:rFonts w:cs="David"/>
          <w:sz w:val="24"/>
          <w:szCs w:val="24"/>
          <w:rtl/>
        </w:rPr>
      </w:pPr>
      <w:r>
        <w:rPr>
          <w:rFonts w:cs="David" w:hint="cs"/>
          <w:sz w:val="24"/>
          <w:szCs w:val="24"/>
          <w:rtl/>
        </w:rPr>
        <w:lastRenderedPageBreak/>
        <w:t xml:space="preserve">בעניין הנאשם הוגש תסקיר ביום 24.2.2014. שירות המבחן סקר אורחות חיי הנאשם ואת העובדה כי נהג להשתמש בעבר בסמים עובר למעצרו זאת בנסיבות חברתיות. שירות המבחן קבע, כי בבדיקות השתן שנערכו לנאשם לא נמצאו שרידי סם. </w:t>
      </w:r>
    </w:p>
    <w:p w14:paraId="644858C6" w14:textId="77777777" w:rsidR="008F0499" w:rsidRDefault="007B22AC">
      <w:pPr>
        <w:spacing w:line="360" w:lineRule="auto"/>
        <w:ind w:left="720"/>
        <w:jc w:val="both"/>
      </w:pPr>
      <w:r>
        <w:rPr>
          <w:rFonts w:hint="cs"/>
          <w:rtl/>
        </w:rPr>
        <w:t xml:space="preserve">באשר לנסיבות ביצוע העבירה, הנאשם לקח אחריות בפני שירות המבחן על חלקו בביצוע העבירה וייחס זאת לקשר שלו עם חברה שולית אשר סיפקה לו ולחבריו סמים מסוגים שונים. הנאשם טען בפני שירות המבחן כי בעוד שהחזיק סמים מסוג חשיש לשימוש עצמי, הרי שסמים מסוג קוקאין שהוחזקו על ידו נועדו לחבריו. </w:t>
      </w:r>
    </w:p>
    <w:p w14:paraId="468290A7" w14:textId="77777777" w:rsidR="008F0499" w:rsidRDefault="007B22AC">
      <w:pPr>
        <w:spacing w:line="360" w:lineRule="auto"/>
        <w:ind w:left="720"/>
        <w:jc w:val="both"/>
        <w:rPr>
          <w:rtl/>
        </w:rPr>
      </w:pPr>
      <w:r>
        <w:rPr>
          <w:rFonts w:hint="cs"/>
          <w:rtl/>
        </w:rPr>
        <w:t xml:space="preserve">מבלי להיכנס יתר על המידה למפורט בתסקיר והרי זה ממילא מצוי בפני ביהמ"ש ובפני הצדדים אציין, כי  הגם ששירות המבחן התרשם שהנאשם התקשה להפעיל שיקול דעת ולהבין את חומרת מעשיו ונפקותם, הרי שנוכח העובדה שהצטרף ושולב בקבוצה טיפולית החל מחודש אוקטובר 2013, יש מקום להתחשב בהליך טיפולי זה בעת גזירת דינו. </w:t>
      </w:r>
    </w:p>
    <w:p w14:paraId="19F41FA7" w14:textId="77777777" w:rsidR="008F0499" w:rsidRDefault="007B22AC">
      <w:pPr>
        <w:spacing w:line="360" w:lineRule="auto"/>
        <w:ind w:left="720"/>
        <w:jc w:val="both"/>
        <w:rPr>
          <w:rtl/>
        </w:rPr>
      </w:pPr>
      <w:r>
        <w:rPr>
          <w:rFonts w:hint="cs"/>
          <w:rtl/>
        </w:rPr>
        <w:t>שירות המבחן המליץ שלא להטיל על הנאשם עונש של מאסר בפועל או מאסר בעבודות שירות שכן ענישה זו עלולה לפגוע בתפקודו המשפחתי והתעסוקתי, כמו גם בהליך הטיפולי שהחל.</w:t>
      </w:r>
    </w:p>
    <w:p w14:paraId="456EF9FF" w14:textId="77777777" w:rsidR="008F0499" w:rsidRDefault="007B22AC">
      <w:pPr>
        <w:spacing w:line="360" w:lineRule="auto"/>
        <w:ind w:left="720"/>
        <w:jc w:val="both"/>
        <w:rPr>
          <w:rtl/>
        </w:rPr>
      </w:pPr>
      <w:r>
        <w:rPr>
          <w:rFonts w:hint="cs"/>
          <w:rtl/>
        </w:rPr>
        <w:t>עם זאת שירות המבחן המליץ להעמיד הנאשם בפיקוח צו מבחן בפיקוח של שנה, הטלת 150 שעות של"צ ומאסר מותנה ממושך.</w:t>
      </w:r>
    </w:p>
    <w:p w14:paraId="4D798B8B" w14:textId="77777777" w:rsidR="008F0499" w:rsidRDefault="008F0499">
      <w:pPr>
        <w:spacing w:line="360" w:lineRule="auto"/>
        <w:ind w:left="720"/>
        <w:jc w:val="both"/>
        <w:rPr>
          <w:rtl/>
        </w:rPr>
      </w:pPr>
    </w:p>
    <w:p w14:paraId="4AEB4084" w14:textId="77777777" w:rsidR="008F0499" w:rsidRDefault="007B22AC">
      <w:pPr>
        <w:pStyle w:val="ListParagraph"/>
        <w:numPr>
          <w:ilvl w:val="0"/>
          <w:numId w:val="1"/>
        </w:numPr>
        <w:spacing w:line="360" w:lineRule="auto"/>
        <w:jc w:val="both"/>
        <w:rPr>
          <w:rFonts w:cs="David"/>
          <w:sz w:val="24"/>
          <w:szCs w:val="24"/>
          <w:rtl/>
        </w:rPr>
      </w:pPr>
      <w:r>
        <w:rPr>
          <w:rFonts w:cs="David" w:hint="cs"/>
          <w:b/>
          <w:bCs/>
          <w:sz w:val="24"/>
          <w:szCs w:val="24"/>
          <w:rtl/>
        </w:rPr>
        <w:t>ב"כ המאשימה</w:t>
      </w:r>
      <w:r>
        <w:rPr>
          <w:rFonts w:cs="David" w:hint="cs"/>
          <w:sz w:val="24"/>
          <w:szCs w:val="24"/>
          <w:rtl/>
        </w:rPr>
        <w:t>, ציינה כי מעשי הנאשם פגעו בערך של שמירה על בטחון הציבור ואף אין להקל ראש בעבירה של הפרעה לשוטר, עת מהווה היא פגיעה באכיפת החוק.</w:t>
      </w:r>
    </w:p>
    <w:p w14:paraId="3E16ECCF" w14:textId="77777777" w:rsidR="008F0499" w:rsidRDefault="007B22AC">
      <w:pPr>
        <w:spacing w:line="360" w:lineRule="auto"/>
        <w:ind w:left="720"/>
        <w:jc w:val="both"/>
      </w:pPr>
      <w:r>
        <w:rPr>
          <w:rFonts w:hint="cs"/>
          <w:rtl/>
        </w:rPr>
        <w:t>מעשי הנאשם חמורים שכן מהווים הם חלק בשרשרת הפצת הסם. הפנתה ל</w:t>
      </w:r>
      <w:hyperlink r:id="rId19" w:history="1">
        <w:r w:rsidRPr="007B22AC">
          <w:rPr>
            <w:color w:val="0000FF"/>
            <w:u w:val="single"/>
            <w:rtl/>
          </w:rPr>
          <w:t>רע"פ 7114/06</w:t>
        </w:r>
      </w:hyperlink>
      <w:r>
        <w:rPr>
          <w:rFonts w:hint="cs"/>
          <w:rtl/>
        </w:rPr>
        <w:t xml:space="preserve"> בו נקבע כי בעבירות של סמים אין מקום להתחשב בנסיבות האישיות ובמידת הרחמים. בהתחשב בנסיבות העבירה כמות הסם וסוגו, עתרה למתחם ענישה הנע בין ששה חודשי מאסר ברף התחתון ועד 12 חודשי מאסר ברף העליון. </w:t>
      </w:r>
    </w:p>
    <w:p w14:paraId="10878769" w14:textId="77777777" w:rsidR="008F0499" w:rsidRDefault="007B22AC">
      <w:pPr>
        <w:spacing w:line="360" w:lineRule="auto"/>
        <w:ind w:left="720"/>
        <w:jc w:val="both"/>
        <w:rPr>
          <w:rtl/>
        </w:rPr>
      </w:pPr>
      <w:r>
        <w:rPr>
          <w:rFonts w:hint="cs"/>
          <w:rtl/>
        </w:rPr>
        <w:t>לתמיכה בעמדתה זו הפנתה ל</w:t>
      </w:r>
      <w:hyperlink r:id="rId20" w:history="1">
        <w:r w:rsidRPr="007B22AC">
          <w:rPr>
            <w:color w:val="0000FF"/>
            <w:u w:val="single"/>
            <w:rtl/>
          </w:rPr>
          <w:t>ת"פ 2365-03-11</w:t>
        </w:r>
      </w:hyperlink>
      <w:r>
        <w:rPr>
          <w:rFonts w:hint="cs"/>
          <w:rtl/>
        </w:rPr>
        <w:t xml:space="preserve"> ׁ(שלום באר שבע) שם נקבע מתחם ענישה זהה בגין עבירה של החזקה שלא לשימוש עצמי של קוקאין במשקל </w:t>
      </w:r>
      <w:smartTag w:uri="urn:schemas-microsoft-com:office:smarttags" w:element="metricconverter">
        <w:smartTagPr>
          <w:attr w:name="ProductID" w:val="4.75 גרם"/>
        </w:smartTagPr>
        <w:r>
          <w:rPr>
            <w:rFonts w:hint="cs"/>
            <w:rtl/>
          </w:rPr>
          <w:t>4.75 גרם</w:t>
        </w:r>
      </w:smartTag>
      <w:r>
        <w:rPr>
          <w:rFonts w:hint="cs"/>
          <w:rtl/>
        </w:rPr>
        <w:t xml:space="preserve">. </w:t>
      </w:r>
    </w:p>
    <w:p w14:paraId="3A628230" w14:textId="77777777" w:rsidR="008F0499" w:rsidRDefault="007B22AC">
      <w:pPr>
        <w:spacing w:line="360" w:lineRule="auto"/>
        <w:ind w:left="720"/>
        <w:jc w:val="both"/>
        <w:rPr>
          <w:rtl/>
        </w:rPr>
      </w:pPr>
      <w:r>
        <w:rPr>
          <w:rFonts w:hint="cs"/>
          <w:rtl/>
        </w:rPr>
        <w:t>עוד טענה כי הנאשם לא לקח אחריות על מעשיו אך למרות זאת המליץ שירות המבחן להקל בעניינו של הנאשם. בסיכומם של דברים עתרה להשתת מאסר בפועל בתחום המתחם, מאסר על תנאי, קנס ופסילה בפועל.</w:t>
      </w:r>
    </w:p>
    <w:p w14:paraId="70294A5E" w14:textId="77777777" w:rsidR="008F0499" w:rsidRDefault="008F0499">
      <w:pPr>
        <w:spacing w:line="360" w:lineRule="auto"/>
        <w:ind w:left="720"/>
        <w:jc w:val="both"/>
        <w:rPr>
          <w:rtl/>
        </w:rPr>
      </w:pPr>
    </w:p>
    <w:p w14:paraId="7B16FDAB" w14:textId="77777777" w:rsidR="008F0499" w:rsidRDefault="007B22AC">
      <w:pPr>
        <w:pStyle w:val="ListParagraph"/>
        <w:numPr>
          <w:ilvl w:val="0"/>
          <w:numId w:val="1"/>
        </w:numPr>
        <w:spacing w:line="360" w:lineRule="auto"/>
        <w:jc w:val="both"/>
        <w:rPr>
          <w:rFonts w:cs="David"/>
          <w:sz w:val="24"/>
          <w:szCs w:val="24"/>
          <w:rtl/>
        </w:rPr>
      </w:pPr>
      <w:r>
        <w:rPr>
          <w:rFonts w:cs="David" w:hint="cs"/>
          <w:b/>
          <w:bCs/>
          <w:sz w:val="24"/>
          <w:szCs w:val="24"/>
          <w:rtl/>
        </w:rPr>
        <w:t>ב"כ הנאשם</w:t>
      </w:r>
      <w:r>
        <w:rPr>
          <w:rFonts w:cs="David" w:hint="cs"/>
          <w:sz w:val="24"/>
          <w:szCs w:val="24"/>
          <w:rtl/>
        </w:rPr>
        <w:t>, אבחן האמור ב</w:t>
      </w:r>
      <w:hyperlink r:id="rId21" w:history="1">
        <w:r w:rsidRPr="007B22AC">
          <w:rPr>
            <w:rFonts w:cs="David" w:hint="cs"/>
            <w:color w:val="0000FF"/>
            <w:sz w:val="24"/>
            <w:szCs w:val="24"/>
            <w:u w:val="single"/>
            <w:rtl/>
          </w:rPr>
          <w:t>ת</w:t>
        </w:r>
        <w:r w:rsidRPr="007B22AC">
          <w:rPr>
            <w:rFonts w:cs="David"/>
            <w:color w:val="0000FF"/>
            <w:sz w:val="24"/>
            <w:szCs w:val="24"/>
            <w:u w:val="single"/>
            <w:rtl/>
          </w:rPr>
          <w:t>"</w:t>
        </w:r>
        <w:r w:rsidRPr="007B22AC">
          <w:rPr>
            <w:rFonts w:cs="David" w:hint="cs"/>
            <w:color w:val="0000FF"/>
            <w:sz w:val="24"/>
            <w:szCs w:val="24"/>
            <w:u w:val="single"/>
            <w:rtl/>
          </w:rPr>
          <w:t>פ</w:t>
        </w:r>
        <w:r w:rsidRPr="007B22AC">
          <w:rPr>
            <w:rFonts w:cs="David"/>
            <w:color w:val="0000FF"/>
            <w:sz w:val="24"/>
            <w:szCs w:val="24"/>
            <w:u w:val="single"/>
            <w:rtl/>
          </w:rPr>
          <w:t xml:space="preserve"> 2365-03-11</w:t>
        </w:r>
      </w:hyperlink>
      <w:r>
        <w:rPr>
          <w:rFonts w:cs="David" w:hint="cs"/>
          <w:sz w:val="24"/>
          <w:szCs w:val="24"/>
          <w:rtl/>
        </w:rPr>
        <w:t xml:space="preserve"> עת ציין, כי שם דובר באדם שלא שיתף פעולה עם שירות המבחן ולא השתלב בהליך הטיפולי בעניינו, היה עצור עד תום ההליכים נגדו וביצע העבירות בעודו מרצה מאסר בדרך של עבודות שירות.</w:t>
      </w:r>
    </w:p>
    <w:p w14:paraId="3C0E7D56" w14:textId="77777777" w:rsidR="008F0499" w:rsidRDefault="007B22AC">
      <w:pPr>
        <w:spacing w:line="360" w:lineRule="auto"/>
        <w:ind w:left="720"/>
        <w:jc w:val="both"/>
      </w:pPr>
      <w:r>
        <w:rPr>
          <w:rFonts w:hint="cs"/>
          <w:rtl/>
        </w:rPr>
        <w:t xml:space="preserve">טען כי, לא הוצגה על ידי ב"כ המאשימה פסיקה אחת של ביהמ"ש המחוזי המחזקת את עמדתה. </w:t>
      </w:r>
    </w:p>
    <w:p w14:paraId="12EB1B98" w14:textId="77777777" w:rsidR="008F0499" w:rsidRDefault="007B22AC">
      <w:pPr>
        <w:spacing w:line="360" w:lineRule="auto"/>
        <w:ind w:left="720"/>
        <w:jc w:val="both"/>
        <w:rPr>
          <w:rtl/>
        </w:rPr>
      </w:pPr>
      <w:r>
        <w:rPr>
          <w:rFonts w:hint="cs"/>
          <w:rtl/>
        </w:rPr>
        <w:lastRenderedPageBreak/>
        <w:t xml:space="preserve">מנגד, גם ב"כ הנאשם לא הגיש כל פסיקה שהיא מטעמו אשר למתחם הענישה הראוי בתיק זה. </w:t>
      </w:r>
    </w:p>
    <w:p w14:paraId="608E5768" w14:textId="77777777" w:rsidR="008F0499" w:rsidRDefault="007B22AC">
      <w:pPr>
        <w:spacing w:line="360" w:lineRule="auto"/>
        <w:ind w:left="720"/>
        <w:jc w:val="both"/>
        <w:rPr>
          <w:rtl/>
        </w:rPr>
      </w:pPr>
      <w:r>
        <w:rPr>
          <w:rFonts w:hint="cs"/>
          <w:rtl/>
        </w:rPr>
        <w:t xml:space="preserve">לדידו, נוהגת המאשימה לאמץ את המלצות שירות המבחן כאשר שליליות הן ונמנעת מלעשות כן כאשר ישנן המלצות חיוביות. </w:t>
      </w:r>
    </w:p>
    <w:p w14:paraId="4FBC0BAB" w14:textId="77777777" w:rsidR="008F0499" w:rsidRDefault="007B22AC">
      <w:pPr>
        <w:spacing w:line="360" w:lineRule="auto"/>
        <w:ind w:left="720"/>
        <w:jc w:val="both"/>
        <w:rPr>
          <w:rtl/>
        </w:rPr>
      </w:pPr>
      <w:r>
        <w:rPr>
          <w:rFonts w:hint="cs"/>
          <w:rtl/>
        </w:rPr>
        <w:t xml:space="preserve">מדובר בנאשם בן 25 נשוי ואב לילדים קטנים שמאז מעצרו בתיק זה השתלב בקבוצה טיפולית והדבר נושא את אותותיו. לראיה, הנאשם שהצהיר כי השתמש בסמים בעברו, נמצא נקי בבדיקות הסם שבוצעו לו על ידי שירות המבחן. הנאשם נמצא כיום ברצף תעסוקתי, לקח אחריות ותאר את נסיבות ביצוע העבירות נשוא כתב האישום באופן כזה שאיפשר הליך טיפולי. </w:t>
      </w:r>
    </w:p>
    <w:p w14:paraId="7C18859F" w14:textId="77777777" w:rsidR="008F0499" w:rsidRDefault="007B22AC">
      <w:pPr>
        <w:spacing w:line="360" w:lineRule="auto"/>
        <w:ind w:left="720"/>
        <w:jc w:val="both"/>
        <w:rPr>
          <w:rtl/>
        </w:rPr>
      </w:pPr>
      <w:r>
        <w:rPr>
          <w:rFonts w:hint="cs"/>
          <w:rtl/>
        </w:rPr>
        <w:t>ביקש לאמץ המלצות שירות המבחן.</w:t>
      </w:r>
    </w:p>
    <w:p w14:paraId="53CB112F" w14:textId="77777777" w:rsidR="008F0499" w:rsidRDefault="008F0499">
      <w:pPr>
        <w:spacing w:line="360" w:lineRule="auto"/>
        <w:ind w:left="720"/>
        <w:jc w:val="both"/>
        <w:rPr>
          <w:rtl/>
        </w:rPr>
      </w:pPr>
    </w:p>
    <w:p w14:paraId="305F0B9F" w14:textId="77777777" w:rsidR="008F0499" w:rsidRDefault="007B22AC">
      <w:pPr>
        <w:pStyle w:val="ListParagraph"/>
        <w:numPr>
          <w:ilvl w:val="0"/>
          <w:numId w:val="1"/>
        </w:numPr>
        <w:spacing w:line="360" w:lineRule="auto"/>
        <w:ind w:hanging="352"/>
        <w:jc w:val="both"/>
        <w:rPr>
          <w:rFonts w:cs="David"/>
          <w:b/>
          <w:bCs/>
          <w:sz w:val="24"/>
          <w:szCs w:val="24"/>
          <w:u w:val="single"/>
          <w:rtl/>
        </w:rPr>
      </w:pPr>
      <w:r>
        <w:rPr>
          <w:rFonts w:cs="David" w:hint="cs"/>
          <w:sz w:val="24"/>
          <w:szCs w:val="24"/>
          <w:rtl/>
        </w:rPr>
        <w:t xml:space="preserve">הנאשם, הביע צער וציין כי חש בושה במעשיו. אמר כי יוצא הוא לדרך חדשה. </w:t>
      </w:r>
    </w:p>
    <w:p w14:paraId="494D9A8B" w14:textId="77777777" w:rsidR="008F0499" w:rsidRDefault="007B22AC">
      <w:pPr>
        <w:spacing w:line="360" w:lineRule="auto"/>
        <w:ind w:firstLine="360"/>
        <w:jc w:val="both"/>
        <w:rPr>
          <w:b/>
          <w:bCs/>
          <w:u w:val="single"/>
          <w:rtl/>
        </w:rPr>
      </w:pPr>
      <w:r>
        <w:rPr>
          <w:rFonts w:hint="cs"/>
          <w:b/>
          <w:bCs/>
          <w:u w:val="single"/>
          <w:rtl/>
        </w:rPr>
        <w:t>קביעת המתחם ההולם</w:t>
      </w:r>
    </w:p>
    <w:p w14:paraId="412EA0C9" w14:textId="77777777" w:rsidR="008F0499" w:rsidRDefault="007B22AC">
      <w:pPr>
        <w:spacing w:line="360" w:lineRule="auto"/>
        <w:ind w:firstLine="360"/>
        <w:jc w:val="both"/>
        <w:rPr>
          <w:u w:val="single"/>
          <w:rtl/>
        </w:rPr>
      </w:pPr>
      <w:r>
        <w:rPr>
          <w:rFonts w:hint="cs"/>
          <w:b/>
          <w:bCs/>
          <w:u w:val="single"/>
          <w:rtl/>
        </w:rPr>
        <w:t>הערכים המוגנים</w:t>
      </w:r>
      <w:r>
        <w:rPr>
          <w:rFonts w:hint="cs"/>
          <w:rtl/>
        </w:rPr>
        <w:t xml:space="preserve">: </w:t>
      </w:r>
    </w:p>
    <w:p w14:paraId="34DB1424" w14:textId="77777777" w:rsidR="008F0499" w:rsidRDefault="007B22AC">
      <w:pPr>
        <w:pStyle w:val="ListParagraph"/>
        <w:numPr>
          <w:ilvl w:val="0"/>
          <w:numId w:val="1"/>
        </w:numPr>
        <w:spacing w:line="360" w:lineRule="auto"/>
        <w:ind w:hanging="352"/>
        <w:jc w:val="both"/>
        <w:rPr>
          <w:rFonts w:cs="David"/>
          <w:b/>
          <w:bCs/>
          <w:sz w:val="24"/>
          <w:szCs w:val="24"/>
          <w:u w:val="single"/>
          <w:rtl/>
        </w:rPr>
      </w:pPr>
      <w:r>
        <w:rPr>
          <w:rFonts w:cs="David" w:hint="cs"/>
          <w:sz w:val="24"/>
          <w:szCs w:val="24"/>
          <w:rtl/>
        </w:rPr>
        <w:t>הערכים המוגנים שנפגעו בשל מעשיי הנאשם במקרה זה, ברורים מאליהם ואין צורך להרחיב בעניינם שכן עבירת החזקת סם שלא לצריכה עצמית הוגדרה בפסיקה ככזו המשתייכת למשפחת עבירת  הסחר בסם. הרי ברור כי העובדה שעיסוק בסם מביא עמו סכנה מוחשית למשתמש עצמו ולסובבים אותו אך מתחדדת כאשר מדובר בהחזקת סם שלא לצריכה עצמית.</w:t>
      </w:r>
    </w:p>
    <w:p w14:paraId="53A069BE" w14:textId="77777777" w:rsidR="008F0499" w:rsidRDefault="007B22AC">
      <w:pPr>
        <w:spacing w:line="360" w:lineRule="auto"/>
        <w:ind w:left="720"/>
        <w:jc w:val="both"/>
      </w:pPr>
      <w:r>
        <w:rPr>
          <w:rFonts w:hint="cs"/>
          <w:rtl/>
        </w:rPr>
        <w:t xml:space="preserve">בתי המשפט לאורך השנים אכן עמדו על הצורך להילחם בנגע הסמים ומלחמה זו כרוכה, בין היתר, בהחמרת ענישה של כלל אלו המעורבים בהפצת הסם. </w:t>
      </w:r>
    </w:p>
    <w:p w14:paraId="4C056E7F" w14:textId="77777777" w:rsidR="008F0499" w:rsidRDefault="008F0499">
      <w:pPr>
        <w:spacing w:line="360" w:lineRule="auto"/>
        <w:ind w:left="720"/>
        <w:jc w:val="both"/>
        <w:rPr>
          <w:rtl/>
        </w:rPr>
      </w:pPr>
    </w:p>
    <w:p w14:paraId="076CDB20" w14:textId="77777777" w:rsidR="008F0499" w:rsidRDefault="007B22AC">
      <w:pPr>
        <w:spacing w:line="360" w:lineRule="auto"/>
        <w:ind w:left="720"/>
        <w:jc w:val="both"/>
        <w:rPr>
          <w:rtl/>
        </w:rPr>
      </w:pPr>
      <w:r>
        <w:rPr>
          <w:rFonts w:hint="cs"/>
          <w:rtl/>
        </w:rPr>
        <w:t xml:space="preserve">לעניין זה ראה </w:t>
      </w:r>
      <w:hyperlink r:id="rId22" w:history="1">
        <w:r w:rsidRPr="007B22AC">
          <w:rPr>
            <w:color w:val="0000FF"/>
            <w:u w:val="single"/>
            <w:rtl/>
          </w:rPr>
          <w:t>ע"פ 7657/10</w:t>
        </w:r>
      </w:hyperlink>
      <w:r>
        <w:rPr>
          <w:rFonts w:hint="cs"/>
          <w:rtl/>
        </w:rPr>
        <w:t xml:space="preserve"> </w:t>
      </w:r>
      <w:r>
        <w:rPr>
          <w:rFonts w:hint="cs"/>
          <w:b/>
          <w:bCs/>
          <w:rtl/>
        </w:rPr>
        <w:t>יוסף הייב נ' מדינת ישראל</w:t>
      </w:r>
      <w:r>
        <w:rPr>
          <w:rFonts w:hint="cs"/>
          <w:rtl/>
        </w:rPr>
        <w:t xml:space="preserve"> [פורסם במאגרים] .</w:t>
      </w:r>
    </w:p>
    <w:p w14:paraId="761F1E0F" w14:textId="77777777" w:rsidR="008F0499" w:rsidRDefault="007B22AC">
      <w:pPr>
        <w:spacing w:line="360" w:lineRule="auto"/>
        <w:ind w:left="720"/>
        <w:jc w:val="both"/>
        <w:rPr>
          <w:rtl/>
        </w:rPr>
      </w:pPr>
      <w:r>
        <w:rPr>
          <w:rFonts w:hint="cs"/>
          <w:rtl/>
        </w:rPr>
        <w:t>זה המקום גם להפנות לדברי כב' השופטת פרוקצ'יה ב</w:t>
      </w:r>
      <w:hyperlink r:id="rId23" w:history="1">
        <w:r w:rsidRPr="007B22AC">
          <w:rPr>
            <w:color w:val="0000FF"/>
            <w:u w:val="single"/>
            <w:rtl/>
          </w:rPr>
          <w:t>ע"פ 211/09</w:t>
        </w:r>
      </w:hyperlink>
      <w:r>
        <w:rPr>
          <w:rFonts w:hint="cs"/>
          <w:rtl/>
        </w:rPr>
        <w:t xml:space="preserve"> </w:t>
      </w:r>
      <w:r>
        <w:rPr>
          <w:rFonts w:hint="cs"/>
          <w:b/>
          <w:bCs/>
          <w:rtl/>
        </w:rPr>
        <w:t xml:space="preserve">שמעון אזולאי נ' מדינת ישראל </w:t>
      </w:r>
      <w:r>
        <w:rPr>
          <w:rFonts w:hint="cs"/>
          <w:rtl/>
        </w:rPr>
        <w:t>[פורסם במאגרים];</w:t>
      </w:r>
    </w:p>
    <w:p w14:paraId="22D11193" w14:textId="77777777" w:rsidR="008F0499" w:rsidRDefault="007B22AC">
      <w:pPr>
        <w:spacing w:line="360" w:lineRule="auto"/>
        <w:ind w:left="1927" w:right="709"/>
        <w:jc w:val="both"/>
        <w:rPr>
          <w:rtl/>
        </w:rPr>
      </w:pPr>
      <w:r>
        <w:rPr>
          <w:rFonts w:hint="cs"/>
          <w:rtl/>
        </w:rPr>
        <w:t>"</w:t>
      </w:r>
      <w:r>
        <w:rPr>
          <w:rFonts w:cs="FrankRuehl" w:hint="cs"/>
          <w:b/>
          <w:bCs/>
          <w:sz w:val="28"/>
          <w:szCs w:val="28"/>
          <w:rtl/>
        </w:rPr>
        <w:t>מזה זמן רב, מדגישים בתי המשפט בפסיקתם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hint="cs"/>
          <w:rtl/>
        </w:rPr>
        <w:t>"</w:t>
      </w:r>
    </w:p>
    <w:p w14:paraId="499BEC13" w14:textId="77777777" w:rsidR="008F0499" w:rsidRDefault="008F0499">
      <w:pPr>
        <w:spacing w:line="360" w:lineRule="auto"/>
        <w:ind w:left="720"/>
        <w:jc w:val="both"/>
        <w:rPr>
          <w:rtl/>
        </w:rPr>
      </w:pPr>
    </w:p>
    <w:p w14:paraId="7DBC6D2A" w14:textId="77777777" w:rsidR="008F0499" w:rsidRDefault="007B22AC">
      <w:pPr>
        <w:spacing w:line="360" w:lineRule="auto"/>
        <w:ind w:left="720"/>
        <w:jc w:val="both"/>
        <w:rPr>
          <w:rtl/>
        </w:rPr>
      </w:pPr>
      <w:r>
        <w:rPr>
          <w:rFonts w:hint="cs"/>
          <w:rtl/>
        </w:rPr>
        <w:t xml:space="preserve">פסיקה זו מנחה בכל הקשור לשיקולי הגמול שיש לנקוט בהם כאשר בא לפתח ביהמ"ש הצורך להכריע בענישת עבריין סם, במיוחד כזה כמו הנאשם המורשע בעבירה של החזקת סם שלא לצריכה עצמית. </w:t>
      </w:r>
    </w:p>
    <w:p w14:paraId="40B4E369" w14:textId="77777777" w:rsidR="008F0499" w:rsidRDefault="007B22AC">
      <w:pPr>
        <w:spacing w:line="360" w:lineRule="auto"/>
        <w:ind w:left="720"/>
        <w:jc w:val="both"/>
        <w:rPr>
          <w:rtl/>
        </w:rPr>
      </w:pPr>
      <w:r>
        <w:rPr>
          <w:rFonts w:hint="cs"/>
          <w:rtl/>
        </w:rPr>
        <w:t xml:space="preserve">כאשר בוחנים את הפגיעה הקיימת בערך החברתי המוגן, יש לבחון פגיעתו לא רק באופן ממשי אלא גם באופן פוטנציאלי על כלל הציבור ועל העבריין עצמו. </w:t>
      </w:r>
    </w:p>
    <w:p w14:paraId="7685166C" w14:textId="77777777" w:rsidR="008F0499" w:rsidRDefault="008F0499">
      <w:pPr>
        <w:spacing w:line="360" w:lineRule="auto"/>
        <w:ind w:left="720"/>
        <w:jc w:val="both"/>
        <w:rPr>
          <w:rtl/>
        </w:rPr>
      </w:pPr>
    </w:p>
    <w:p w14:paraId="6ABA20EC" w14:textId="77777777" w:rsidR="008F0499" w:rsidRDefault="007B22AC">
      <w:pPr>
        <w:spacing w:line="360" w:lineRule="auto"/>
        <w:ind w:left="720"/>
        <w:jc w:val="both"/>
        <w:rPr>
          <w:rtl/>
        </w:rPr>
      </w:pPr>
      <w:r>
        <w:rPr>
          <w:rFonts w:hint="cs"/>
          <w:rtl/>
        </w:rPr>
        <w:t xml:space="preserve">ראוי לציין כי שיקולי הגמול בין המעשה לעונש קיבלו מעמד בכורה בפסיקת בית המשפט העליון ראה </w:t>
      </w:r>
      <w:hyperlink r:id="rId24" w:history="1">
        <w:r w:rsidRPr="007B22AC">
          <w:rPr>
            <w:color w:val="0000FF"/>
            <w:u w:val="single"/>
            <w:rtl/>
          </w:rPr>
          <w:t>ע"פ 1523/10</w:t>
        </w:r>
      </w:hyperlink>
      <w:r>
        <w:rPr>
          <w:rFonts w:hint="cs"/>
          <w:rtl/>
        </w:rPr>
        <w:t xml:space="preserve"> </w:t>
      </w:r>
      <w:r>
        <w:rPr>
          <w:rFonts w:hint="cs"/>
          <w:b/>
          <w:bCs/>
          <w:rtl/>
        </w:rPr>
        <w:t>פלונית נ' מדינת ישראל</w:t>
      </w:r>
      <w:r>
        <w:rPr>
          <w:rFonts w:hint="cs"/>
          <w:rtl/>
        </w:rPr>
        <w:t xml:space="preserve"> [פורסם במאגרים] (מיום 18.4.2012) שם נקבע כי העיקרון המנחה שהוא בבחינת עיקרון העל, הוא עיקרון ההלימה בין חומרת המעשה לחומרת הענישה. </w:t>
      </w:r>
    </w:p>
    <w:p w14:paraId="018DE8F6" w14:textId="77777777" w:rsidR="008F0499" w:rsidRDefault="008F0499">
      <w:pPr>
        <w:spacing w:line="360" w:lineRule="auto"/>
        <w:ind w:left="720"/>
        <w:jc w:val="both"/>
        <w:rPr>
          <w:rtl/>
        </w:rPr>
      </w:pPr>
    </w:p>
    <w:p w14:paraId="3C2ED612" w14:textId="77777777" w:rsidR="008F0499" w:rsidRDefault="007B22AC">
      <w:pPr>
        <w:spacing w:line="360" w:lineRule="auto"/>
        <w:ind w:left="720"/>
        <w:jc w:val="both"/>
        <w:rPr>
          <w:rtl/>
        </w:rPr>
      </w:pPr>
      <w:r>
        <w:rPr>
          <w:rFonts w:hint="cs"/>
          <w:rtl/>
        </w:rPr>
        <w:t xml:space="preserve">לשון אחר, מהשלב שבו הלימת העונש למעשה קיבלה מעמד בכורה בשיקולי הענישה, הרי דרך אספקלריה זו יש לבחון גם את מעשי הנאשם. </w:t>
      </w:r>
    </w:p>
    <w:p w14:paraId="6BD74CED" w14:textId="77777777" w:rsidR="008F0499" w:rsidRDefault="008F0499">
      <w:pPr>
        <w:spacing w:line="360" w:lineRule="auto"/>
        <w:ind w:left="720"/>
        <w:jc w:val="both"/>
        <w:rPr>
          <w:rtl/>
        </w:rPr>
      </w:pPr>
    </w:p>
    <w:p w14:paraId="3DAF03FA" w14:textId="77777777" w:rsidR="008F0499" w:rsidRDefault="007B22AC">
      <w:pPr>
        <w:pStyle w:val="ListParagraph"/>
        <w:numPr>
          <w:ilvl w:val="0"/>
          <w:numId w:val="1"/>
        </w:numPr>
        <w:spacing w:line="360" w:lineRule="auto"/>
        <w:ind w:hanging="352"/>
        <w:jc w:val="both"/>
        <w:rPr>
          <w:rFonts w:cs="David"/>
          <w:b/>
          <w:bCs/>
          <w:sz w:val="24"/>
          <w:szCs w:val="24"/>
          <w:u w:val="single"/>
        </w:rPr>
      </w:pPr>
      <w:r>
        <w:rPr>
          <w:rFonts w:cs="David" w:hint="cs"/>
          <w:b/>
          <w:bCs/>
          <w:sz w:val="24"/>
          <w:szCs w:val="24"/>
          <w:u w:val="single"/>
          <w:rtl/>
        </w:rPr>
        <w:t>מדיניות הענישה הנוהגת:</w:t>
      </w:r>
    </w:p>
    <w:p w14:paraId="7E386C9A" w14:textId="77777777" w:rsidR="008F0499" w:rsidRDefault="007B22AC">
      <w:pPr>
        <w:spacing w:line="360" w:lineRule="auto"/>
        <w:ind w:left="720"/>
        <w:jc w:val="both"/>
        <w:rPr>
          <w:rtl/>
        </w:rPr>
      </w:pPr>
      <w:r>
        <w:rPr>
          <w:rFonts w:hint="cs"/>
          <w:rtl/>
        </w:rPr>
        <w:t>ככלל היות ומדובר בעבירה של החזקת סם שלא לשימוש עצמי, הרי שמצאתי מקום לבחון את גזירת העונש במקרים אחרים של החזקת סם שלא לצריכה עצמית.</w:t>
      </w:r>
    </w:p>
    <w:p w14:paraId="55AB4788" w14:textId="77777777" w:rsidR="008F0499" w:rsidRDefault="007B22AC">
      <w:pPr>
        <w:pStyle w:val="ListParagraph"/>
        <w:numPr>
          <w:ilvl w:val="0"/>
          <w:numId w:val="1"/>
        </w:numPr>
        <w:spacing w:line="360" w:lineRule="auto"/>
        <w:ind w:left="360" w:firstLine="8"/>
        <w:jc w:val="both"/>
        <w:rPr>
          <w:rFonts w:cs="David"/>
          <w:sz w:val="24"/>
          <w:szCs w:val="24"/>
        </w:rPr>
      </w:pPr>
      <w:r>
        <w:rPr>
          <w:rFonts w:cs="David" w:hint="cs"/>
          <w:sz w:val="24"/>
          <w:szCs w:val="24"/>
          <w:rtl/>
        </w:rPr>
        <w:t>לעניין זה ראה מקצת מן הדוגמאות בפסיקה:</w:t>
      </w:r>
    </w:p>
    <w:p w14:paraId="26E4025A" w14:textId="77777777" w:rsidR="008F0499" w:rsidRDefault="007B22AC">
      <w:pPr>
        <w:spacing w:line="360" w:lineRule="auto"/>
        <w:ind w:left="1440"/>
        <w:jc w:val="both"/>
        <w:rPr>
          <w:rtl/>
        </w:rPr>
      </w:pPr>
      <w:hyperlink r:id="rId25" w:history="1">
        <w:r w:rsidRPr="007B22AC">
          <w:rPr>
            <w:color w:val="0000FF"/>
            <w:u w:val="single"/>
            <w:rtl/>
          </w:rPr>
          <w:t>ע"פ 3537/06</w:t>
        </w:r>
      </w:hyperlink>
      <w:r>
        <w:rPr>
          <w:rFonts w:hint="cs"/>
          <w:rtl/>
        </w:rPr>
        <w:t xml:space="preserve"> </w:t>
      </w:r>
      <w:r>
        <w:rPr>
          <w:rFonts w:hint="cs"/>
          <w:b/>
          <w:bCs/>
          <w:rtl/>
        </w:rPr>
        <w:t>יצחק לאנץ נ' מדינת ישראל</w:t>
      </w:r>
      <w:r>
        <w:rPr>
          <w:rFonts w:hint="cs"/>
          <w:rtl/>
        </w:rPr>
        <w:t xml:space="preserve">, שם הביע דעתו ביהמ"ש העליון כי העונש שהוטל על מי שהחזיק </w:t>
      </w:r>
      <w:smartTag w:uri="urn:schemas-microsoft-com:office:smarttags" w:element="metricconverter">
        <w:smartTagPr>
          <w:attr w:name="ProductID" w:val="60 גרם"/>
        </w:smartTagPr>
        <w:r>
          <w:rPr>
            <w:rFonts w:hint="cs"/>
            <w:rtl/>
          </w:rPr>
          <w:t>60 גרם</w:t>
        </w:r>
      </w:smartTag>
      <w:r>
        <w:rPr>
          <w:rFonts w:hint="cs"/>
          <w:rtl/>
        </w:rPr>
        <w:t xml:space="preserve"> הירואין ונדון ל - 14 חודשי מאסר בפועל הינו קל מן הרגיל.</w:t>
      </w:r>
    </w:p>
    <w:p w14:paraId="143AF749" w14:textId="77777777" w:rsidR="008F0499" w:rsidRDefault="008F0499">
      <w:pPr>
        <w:spacing w:line="360" w:lineRule="auto"/>
        <w:ind w:left="1440"/>
        <w:jc w:val="both"/>
        <w:rPr>
          <w:rtl/>
        </w:rPr>
      </w:pPr>
    </w:p>
    <w:p w14:paraId="352D7506" w14:textId="77777777" w:rsidR="008F0499" w:rsidRDefault="007B22AC">
      <w:pPr>
        <w:spacing w:line="360" w:lineRule="auto"/>
        <w:ind w:left="1440"/>
        <w:jc w:val="both"/>
        <w:rPr>
          <w:rtl/>
        </w:rPr>
      </w:pPr>
      <w:hyperlink r:id="rId26" w:history="1">
        <w:r w:rsidRPr="007B22AC">
          <w:rPr>
            <w:color w:val="0000FF"/>
            <w:u w:val="single"/>
            <w:rtl/>
          </w:rPr>
          <w:t>עפ"ג (תל אביב) 15555-02-10</w:t>
        </w:r>
      </w:hyperlink>
      <w:r>
        <w:rPr>
          <w:rFonts w:hint="cs"/>
          <w:rtl/>
        </w:rPr>
        <w:t xml:space="preserve"> </w:t>
      </w:r>
      <w:r>
        <w:rPr>
          <w:rFonts w:hint="cs"/>
          <w:b/>
          <w:bCs/>
          <w:rtl/>
        </w:rPr>
        <w:t>מדינת ישראל</w:t>
      </w:r>
      <w:r>
        <w:rPr>
          <w:rFonts w:hint="cs"/>
          <w:rtl/>
        </w:rPr>
        <w:t xml:space="preserve"> נ' </w:t>
      </w:r>
      <w:r>
        <w:rPr>
          <w:rFonts w:hint="cs"/>
          <w:b/>
          <w:bCs/>
          <w:rtl/>
        </w:rPr>
        <w:t xml:space="preserve">טרונוב, </w:t>
      </w:r>
      <w:r>
        <w:rPr>
          <w:rFonts w:hint="cs"/>
          <w:rtl/>
        </w:rPr>
        <w:t xml:space="preserve">נגזרו 20 חודשי מאסר בפועל על מי שהחזיק כמעט </w:t>
      </w:r>
      <w:smartTag w:uri="urn:schemas-microsoft-com:office:smarttags" w:element="metricconverter">
        <w:smartTagPr>
          <w:attr w:name="ProductID" w:val="20 גרם"/>
        </w:smartTagPr>
        <w:r>
          <w:rPr>
            <w:rFonts w:hint="cs"/>
            <w:rtl/>
          </w:rPr>
          <w:t>20 גרם</w:t>
        </w:r>
      </w:smartTag>
      <w:r>
        <w:rPr>
          <w:rFonts w:hint="cs"/>
          <w:rtl/>
        </w:rPr>
        <w:t xml:space="preserve"> הירואין (32 מנות) שלא לצריכה עצמית.</w:t>
      </w:r>
    </w:p>
    <w:p w14:paraId="2BEF484A" w14:textId="77777777" w:rsidR="008F0499" w:rsidRDefault="008F0499">
      <w:pPr>
        <w:spacing w:line="360" w:lineRule="auto"/>
        <w:ind w:left="1440"/>
        <w:jc w:val="both"/>
        <w:rPr>
          <w:rtl/>
        </w:rPr>
      </w:pPr>
    </w:p>
    <w:p w14:paraId="15B501F2" w14:textId="77777777" w:rsidR="008F0499" w:rsidRDefault="007B22AC">
      <w:pPr>
        <w:spacing w:line="360" w:lineRule="auto"/>
        <w:ind w:left="1440"/>
        <w:jc w:val="both"/>
        <w:rPr>
          <w:rtl/>
        </w:rPr>
      </w:pPr>
      <w:hyperlink r:id="rId27" w:history="1">
        <w:r w:rsidRPr="007B22AC">
          <w:rPr>
            <w:color w:val="0000FF"/>
            <w:u w:val="single"/>
            <w:rtl/>
          </w:rPr>
          <w:t>עפ"ג (באר שבע) 42943-08-11</w:t>
        </w:r>
      </w:hyperlink>
      <w:r>
        <w:rPr>
          <w:rFonts w:hint="cs"/>
          <w:rtl/>
        </w:rPr>
        <w:t xml:space="preserve"> </w:t>
      </w:r>
      <w:r>
        <w:rPr>
          <w:rFonts w:hint="cs"/>
          <w:b/>
          <w:bCs/>
          <w:rtl/>
        </w:rPr>
        <w:t>רוני בן שושן נ' מדינת ישראל</w:t>
      </w:r>
      <w:r>
        <w:rPr>
          <w:rFonts w:hint="cs"/>
          <w:rtl/>
        </w:rPr>
        <w:t xml:space="preserve">, אישר ביהמ"ש עונש של 18 חודשי מאסר לנאשם בעל רישום פלילי מכביד בגין החזקת </w:t>
      </w:r>
      <w:smartTag w:uri="urn:schemas-microsoft-com:office:smarttags" w:element="metricconverter">
        <w:smartTagPr>
          <w:attr w:name="ProductID" w:val="5 גרם"/>
        </w:smartTagPr>
        <w:r>
          <w:rPr>
            <w:rFonts w:hint="cs"/>
            <w:rtl/>
          </w:rPr>
          <w:t>5 גרם</w:t>
        </w:r>
      </w:smartTag>
      <w:r>
        <w:rPr>
          <w:rFonts w:hint="cs"/>
          <w:rtl/>
        </w:rPr>
        <w:t xml:space="preserve"> הירואין, </w:t>
      </w:r>
      <w:smartTag w:uri="urn:schemas-microsoft-com:office:smarttags" w:element="metricconverter">
        <w:smartTagPr>
          <w:attr w:name="ProductID" w:val="027 גרם"/>
        </w:smartTagPr>
        <w:r>
          <w:rPr>
            <w:rFonts w:hint="cs"/>
            <w:rtl/>
          </w:rPr>
          <w:t>027 גרם</w:t>
        </w:r>
      </w:smartTag>
      <w:r>
        <w:rPr>
          <w:rFonts w:hint="cs"/>
          <w:rtl/>
        </w:rPr>
        <w:t xml:space="preserve"> קוקאין ועוד 1.2 הירואין מוחבא. </w:t>
      </w:r>
    </w:p>
    <w:p w14:paraId="5C186A31" w14:textId="77777777" w:rsidR="008F0499" w:rsidRDefault="008F0499">
      <w:pPr>
        <w:spacing w:line="360" w:lineRule="auto"/>
        <w:ind w:left="1440"/>
        <w:jc w:val="both"/>
        <w:rPr>
          <w:rtl/>
        </w:rPr>
      </w:pPr>
    </w:p>
    <w:p w14:paraId="2FAECC5E" w14:textId="77777777" w:rsidR="008F0499" w:rsidRDefault="007B22AC">
      <w:pPr>
        <w:spacing w:line="360" w:lineRule="auto"/>
        <w:ind w:left="1440"/>
        <w:jc w:val="both"/>
        <w:rPr>
          <w:rtl/>
        </w:rPr>
      </w:pPr>
      <w:r>
        <w:rPr>
          <w:rFonts w:hint="cs"/>
          <w:rtl/>
        </w:rPr>
        <w:t xml:space="preserve">עפ"ג (תל אביב) 18377-08-10 </w:t>
      </w:r>
      <w:r>
        <w:rPr>
          <w:rFonts w:hint="cs"/>
          <w:b/>
          <w:bCs/>
          <w:rtl/>
        </w:rPr>
        <w:t>מדינת ישראל נ' איברמיאן,</w:t>
      </w:r>
      <w:r>
        <w:rPr>
          <w:rFonts w:hint="cs"/>
          <w:rtl/>
        </w:rPr>
        <w:t xml:space="preserve"> נדון נאשם שהורשע בהחזקת </w:t>
      </w:r>
      <w:smartTag w:uri="urn:schemas-microsoft-com:office:smarttags" w:element="metricconverter">
        <w:smartTagPr>
          <w:attr w:name="ProductID" w:val="13 גרם"/>
        </w:smartTagPr>
        <w:r>
          <w:rPr>
            <w:rFonts w:hint="cs"/>
            <w:rtl/>
          </w:rPr>
          <w:t>13 גרם</w:t>
        </w:r>
      </w:smartTag>
      <w:r>
        <w:rPr>
          <w:rFonts w:hint="cs"/>
          <w:rtl/>
        </w:rPr>
        <w:t xml:space="preserve"> הירואין שלא לצריכה עצמית לעונש של 18 חודשי מאסר בפועל</w:t>
      </w:r>
      <w:r>
        <w:rPr>
          <w:rFonts w:hint="cs"/>
          <w:b/>
          <w:bCs/>
          <w:rtl/>
        </w:rPr>
        <w:t xml:space="preserve">. </w:t>
      </w:r>
    </w:p>
    <w:p w14:paraId="5FE30192" w14:textId="77777777" w:rsidR="008F0499" w:rsidRDefault="007B22AC">
      <w:pPr>
        <w:spacing w:line="360" w:lineRule="auto"/>
        <w:ind w:left="1440"/>
        <w:jc w:val="both"/>
        <w:rPr>
          <w:rtl/>
        </w:rPr>
      </w:pPr>
      <w:r>
        <w:rPr>
          <w:rFonts w:hint="cs"/>
          <w:rtl/>
        </w:rPr>
        <w:t xml:space="preserve">כמו כן, בחנתי את </w:t>
      </w:r>
      <w:hyperlink r:id="rId28" w:history="1">
        <w:r w:rsidRPr="007B22AC">
          <w:rPr>
            <w:color w:val="0000FF"/>
            <w:u w:val="single"/>
            <w:rtl/>
          </w:rPr>
          <w:t>ת"פ (רמלה) 26218-05-10</w:t>
        </w:r>
      </w:hyperlink>
      <w:r>
        <w:rPr>
          <w:rFonts w:hint="cs"/>
          <w:rtl/>
        </w:rPr>
        <w:t xml:space="preserve"> מדינת ישראל נ' חאמד; </w:t>
      </w:r>
      <w:hyperlink r:id="rId29" w:history="1">
        <w:r w:rsidRPr="007B22AC">
          <w:rPr>
            <w:color w:val="0000FF"/>
            <w:u w:val="single"/>
            <w:rtl/>
          </w:rPr>
          <w:t>ת"פ (ב"ש) 1398/08</w:t>
        </w:r>
      </w:hyperlink>
      <w:r>
        <w:rPr>
          <w:rFonts w:hint="cs"/>
          <w:rtl/>
        </w:rPr>
        <w:t xml:space="preserve"> מדינת ישראל נ' מזרחי ואח'; ת"פ 36919-11-10 מדינת ישראל נ' קובר; </w:t>
      </w:r>
      <w:hyperlink r:id="rId30" w:history="1">
        <w:r w:rsidRPr="007B22AC">
          <w:rPr>
            <w:color w:val="0000FF"/>
            <w:u w:val="single"/>
            <w:rtl/>
          </w:rPr>
          <w:t>ת"פ (כפר סבא) 1278/07</w:t>
        </w:r>
      </w:hyperlink>
      <w:r>
        <w:rPr>
          <w:rFonts w:hint="cs"/>
          <w:rtl/>
        </w:rPr>
        <w:t xml:space="preserve"> מדינת ישראל נ' עמיחי אנספי. </w:t>
      </w:r>
    </w:p>
    <w:p w14:paraId="22C02C8F" w14:textId="77777777" w:rsidR="008F0499" w:rsidRDefault="008F0499">
      <w:pPr>
        <w:spacing w:line="360" w:lineRule="auto"/>
        <w:ind w:left="1440"/>
        <w:jc w:val="both"/>
        <w:rPr>
          <w:rtl/>
        </w:rPr>
      </w:pPr>
    </w:p>
    <w:p w14:paraId="417A40B7" w14:textId="77777777" w:rsidR="008F0499" w:rsidRDefault="007B22AC">
      <w:pPr>
        <w:spacing w:line="360" w:lineRule="auto"/>
        <w:ind w:left="1440"/>
        <w:jc w:val="both"/>
        <w:rPr>
          <w:rtl/>
        </w:rPr>
      </w:pPr>
      <w:r>
        <w:rPr>
          <w:rFonts w:hint="cs"/>
          <w:rtl/>
        </w:rPr>
        <w:t xml:space="preserve">בכל הפסיקה האמורה קובע ביהמ"ש כי יש צורך להחמיר בעבירות כגון דא ומשית תקופות מאסר שבין מספר חודשים בודדים עד ל - 36 חודשי מאסר. </w:t>
      </w:r>
    </w:p>
    <w:p w14:paraId="0A11935C" w14:textId="77777777" w:rsidR="008F0499" w:rsidRDefault="008F0499">
      <w:pPr>
        <w:spacing w:line="360" w:lineRule="auto"/>
        <w:ind w:firstLine="360"/>
        <w:jc w:val="both"/>
        <w:rPr>
          <w:b/>
          <w:bCs/>
          <w:u w:val="single"/>
          <w:rtl/>
        </w:rPr>
      </w:pPr>
    </w:p>
    <w:p w14:paraId="5F4EF2F5" w14:textId="77777777" w:rsidR="008F0499" w:rsidRDefault="007B22AC">
      <w:pPr>
        <w:spacing w:line="360" w:lineRule="auto"/>
        <w:ind w:firstLine="360"/>
        <w:jc w:val="both"/>
        <w:rPr>
          <w:b/>
          <w:bCs/>
          <w:u w:val="single"/>
          <w:rtl/>
        </w:rPr>
      </w:pPr>
      <w:r>
        <w:rPr>
          <w:rFonts w:hint="cs"/>
          <w:b/>
          <w:bCs/>
          <w:u w:val="single"/>
          <w:rtl/>
        </w:rPr>
        <w:t>הנסיבות הקשורות בביצוע העבירה:</w:t>
      </w:r>
    </w:p>
    <w:p w14:paraId="72CB863B" w14:textId="77777777" w:rsidR="008F0499" w:rsidRDefault="007B22AC">
      <w:pPr>
        <w:pStyle w:val="ListParagraph"/>
        <w:numPr>
          <w:ilvl w:val="0"/>
          <w:numId w:val="1"/>
        </w:numPr>
        <w:spacing w:line="360" w:lineRule="auto"/>
        <w:jc w:val="both"/>
        <w:rPr>
          <w:rFonts w:cs="David"/>
          <w:sz w:val="24"/>
          <w:szCs w:val="24"/>
        </w:rPr>
      </w:pPr>
      <w:r>
        <w:rPr>
          <w:rFonts w:cs="David" w:hint="cs"/>
          <w:sz w:val="24"/>
          <w:szCs w:val="24"/>
          <w:rtl/>
        </w:rPr>
        <w:t xml:space="preserve">במסגרת זו יש לקחת בחשבון את העובדה כי מדובר בנאשם שנעצר לבדיקה על ידי שוטר ובעודו עומד בסמוך אליו, השליך הסם המסוכן מידו לעבר בית סמוך. במעשיו אלו ביקש הנאשם להכשיל השוטר בעת ביצוע תפקידו. </w:t>
      </w:r>
    </w:p>
    <w:p w14:paraId="04E96E7D" w14:textId="77777777" w:rsidR="008F0499" w:rsidRDefault="008F0499">
      <w:pPr>
        <w:pStyle w:val="ListParagraph"/>
        <w:spacing w:line="360" w:lineRule="auto"/>
        <w:jc w:val="both"/>
        <w:rPr>
          <w:rFonts w:cs="David"/>
          <w:sz w:val="24"/>
          <w:szCs w:val="24"/>
        </w:rPr>
      </w:pPr>
    </w:p>
    <w:p w14:paraId="0A405800" w14:textId="77777777" w:rsidR="008F0499" w:rsidRDefault="007B22AC">
      <w:pPr>
        <w:pStyle w:val="ListParagraph"/>
        <w:numPr>
          <w:ilvl w:val="0"/>
          <w:numId w:val="1"/>
        </w:numPr>
        <w:spacing w:line="360" w:lineRule="auto"/>
        <w:jc w:val="both"/>
        <w:rPr>
          <w:rFonts w:cs="David"/>
          <w:sz w:val="24"/>
          <w:szCs w:val="24"/>
          <w:rtl/>
        </w:rPr>
      </w:pPr>
      <w:r>
        <w:rPr>
          <w:rFonts w:cs="David" w:hint="cs"/>
          <w:sz w:val="24"/>
          <w:szCs w:val="24"/>
          <w:rtl/>
        </w:rPr>
        <w:t>לאחר שבחנתי את הערכים המוגנים שנפגעו מביצוע העבירה על ידי הנאשם, מידת הפגיעה בערכים אלו, בנסיבות ביצוע העבירה, ובשים לב להיקף הסם ולהעדר ראיה העוסקת באופן החזקתו וכן לעבירה הנלוות שאת שתיהן אני מחשיב כאירוע אחד,  הרי שאני קובע כי מתחם העונש במקרה זה, נע בין ששה חודשי מאסר בעבודות שירות, לבין 10 חודשי מאסר בפועל, זאת לצד רכיבי ענישה אחרים.</w:t>
      </w:r>
    </w:p>
    <w:p w14:paraId="617CC061" w14:textId="77777777" w:rsidR="008F0499" w:rsidRDefault="008F0499">
      <w:pPr>
        <w:spacing w:line="360" w:lineRule="auto"/>
        <w:ind w:firstLine="360"/>
        <w:jc w:val="both"/>
        <w:rPr>
          <w:b/>
          <w:bCs/>
          <w:u w:val="single"/>
          <w:rtl/>
        </w:rPr>
      </w:pPr>
    </w:p>
    <w:p w14:paraId="09ED34EA" w14:textId="77777777" w:rsidR="008F0499" w:rsidRDefault="007B22AC">
      <w:pPr>
        <w:spacing w:line="360" w:lineRule="auto"/>
        <w:ind w:firstLine="360"/>
        <w:jc w:val="both"/>
        <w:rPr>
          <w:rtl/>
        </w:rPr>
      </w:pPr>
      <w:r>
        <w:rPr>
          <w:rFonts w:hint="cs"/>
          <w:b/>
          <w:bCs/>
          <w:u w:val="single"/>
          <w:rtl/>
        </w:rPr>
        <w:t>האם יש מקום לסטייה ממתחם הענישה</w:t>
      </w:r>
      <w:r>
        <w:rPr>
          <w:rFonts w:hint="cs"/>
          <w:rtl/>
        </w:rPr>
        <w:t>:</w:t>
      </w:r>
    </w:p>
    <w:p w14:paraId="6C13A928" w14:textId="77777777" w:rsidR="008F0499" w:rsidRDefault="007B22AC">
      <w:pPr>
        <w:pStyle w:val="ListParagraph"/>
        <w:numPr>
          <w:ilvl w:val="0"/>
          <w:numId w:val="1"/>
        </w:numPr>
        <w:spacing w:line="360" w:lineRule="auto"/>
        <w:jc w:val="both"/>
        <w:rPr>
          <w:rFonts w:cs="David"/>
          <w:sz w:val="24"/>
          <w:szCs w:val="24"/>
          <w:rtl/>
        </w:rPr>
      </w:pPr>
      <w:r>
        <w:rPr>
          <w:rFonts w:cs="David" w:hint="cs"/>
          <w:sz w:val="24"/>
          <w:szCs w:val="24"/>
          <w:rtl/>
        </w:rPr>
        <w:t xml:space="preserve">אין חולק כי סטייה כזו, אפשרית במקרה בו מתרשם בית המשפט, כי הדרך לשיקום הנאשם פתוחה בפניו. </w:t>
      </w:r>
    </w:p>
    <w:p w14:paraId="494D4D8E" w14:textId="77777777" w:rsidR="008F0499" w:rsidRDefault="008F0499">
      <w:pPr>
        <w:pStyle w:val="ListParagraph"/>
        <w:spacing w:line="360" w:lineRule="auto"/>
        <w:jc w:val="both"/>
        <w:rPr>
          <w:rFonts w:cs="David"/>
          <w:sz w:val="24"/>
          <w:szCs w:val="24"/>
        </w:rPr>
      </w:pPr>
    </w:p>
    <w:p w14:paraId="35A51B53" w14:textId="77777777" w:rsidR="008F0499" w:rsidRDefault="007B22AC">
      <w:pPr>
        <w:pStyle w:val="ListParagraph"/>
        <w:spacing w:line="360" w:lineRule="auto"/>
        <w:jc w:val="both"/>
        <w:rPr>
          <w:rFonts w:cs="David"/>
          <w:sz w:val="24"/>
          <w:szCs w:val="24"/>
          <w:rtl/>
        </w:rPr>
      </w:pPr>
      <w:r>
        <w:rPr>
          <w:rFonts w:cs="David" w:hint="cs"/>
          <w:sz w:val="24"/>
          <w:szCs w:val="24"/>
          <w:rtl/>
        </w:rPr>
        <w:t xml:space="preserve">במקרה דנן, התרשמתי כי אכן עשה הנאשם כברת דרך משמעותית בכל הקשור להליך הטיפולי אותו עבר ועובר במסגרת הקבוצה הטיפולית של שירות המבחן אך יחד עם זאת בשל העובדה כי מדובר בנאשם לו עבר פלילי, גם אם אינו בעבירות סמים, הרי שלא מצאתי מקום לחרוג ממתחם הענישה בשל שיקולי שיקום אלא לתת לשיקולי השיקום משקל בתוך המתחם עצמו כאמור </w:t>
      </w:r>
      <w:hyperlink r:id="rId31" w:history="1">
        <w:r w:rsidR="0050459C" w:rsidRPr="0050459C">
          <w:rPr>
            <w:rStyle w:val="Hyperlink"/>
            <w:rFonts w:cs="David" w:hint="cs"/>
            <w:sz w:val="24"/>
            <w:szCs w:val="24"/>
            <w:rtl/>
          </w:rPr>
          <w:t>בסעיף</w:t>
        </w:r>
        <w:r w:rsidR="0050459C" w:rsidRPr="0050459C">
          <w:rPr>
            <w:rStyle w:val="Hyperlink"/>
            <w:rFonts w:cs="David"/>
            <w:sz w:val="24"/>
            <w:szCs w:val="24"/>
            <w:rtl/>
          </w:rPr>
          <w:t xml:space="preserve"> 40</w:t>
        </w:r>
        <w:r w:rsidR="0050459C" w:rsidRPr="0050459C">
          <w:rPr>
            <w:rStyle w:val="Hyperlink"/>
            <w:rFonts w:cs="David" w:hint="cs"/>
            <w:sz w:val="24"/>
            <w:szCs w:val="24"/>
            <w:rtl/>
          </w:rPr>
          <w:t>יא</w:t>
        </w:r>
        <w:r w:rsidR="0050459C" w:rsidRPr="0050459C">
          <w:rPr>
            <w:rStyle w:val="Hyperlink"/>
            <w:rFonts w:cs="David"/>
            <w:sz w:val="24"/>
            <w:szCs w:val="24"/>
            <w:rtl/>
          </w:rPr>
          <w:t>(4)</w:t>
        </w:r>
      </w:hyperlink>
      <w:r>
        <w:rPr>
          <w:rFonts w:cs="David" w:hint="cs"/>
          <w:sz w:val="24"/>
          <w:szCs w:val="24"/>
          <w:rtl/>
        </w:rPr>
        <w:t xml:space="preserve"> בחוק.</w:t>
      </w:r>
    </w:p>
    <w:p w14:paraId="1A1617B8" w14:textId="77777777" w:rsidR="008F0499" w:rsidRDefault="008F0499">
      <w:pPr>
        <w:pStyle w:val="ListParagraph"/>
        <w:spacing w:line="360" w:lineRule="auto"/>
        <w:jc w:val="both"/>
        <w:rPr>
          <w:rFonts w:cs="David"/>
          <w:sz w:val="24"/>
          <w:szCs w:val="24"/>
          <w:rtl/>
        </w:rPr>
      </w:pPr>
    </w:p>
    <w:p w14:paraId="5C98BC24" w14:textId="77777777" w:rsidR="008F0499" w:rsidRDefault="007B22AC">
      <w:pPr>
        <w:pStyle w:val="ListParagraph"/>
        <w:spacing w:line="360" w:lineRule="auto"/>
        <w:jc w:val="both"/>
        <w:rPr>
          <w:rFonts w:cs="David"/>
          <w:sz w:val="24"/>
          <w:szCs w:val="24"/>
          <w:rtl/>
        </w:rPr>
      </w:pPr>
      <w:r>
        <w:rPr>
          <w:rFonts w:cs="David" w:hint="cs"/>
          <w:sz w:val="24"/>
          <w:szCs w:val="24"/>
          <w:rtl/>
        </w:rPr>
        <w:t xml:space="preserve">בנוסף, ראוי לציין מושכלות היסוד כי המלצת שירות המבחן כשמה כן היא, המלצה. </w:t>
      </w:r>
    </w:p>
    <w:p w14:paraId="6A76AA29" w14:textId="77777777" w:rsidR="008F0499" w:rsidRDefault="007B22AC">
      <w:pPr>
        <w:pStyle w:val="ListParagraph"/>
        <w:spacing w:line="360" w:lineRule="auto"/>
        <w:jc w:val="both"/>
        <w:rPr>
          <w:rFonts w:cs="David"/>
          <w:sz w:val="24"/>
          <w:szCs w:val="24"/>
          <w:rtl/>
        </w:rPr>
      </w:pPr>
      <w:r>
        <w:rPr>
          <w:rFonts w:cs="David" w:hint="cs"/>
          <w:sz w:val="24"/>
          <w:szCs w:val="24"/>
          <w:rtl/>
        </w:rPr>
        <w:t xml:space="preserve">אין ביהמ"ש מחויב להמלצה זו וישקול אותה במסגרת כלל השיקולים הראויים לשקילה עת בא לגזור את דינו הנאשם לעניין זה ראה </w:t>
      </w:r>
      <w:hyperlink r:id="rId32" w:history="1">
        <w:r w:rsidRPr="007B22AC">
          <w:rPr>
            <w:rFonts w:cs="David" w:hint="cs"/>
            <w:color w:val="0000FF"/>
            <w:sz w:val="24"/>
            <w:szCs w:val="24"/>
            <w:u w:val="single"/>
            <w:rtl/>
          </w:rPr>
          <w:t>ע</w:t>
        </w:r>
        <w:r w:rsidRPr="007B22AC">
          <w:rPr>
            <w:rFonts w:cs="David"/>
            <w:color w:val="0000FF"/>
            <w:sz w:val="24"/>
            <w:szCs w:val="24"/>
            <w:u w:val="single"/>
            <w:rtl/>
          </w:rPr>
          <w:t>"</w:t>
        </w:r>
        <w:r w:rsidRPr="007B22AC">
          <w:rPr>
            <w:rFonts w:cs="David" w:hint="cs"/>
            <w:color w:val="0000FF"/>
            <w:sz w:val="24"/>
            <w:szCs w:val="24"/>
            <w:u w:val="single"/>
            <w:rtl/>
          </w:rPr>
          <w:t>פ</w:t>
        </w:r>
        <w:r w:rsidRPr="007B22AC">
          <w:rPr>
            <w:rFonts w:cs="David"/>
            <w:color w:val="0000FF"/>
            <w:sz w:val="24"/>
            <w:szCs w:val="24"/>
            <w:u w:val="single"/>
            <w:rtl/>
          </w:rPr>
          <w:t xml:space="preserve"> 4872/95</w:t>
        </w:r>
      </w:hyperlink>
      <w:r>
        <w:rPr>
          <w:rFonts w:cs="David" w:hint="cs"/>
          <w:sz w:val="24"/>
          <w:szCs w:val="24"/>
          <w:rtl/>
        </w:rPr>
        <w:t xml:space="preserve"> </w:t>
      </w:r>
      <w:r>
        <w:rPr>
          <w:rFonts w:cs="David" w:hint="cs"/>
          <w:b/>
          <w:bCs/>
          <w:sz w:val="24"/>
          <w:szCs w:val="24"/>
          <w:rtl/>
        </w:rPr>
        <w:t>מדינת ישראל נ' גל אילון ואח'</w:t>
      </w:r>
      <w:r>
        <w:rPr>
          <w:rFonts w:cs="David" w:hint="cs"/>
          <w:sz w:val="24"/>
          <w:szCs w:val="24"/>
          <w:rtl/>
        </w:rPr>
        <w:t xml:space="preserve"> [פורסם במאגרים] (2.1.95) </w:t>
      </w:r>
    </w:p>
    <w:p w14:paraId="656AD51D" w14:textId="77777777" w:rsidR="008F0499" w:rsidRDefault="008F0499">
      <w:pPr>
        <w:pStyle w:val="ListParagraph"/>
        <w:spacing w:line="360" w:lineRule="auto"/>
        <w:jc w:val="both"/>
        <w:rPr>
          <w:rFonts w:cs="David"/>
          <w:sz w:val="24"/>
          <w:szCs w:val="24"/>
          <w:rtl/>
        </w:rPr>
      </w:pPr>
    </w:p>
    <w:p w14:paraId="4E7E9ACB" w14:textId="77777777" w:rsidR="008F0499" w:rsidRDefault="007B22AC">
      <w:pPr>
        <w:spacing w:line="360" w:lineRule="auto"/>
        <w:ind w:left="1927" w:right="709"/>
        <w:jc w:val="both"/>
        <w:rPr>
          <w:rFonts w:cs="FrankRuehl"/>
          <w:b/>
          <w:bCs/>
          <w:sz w:val="28"/>
          <w:szCs w:val="28"/>
          <w:rtl/>
        </w:rPr>
      </w:pPr>
      <w:r>
        <w:rPr>
          <w:rFonts w:cs="FrankRuehl" w:hint="cs"/>
          <w:b/>
          <w:bCs/>
          <w:sz w:val="28"/>
          <w:szCs w:val="28"/>
          <w:rtl/>
        </w:rPr>
        <w:t>"עבודת שירות המבחן היא ללא ספק עבודה ברוכה, השירות עושה עבודתו נאמנה ומשקיע ידע, זמן ומשאבים כדי להגיע לעומקו של כל מקרה ומקרה זוהי עבודה בעלת חשיבות ממדרגה הניתנת בידי השופטים כלי חשוב ביותר להיעזר בו, במלאכת האיזון בין כל השיקולים שעל ביהמ"ש לשקול להטיל על העבריין את העונש ההולם"</w:t>
      </w:r>
    </w:p>
    <w:p w14:paraId="6A052EBE" w14:textId="77777777" w:rsidR="008F0499" w:rsidRDefault="008F0499">
      <w:pPr>
        <w:pStyle w:val="ListParagraph"/>
        <w:spacing w:line="360" w:lineRule="auto"/>
        <w:jc w:val="both"/>
        <w:rPr>
          <w:rFonts w:cs="David"/>
          <w:sz w:val="24"/>
          <w:szCs w:val="24"/>
          <w:rtl/>
        </w:rPr>
      </w:pPr>
    </w:p>
    <w:p w14:paraId="63DF166C" w14:textId="77777777" w:rsidR="008F0499" w:rsidRDefault="007B22AC">
      <w:pPr>
        <w:pStyle w:val="ListParagraph"/>
        <w:spacing w:line="360" w:lineRule="auto"/>
        <w:jc w:val="both"/>
        <w:rPr>
          <w:rFonts w:cs="David"/>
          <w:sz w:val="24"/>
          <w:szCs w:val="24"/>
          <w:rtl/>
        </w:rPr>
      </w:pPr>
      <w:r>
        <w:rPr>
          <w:rFonts w:cs="David" w:hint="cs"/>
          <w:sz w:val="24"/>
          <w:szCs w:val="24"/>
          <w:rtl/>
        </w:rPr>
        <w:t>במקרה דנן, כאמור, החלטתי שלא לקבל את המלצת שירות המבחן וזאת מהנימוקים שפורטו לעיל.</w:t>
      </w:r>
    </w:p>
    <w:p w14:paraId="006C208E" w14:textId="77777777" w:rsidR="008F0499" w:rsidRDefault="007B22AC">
      <w:pPr>
        <w:spacing w:line="360" w:lineRule="auto"/>
        <w:ind w:firstLine="360"/>
        <w:jc w:val="both"/>
        <w:rPr>
          <w:b/>
          <w:bCs/>
          <w:u w:val="single"/>
          <w:rtl/>
        </w:rPr>
      </w:pPr>
      <w:r>
        <w:rPr>
          <w:rFonts w:hint="cs"/>
          <w:b/>
          <w:bCs/>
          <w:u w:val="single"/>
          <w:rtl/>
        </w:rPr>
        <w:t xml:space="preserve">גזירת העונש </w:t>
      </w:r>
    </w:p>
    <w:p w14:paraId="4F29899A" w14:textId="77777777" w:rsidR="008F0499" w:rsidRDefault="007B22AC">
      <w:pPr>
        <w:pStyle w:val="ListParagraph"/>
        <w:numPr>
          <w:ilvl w:val="0"/>
          <w:numId w:val="1"/>
        </w:numPr>
        <w:spacing w:line="360" w:lineRule="auto"/>
        <w:jc w:val="both"/>
        <w:rPr>
          <w:rFonts w:cs="David"/>
          <w:sz w:val="24"/>
          <w:szCs w:val="24"/>
          <w:rtl/>
        </w:rPr>
      </w:pPr>
      <w:r>
        <w:rPr>
          <w:rFonts w:cs="David" w:hint="cs"/>
          <w:sz w:val="24"/>
          <w:szCs w:val="24"/>
          <w:rtl/>
        </w:rPr>
        <w:t>בעת גזירת העונש, המצוי בתוך המתחם העונש ההולם, או מחוץ לו בהתקיים התנאים המתאימים, יש לבחון את הנסיבות שאינן קשורות בביצוע העבירה (</w:t>
      </w:r>
      <w:hyperlink r:id="rId33" w:history="1">
        <w:r w:rsidR="0050459C" w:rsidRPr="0050459C">
          <w:rPr>
            <w:rStyle w:val="Hyperlink"/>
            <w:rFonts w:cs="David" w:hint="cs"/>
            <w:sz w:val="24"/>
            <w:szCs w:val="24"/>
            <w:rtl/>
          </w:rPr>
          <w:t>סעיף</w:t>
        </w:r>
        <w:r w:rsidR="0050459C" w:rsidRPr="0050459C">
          <w:rPr>
            <w:rStyle w:val="Hyperlink"/>
            <w:rFonts w:cs="David"/>
            <w:sz w:val="24"/>
            <w:szCs w:val="24"/>
            <w:rtl/>
          </w:rPr>
          <w:t xml:space="preserve"> 40</w:t>
        </w:r>
        <w:r w:rsidR="0050459C" w:rsidRPr="0050459C">
          <w:rPr>
            <w:rStyle w:val="Hyperlink"/>
            <w:rFonts w:cs="David" w:hint="cs"/>
            <w:sz w:val="24"/>
            <w:szCs w:val="24"/>
            <w:rtl/>
          </w:rPr>
          <w:t>יא</w:t>
        </w:r>
        <w:r w:rsidR="0050459C" w:rsidRPr="0050459C">
          <w:rPr>
            <w:rStyle w:val="Hyperlink"/>
            <w:rFonts w:cs="David"/>
            <w:sz w:val="24"/>
            <w:szCs w:val="24"/>
            <w:rtl/>
          </w:rPr>
          <w:t>'</w:t>
        </w:r>
      </w:hyperlink>
      <w:r>
        <w:rPr>
          <w:rFonts w:cs="David" w:hint="cs"/>
          <w:sz w:val="24"/>
          <w:szCs w:val="24"/>
          <w:rtl/>
        </w:rPr>
        <w:t xml:space="preserve"> לחוק) כפי שהן רלוונטיות לתיק דנן;</w:t>
      </w:r>
    </w:p>
    <w:p w14:paraId="0790C49F" w14:textId="77777777" w:rsidR="008F0499" w:rsidRDefault="008F0499">
      <w:pPr>
        <w:pStyle w:val="ListParagraph"/>
        <w:spacing w:line="360" w:lineRule="auto"/>
        <w:jc w:val="both"/>
        <w:rPr>
          <w:rFonts w:cs="David"/>
          <w:sz w:val="24"/>
          <w:szCs w:val="24"/>
        </w:rPr>
      </w:pPr>
    </w:p>
    <w:p w14:paraId="57D3C760" w14:textId="77777777" w:rsidR="008F0499" w:rsidRDefault="007B22AC">
      <w:pPr>
        <w:spacing w:line="360" w:lineRule="auto"/>
        <w:ind w:firstLine="360"/>
        <w:jc w:val="both"/>
      </w:pPr>
      <w:r>
        <w:rPr>
          <w:rFonts w:hint="cs"/>
          <w:b/>
          <w:bCs/>
          <w:u w:val="single"/>
          <w:rtl/>
        </w:rPr>
        <w:t>שיקולים לחומרה</w:t>
      </w:r>
      <w:r>
        <w:rPr>
          <w:rFonts w:hint="cs"/>
          <w:rtl/>
        </w:rPr>
        <w:t>:</w:t>
      </w:r>
    </w:p>
    <w:p w14:paraId="72948FE1" w14:textId="77777777" w:rsidR="008F0499" w:rsidRDefault="007B22AC">
      <w:pPr>
        <w:pStyle w:val="ListParagraph"/>
        <w:numPr>
          <w:ilvl w:val="0"/>
          <w:numId w:val="2"/>
        </w:numPr>
        <w:spacing w:line="360" w:lineRule="auto"/>
        <w:jc w:val="both"/>
        <w:rPr>
          <w:rFonts w:cs="David"/>
          <w:sz w:val="24"/>
          <w:szCs w:val="24"/>
          <w:rtl/>
        </w:rPr>
      </w:pPr>
      <w:r>
        <w:rPr>
          <w:rFonts w:cs="David" w:hint="cs"/>
          <w:sz w:val="24"/>
          <w:szCs w:val="24"/>
          <w:rtl/>
        </w:rPr>
        <w:t>מדובר בנאשם בעל עבר פלילי, הרשעה בודדת משנת 2008 בעבירות של הדחה באיומים, תקיפה סתם - בן זוג ואיומים.</w:t>
      </w:r>
    </w:p>
    <w:p w14:paraId="48609B0E" w14:textId="77777777" w:rsidR="008F0499" w:rsidRDefault="008F0499">
      <w:pPr>
        <w:pStyle w:val="ListParagraph"/>
        <w:spacing w:line="360" w:lineRule="auto"/>
        <w:ind w:left="1080"/>
        <w:jc w:val="both"/>
        <w:rPr>
          <w:rFonts w:cs="David"/>
          <w:sz w:val="24"/>
          <w:szCs w:val="24"/>
          <w:rtl/>
        </w:rPr>
      </w:pPr>
    </w:p>
    <w:p w14:paraId="3D294CB7" w14:textId="77777777" w:rsidR="008F0499" w:rsidRDefault="007B22AC">
      <w:pPr>
        <w:spacing w:line="360" w:lineRule="auto"/>
        <w:ind w:firstLine="360"/>
        <w:jc w:val="both"/>
        <w:rPr>
          <w:rtl/>
        </w:rPr>
      </w:pPr>
      <w:r>
        <w:rPr>
          <w:rFonts w:hint="cs"/>
          <w:b/>
          <w:bCs/>
          <w:u w:val="single"/>
          <w:rtl/>
        </w:rPr>
        <w:t>שיקולים לקולא</w:t>
      </w:r>
      <w:r>
        <w:rPr>
          <w:rFonts w:hint="cs"/>
          <w:rtl/>
        </w:rPr>
        <w:t>:</w:t>
      </w:r>
    </w:p>
    <w:p w14:paraId="7470E025" w14:textId="77777777" w:rsidR="008F0499" w:rsidRDefault="007B22AC">
      <w:pPr>
        <w:pStyle w:val="ListParagraph"/>
        <w:numPr>
          <w:ilvl w:val="0"/>
          <w:numId w:val="3"/>
        </w:numPr>
        <w:spacing w:line="360" w:lineRule="auto"/>
        <w:jc w:val="both"/>
        <w:rPr>
          <w:rFonts w:cs="David"/>
          <w:sz w:val="24"/>
          <w:szCs w:val="24"/>
          <w:rtl/>
        </w:rPr>
      </w:pPr>
      <w:r>
        <w:rPr>
          <w:rFonts w:cs="David" w:hint="cs"/>
          <w:sz w:val="24"/>
          <w:szCs w:val="24"/>
          <w:rtl/>
        </w:rPr>
        <w:t xml:space="preserve">הודאת הנאשם, חסכון זמן שיפוטי ולקיחת אחריות על מעשיו. העובדה כי הנאשם שינה אורחותיו ועפ"י האמור בתסקיר שירות המבחן נמצא נקי בבדיקות הסם שנערכו לו. הנאשם החל לעבוד במקום עבודה מסודר ואף נראה כי הפנים את החלקים המכשילים באישיותו. </w:t>
      </w:r>
    </w:p>
    <w:p w14:paraId="2953D937" w14:textId="77777777" w:rsidR="008F0499" w:rsidRDefault="008F0499">
      <w:pPr>
        <w:pStyle w:val="ListParagraph"/>
        <w:spacing w:line="360" w:lineRule="auto"/>
        <w:ind w:left="1080"/>
        <w:jc w:val="both"/>
        <w:rPr>
          <w:rFonts w:cs="David"/>
          <w:sz w:val="24"/>
          <w:szCs w:val="24"/>
        </w:rPr>
      </w:pPr>
    </w:p>
    <w:p w14:paraId="10C0CA81" w14:textId="77777777" w:rsidR="008F0499" w:rsidRDefault="007B22AC">
      <w:pPr>
        <w:pStyle w:val="ListParagraph"/>
        <w:numPr>
          <w:ilvl w:val="0"/>
          <w:numId w:val="3"/>
        </w:numPr>
        <w:spacing w:line="360" w:lineRule="auto"/>
        <w:jc w:val="both"/>
        <w:rPr>
          <w:rFonts w:cs="David"/>
          <w:sz w:val="24"/>
          <w:szCs w:val="24"/>
        </w:rPr>
      </w:pPr>
      <w:r>
        <w:rPr>
          <w:rFonts w:cs="David" w:hint="cs"/>
          <w:sz w:val="24"/>
          <w:szCs w:val="24"/>
          <w:rtl/>
        </w:rPr>
        <w:t xml:space="preserve">ענישת הנאשם בעונשים ממשיים, תוך אי קבלת המלצת שירות המבחן, יש בה כדי להוסיף מימד נוסף של חומרה באשר לעונש במקרה זה. שהרי מובהר כי במידה והייתי מקבל את המלצת שירות המבחן, מצב הנאשם היה שונה בתכלית השינוי. </w:t>
      </w:r>
    </w:p>
    <w:p w14:paraId="4F258131" w14:textId="77777777" w:rsidR="008F0499" w:rsidRDefault="008F0499">
      <w:pPr>
        <w:pStyle w:val="ListParagraph"/>
        <w:spacing w:line="360" w:lineRule="auto"/>
        <w:ind w:left="1080"/>
        <w:jc w:val="both"/>
        <w:rPr>
          <w:rFonts w:cs="David"/>
          <w:sz w:val="24"/>
          <w:szCs w:val="24"/>
          <w:rtl/>
        </w:rPr>
      </w:pPr>
    </w:p>
    <w:p w14:paraId="6CDA15D5" w14:textId="77777777" w:rsidR="008F0499" w:rsidRDefault="007B22AC">
      <w:pPr>
        <w:pStyle w:val="ListParagraph"/>
        <w:numPr>
          <w:ilvl w:val="0"/>
          <w:numId w:val="1"/>
        </w:numPr>
        <w:spacing w:line="360" w:lineRule="auto"/>
        <w:jc w:val="both"/>
        <w:rPr>
          <w:rFonts w:cs="David"/>
          <w:sz w:val="24"/>
          <w:szCs w:val="24"/>
          <w:rtl/>
        </w:rPr>
      </w:pPr>
      <w:r>
        <w:rPr>
          <w:rFonts w:cs="David" w:hint="cs"/>
          <w:sz w:val="24"/>
          <w:szCs w:val="24"/>
          <w:rtl/>
        </w:rPr>
        <w:t>לאחר ששקלתי את כלל השיקולים לעיל, ומתוך החלטה שיש מקום לתת משקל לשיקומו של הנאשם אך במתחם הענישה עצמו, גוזר אני על הנאשם את העונשים הבאים:</w:t>
      </w:r>
    </w:p>
    <w:p w14:paraId="05846ED7" w14:textId="77777777" w:rsidR="008F0499" w:rsidRDefault="008F0499">
      <w:pPr>
        <w:pStyle w:val="ListParagraph"/>
        <w:spacing w:line="360" w:lineRule="auto"/>
        <w:jc w:val="both"/>
        <w:rPr>
          <w:rFonts w:cs="David"/>
          <w:sz w:val="24"/>
          <w:szCs w:val="24"/>
          <w:rtl/>
        </w:rPr>
      </w:pPr>
    </w:p>
    <w:p w14:paraId="449CD54B" w14:textId="77777777" w:rsidR="008F0499" w:rsidRDefault="007B22AC">
      <w:pPr>
        <w:pStyle w:val="ListParagraph"/>
        <w:numPr>
          <w:ilvl w:val="0"/>
          <w:numId w:val="4"/>
        </w:numPr>
        <w:spacing w:line="360" w:lineRule="auto"/>
        <w:jc w:val="both"/>
        <w:rPr>
          <w:rFonts w:cs="David"/>
          <w:sz w:val="24"/>
          <w:szCs w:val="24"/>
          <w:rtl/>
        </w:rPr>
      </w:pPr>
      <w:r>
        <w:rPr>
          <w:rFonts w:cs="David" w:hint="cs"/>
          <w:sz w:val="24"/>
          <w:szCs w:val="24"/>
          <w:rtl/>
        </w:rPr>
        <w:t xml:space="preserve">6 חודשי מאסר בפועל אשר ירוצו בדרך של עבודות שירות. עבודות השירות יבוצעו בבית האבות "משען אבות הנגב" ברחוב אלפסי 12 בבאר שבע במשך 5 ימים בשבוע 8.5 שעות עבודה יומיות. הובהר לנאשם, כי עליו להישמע לכל הנחיה ו/או הוראה של הממונה על עבודות השירות וכן עליו להבין כי במידה ולא יעשה כן, ו/או במידה ובדיקות לגילוי סם שיערכו בעניינו ימצאו חיוביות, עלול הדבר לגרור הפסקת עבודות השירות והנאשם ירצה את יתרת עונשו מאחורי סורג ובריח. </w:t>
      </w:r>
    </w:p>
    <w:p w14:paraId="4FAF7802" w14:textId="77777777" w:rsidR="008F0499" w:rsidRDefault="007B22AC">
      <w:pPr>
        <w:spacing w:line="360" w:lineRule="auto"/>
        <w:ind w:left="1080"/>
        <w:jc w:val="both"/>
        <w:rPr>
          <w:rtl/>
        </w:rPr>
      </w:pPr>
      <w:r>
        <w:rPr>
          <w:rFonts w:hint="cs"/>
          <w:rtl/>
        </w:rPr>
        <w:t xml:space="preserve">הנאשם יתייצב לריצוי עונשו ביום 8.6.2014 במשרדי הממונה על עבודות השירות סמוך לכלא באר שבע. </w:t>
      </w:r>
    </w:p>
    <w:p w14:paraId="199BD5CC" w14:textId="77777777" w:rsidR="008F0499" w:rsidRDefault="008F0499">
      <w:pPr>
        <w:spacing w:line="360" w:lineRule="auto"/>
        <w:ind w:left="1080"/>
        <w:jc w:val="both"/>
      </w:pPr>
    </w:p>
    <w:p w14:paraId="0A65AA43" w14:textId="77777777" w:rsidR="008F0499" w:rsidRDefault="007B22AC">
      <w:pPr>
        <w:pStyle w:val="ListParagraph"/>
        <w:numPr>
          <w:ilvl w:val="0"/>
          <w:numId w:val="4"/>
        </w:numPr>
        <w:spacing w:line="360" w:lineRule="auto"/>
        <w:jc w:val="both"/>
        <w:rPr>
          <w:rFonts w:cs="David"/>
          <w:sz w:val="24"/>
          <w:szCs w:val="24"/>
        </w:rPr>
      </w:pPr>
      <w:r>
        <w:rPr>
          <w:rFonts w:cs="David" w:hint="cs"/>
          <w:sz w:val="24"/>
          <w:szCs w:val="24"/>
          <w:rtl/>
        </w:rPr>
        <w:t xml:space="preserve">6 חודשי מאסר מותנה למשך 3 שנים מהיום. מאסר זה יופעל במידה והנאשם יעבור במשך תקופת התנאי כל עבירה עפ"י </w:t>
      </w:r>
      <w:hyperlink r:id="rId34" w:history="1">
        <w:r w:rsidRPr="007B22AC">
          <w:rPr>
            <w:rFonts w:cs="David" w:hint="cs"/>
            <w:color w:val="0000FF"/>
            <w:sz w:val="24"/>
            <w:szCs w:val="24"/>
            <w:u w:val="single"/>
            <w:rtl/>
          </w:rPr>
          <w:t>פקודת</w:t>
        </w:r>
        <w:r w:rsidRPr="007B22AC">
          <w:rPr>
            <w:rFonts w:cs="David"/>
            <w:color w:val="0000FF"/>
            <w:sz w:val="24"/>
            <w:szCs w:val="24"/>
            <w:u w:val="single"/>
            <w:rtl/>
          </w:rPr>
          <w:t xml:space="preserve"> </w:t>
        </w:r>
        <w:r w:rsidRPr="007B22AC">
          <w:rPr>
            <w:rFonts w:cs="David" w:hint="cs"/>
            <w:color w:val="0000FF"/>
            <w:sz w:val="24"/>
            <w:szCs w:val="24"/>
            <w:u w:val="single"/>
            <w:rtl/>
          </w:rPr>
          <w:t>הסמים</w:t>
        </w:r>
        <w:r w:rsidRPr="007B22AC">
          <w:rPr>
            <w:rFonts w:cs="David"/>
            <w:color w:val="0000FF"/>
            <w:sz w:val="24"/>
            <w:szCs w:val="24"/>
            <w:u w:val="single"/>
            <w:rtl/>
          </w:rPr>
          <w:t xml:space="preserve"> </w:t>
        </w:r>
        <w:r w:rsidRPr="007B22AC">
          <w:rPr>
            <w:rFonts w:cs="David" w:hint="cs"/>
            <w:color w:val="0000FF"/>
            <w:sz w:val="24"/>
            <w:szCs w:val="24"/>
            <w:u w:val="single"/>
            <w:rtl/>
          </w:rPr>
          <w:t>המסוכנים</w:t>
        </w:r>
      </w:hyperlink>
      <w:r>
        <w:rPr>
          <w:rFonts w:cs="David" w:hint="cs"/>
          <w:sz w:val="24"/>
          <w:szCs w:val="24"/>
          <w:rtl/>
        </w:rPr>
        <w:t xml:space="preserve"> מסוג עוון.</w:t>
      </w:r>
    </w:p>
    <w:p w14:paraId="794173D3" w14:textId="77777777" w:rsidR="008F0499" w:rsidRDefault="007B22AC">
      <w:pPr>
        <w:pStyle w:val="ListParagraph"/>
        <w:spacing w:line="360" w:lineRule="auto"/>
        <w:ind w:left="1080"/>
        <w:jc w:val="both"/>
        <w:rPr>
          <w:rFonts w:cs="David"/>
          <w:sz w:val="24"/>
          <w:szCs w:val="24"/>
        </w:rPr>
      </w:pPr>
      <w:r>
        <w:rPr>
          <w:rFonts w:cs="David" w:hint="cs"/>
          <w:sz w:val="24"/>
          <w:szCs w:val="24"/>
          <w:rtl/>
        </w:rPr>
        <w:tab/>
      </w:r>
    </w:p>
    <w:p w14:paraId="5F055B4A" w14:textId="77777777" w:rsidR="008F0499" w:rsidRDefault="007B22AC">
      <w:pPr>
        <w:pStyle w:val="ListParagraph"/>
        <w:numPr>
          <w:ilvl w:val="0"/>
          <w:numId w:val="4"/>
        </w:numPr>
        <w:spacing w:line="360" w:lineRule="auto"/>
        <w:rPr>
          <w:rFonts w:cs="David"/>
          <w:sz w:val="24"/>
          <w:szCs w:val="24"/>
          <w:rtl/>
        </w:rPr>
      </w:pPr>
      <w:r>
        <w:rPr>
          <w:rFonts w:cs="David" w:hint="cs"/>
          <w:sz w:val="24"/>
          <w:szCs w:val="24"/>
          <w:rtl/>
        </w:rPr>
        <w:t xml:space="preserve">8 חודשי מאסר מותנה למשך 3 שנים מהיום. מאסר זה יופעל במידה והנאשם יעבור במשך תקופת התנאי כל עבירה עפ"י </w:t>
      </w:r>
      <w:hyperlink r:id="rId35" w:history="1">
        <w:r w:rsidRPr="007B22AC">
          <w:rPr>
            <w:rFonts w:cs="David" w:hint="cs"/>
            <w:color w:val="0000FF"/>
            <w:sz w:val="24"/>
            <w:szCs w:val="24"/>
            <w:u w:val="single"/>
            <w:rtl/>
          </w:rPr>
          <w:t>פקודת</w:t>
        </w:r>
        <w:r w:rsidRPr="007B22AC">
          <w:rPr>
            <w:rFonts w:cs="David"/>
            <w:color w:val="0000FF"/>
            <w:sz w:val="24"/>
            <w:szCs w:val="24"/>
            <w:u w:val="single"/>
            <w:rtl/>
          </w:rPr>
          <w:t xml:space="preserve"> </w:t>
        </w:r>
        <w:r w:rsidRPr="007B22AC">
          <w:rPr>
            <w:rFonts w:cs="David" w:hint="cs"/>
            <w:color w:val="0000FF"/>
            <w:sz w:val="24"/>
            <w:szCs w:val="24"/>
            <w:u w:val="single"/>
            <w:rtl/>
          </w:rPr>
          <w:t>הסמים</w:t>
        </w:r>
        <w:r w:rsidRPr="007B22AC">
          <w:rPr>
            <w:rFonts w:cs="David"/>
            <w:color w:val="0000FF"/>
            <w:sz w:val="24"/>
            <w:szCs w:val="24"/>
            <w:u w:val="single"/>
            <w:rtl/>
          </w:rPr>
          <w:t xml:space="preserve"> </w:t>
        </w:r>
        <w:r w:rsidRPr="007B22AC">
          <w:rPr>
            <w:rFonts w:cs="David" w:hint="cs"/>
            <w:color w:val="0000FF"/>
            <w:sz w:val="24"/>
            <w:szCs w:val="24"/>
            <w:u w:val="single"/>
            <w:rtl/>
          </w:rPr>
          <w:t>המסוכנים</w:t>
        </w:r>
      </w:hyperlink>
      <w:r>
        <w:rPr>
          <w:rFonts w:cs="David" w:hint="cs"/>
          <w:sz w:val="24"/>
          <w:szCs w:val="24"/>
          <w:rtl/>
        </w:rPr>
        <w:t xml:space="preserve"> מסוג פשע.</w:t>
      </w:r>
    </w:p>
    <w:p w14:paraId="6B8C069D" w14:textId="77777777" w:rsidR="008F0499" w:rsidRDefault="008F0499">
      <w:pPr>
        <w:pStyle w:val="ListParagraph"/>
        <w:spacing w:line="360" w:lineRule="auto"/>
        <w:rPr>
          <w:rFonts w:cs="David"/>
          <w:sz w:val="24"/>
          <w:szCs w:val="24"/>
        </w:rPr>
      </w:pPr>
    </w:p>
    <w:p w14:paraId="75E6A1FA" w14:textId="77777777" w:rsidR="008F0499" w:rsidRDefault="007B22AC">
      <w:pPr>
        <w:pStyle w:val="ListParagraph"/>
        <w:numPr>
          <w:ilvl w:val="0"/>
          <w:numId w:val="4"/>
        </w:numPr>
        <w:spacing w:line="360" w:lineRule="auto"/>
        <w:jc w:val="both"/>
        <w:rPr>
          <w:rFonts w:cs="David"/>
          <w:sz w:val="24"/>
          <w:szCs w:val="24"/>
          <w:rtl/>
        </w:rPr>
      </w:pPr>
      <w:r>
        <w:rPr>
          <w:rFonts w:cs="David" w:hint="cs"/>
          <w:sz w:val="24"/>
          <w:szCs w:val="24"/>
          <w:rtl/>
        </w:rPr>
        <w:t xml:space="preserve">אני קובע כי הנאשם ישלם קנס בסך של 2,000 ₪ או 30 ימי מאסר תמורתו. הקנס ישולם עד ליום 1.6.2014. </w:t>
      </w:r>
    </w:p>
    <w:p w14:paraId="2BE0F838" w14:textId="77777777" w:rsidR="008F0499" w:rsidRDefault="008F0499">
      <w:pPr>
        <w:pStyle w:val="ListParagraph"/>
        <w:spacing w:line="360" w:lineRule="auto"/>
        <w:rPr>
          <w:rFonts w:cs="David"/>
          <w:sz w:val="24"/>
          <w:szCs w:val="24"/>
          <w:rtl/>
        </w:rPr>
      </w:pPr>
    </w:p>
    <w:p w14:paraId="709F54AE" w14:textId="77777777" w:rsidR="008F0499" w:rsidRDefault="007B22AC">
      <w:pPr>
        <w:pStyle w:val="ListParagraph"/>
        <w:numPr>
          <w:ilvl w:val="0"/>
          <w:numId w:val="4"/>
        </w:numPr>
        <w:spacing w:line="360" w:lineRule="auto"/>
        <w:jc w:val="both"/>
        <w:rPr>
          <w:rFonts w:cs="David"/>
          <w:sz w:val="24"/>
          <w:szCs w:val="24"/>
        </w:rPr>
      </w:pPr>
      <w:r>
        <w:rPr>
          <w:rFonts w:cs="David" w:hint="cs"/>
          <w:sz w:val="24"/>
          <w:szCs w:val="24"/>
          <w:rtl/>
        </w:rPr>
        <w:t xml:space="preserve">הסם שנתפס יושמד או יחולט לפי שיקול דעת קצין החקירות. </w:t>
      </w:r>
    </w:p>
    <w:p w14:paraId="2B809D56" w14:textId="77777777" w:rsidR="008F0499" w:rsidRDefault="007B22AC">
      <w:pPr>
        <w:pStyle w:val="ListParagraph"/>
        <w:numPr>
          <w:ilvl w:val="0"/>
          <w:numId w:val="4"/>
        </w:numPr>
        <w:spacing w:line="360" w:lineRule="auto"/>
        <w:jc w:val="both"/>
        <w:rPr>
          <w:rFonts w:cs="David"/>
          <w:sz w:val="24"/>
          <w:szCs w:val="24"/>
          <w:rtl/>
        </w:rPr>
      </w:pPr>
      <w:r>
        <w:rPr>
          <w:rFonts w:cs="David" w:hint="cs"/>
          <w:sz w:val="24"/>
          <w:szCs w:val="24"/>
          <w:rtl/>
        </w:rPr>
        <w:t xml:space="preserve">ככל שקיימת הפקדה בתיק </w:t>
      </w:r>
      <w:hyperlink r:id="rId36" w:history="1">
        <w:r w:rsidRPr="007B22AC">
          <w:rPr>
            <w:rFonts w:cs="David" w:hint="cs"/>
            <w:color w:val="0000FF"/>
            <w:sz w:val="24"/>
            <w:szCs w:val="24"/>
            <w:u w:val="single"/>
            <w:rtl/>
          </w:rPr>
          <w:t>מ</w:t>
        </w:r>
        <w:r w:rsidRPr="007B22AC">
          <w:rPr>
            <w:rFonts w:cs="David"/>
            <w:color w:val="0000FF"/>
            <w:sz w:val="24"/>
            <w:szCs w:val="24"/>
            <w:u w:val="single"/>
            <w:rtl/>
          </w:rPr>
          <w:t>.</w:t>
        </w:r>
        <w:r w:rsidRPr="007B22AC">
          <w:rPr>
            <w:rFonts w:cs="David" w:hint="cs"/>
            <w:color w:val="0000FF"/>
            <w:sz w:val="24"/>
            <w:szCs w:val="24"/>
            <w:u w:val="single"/>
            <w:rtl/>
          </w:rPr>
          <w:t>ת</w:t>
        </w:r>
        <w:r w:rsidRPr="007B22AC">
          <w:rPr>
            <w:rFonts w:cs="David"/>
            <w:color w:val="0000FF"/>
            <w:sz w:val="24"/>
            <w:szCs w:val="24"/>
            <w:u w:val="single"/>
            <w:rtl/>
          </w:rPr>
          <w:t>. 22728-05-13</w:t>
        </w:r>
      </w:hyperlink>
      <w:r>
        <w:rPr>
          <w:rFonts w:cs="David" w:hint="cs"/>
          <w:sz w:val="24"/>
          <w:szCs w:val="24"/>
          <w:rtl/>
        </w:rPr>
        <w:t xml:space="preserve"> וככל שאין מניעה לעשות כן תועבר זו לידי ב"כ הנאשם על פי פרטים שימסור במזכירות ביהמ"ש. </w:t>
      </w:r>
    </w:p>
    <w:p w14:paraId="0020A51E" w14:textId="77777777" w:rsidR="008F0499" w:rsidRDefault="008F0499">
      <w:pPr>
        <w:pStyle w:val="ListParagraph"/>
        <w:spacing w:line="360" w:lineRule="auto"/>
        <w:jc w:val="both"/>
        <w:rPr>
          <w:rFonts w:cs="David"/>
          <w:sz w:val="24"/>
          <w:szCs w:val="24"/>
          <w:rtl/>
        </w:rPr>
      </w:pPr>
    </w:p>
    <w:p w14:paraId="7F6B1E33" w14:textId="77777777" w:rsidR="008F0499" w:rsidRDefault="007B22AC">
      <w:pPr>
        <w:pStyle w:val="ListParagraph"/>
        <w:spacing w:line="360" w:lineRule="auto"/>
        <w:jc w:val="both"/>
        <w:rPr>
          <w:rFonts w:cs="David"/>
          <w:sz w:val="24"/>
          <w:szCs w:val="24"/>
          <w:rtl/>
        </w:rPr>
      </w:pPr>
      <w:r>
        <w:rPr>
          <w:rFonts w:cs="David" w:hint="cs"/>
          <w:sz w:val="24"/>
          <w:szCs w:val="24"/>
          <w:rtl/>
        </w:rPr>
        <w:t>זכות ערעור תוך 45 יום מהיום לביהמ"ש המחוזי.</w:t>
      </w:r>
    </w:p>
    <w:p w14:paraId="4B729479" w14:textId="77777777" w:rsidR="008F0499" w:rsidRDefault="007B22AC">
      <w:pPr>
        <w:pStyle w:val="David"/>
        <w:rPr>
          <w:sz w:val="6"/>
          <w:szCs w:val="6"/>
          <w:rtl/>
        </w:rPr>
      </w:pPr>
      <w:bookmarkStart w:id="8" w:name="_GoBack"/>
      <w:bookmarkEnd w:id="8"/>
      <w:r>
        <w:rPr>
          <w:sz w:val="6"/>
          <w:szCs w:val="6"/>
          <w:rtl/>
        </w:rPr>
        <w:t>&lt;#3#&gt;</w:t>
      </w:r>
    </w:p>
    <w:p w14:paraId="05B6B742" w14:textId="77777777" w:rsidR="008F0499" w:rsidRDefault="008F0499">
      <w:pPr>
        <w:jc w:val="right"/>
        <w:rPr>
          <w:rtl/>
        </w:rPr>
      </w:pPr>
    </w:p>
    <w:p w14:paraId="4DA11586" w14:textId="77777777" w:rsidR="008F0499" w:rsidRDefault="007B22AC">
      <w:pPr>
        <w:jc w:val="center"/>
        <w:rPr>
          <w:rtl/>
        </w:rPr>
      </w:pPr>
      <w:r w:rsidRPr="007B22AC">
        <w:rPr>
          <w:b/>
          <w:bCs/>
          <w:color w:val="FFFFFF"/>
          <w:sz w:val="2"/>
          <w:szCs w:val="2"/>
          <w:rtl/>
        </w:rPr>
        <w:t>5129371</w:t>
      </w:r>
      <w:r>
        <w:rPr>
          <w:b/>
          <w:bCs/>
          <w:rtl/>
        </w:rPr>
        <w:t xml:space="preserve">ניתנה והודעה היום י"ג ניסן תשע"ד, 13/04/2014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F0499" w14:paraId="5D92102D" w14:textId="77777777">
        <w:trPr>
          <w:trHeight w:val="364"/>
          <w:jc w:val="right"/>
        </w:trPr>
        <w:tc>
          <w:tcPr>
            <w:tcW w:w="3708" w:type="dxa"/>
          </w:tcPr>
          <w:p w14:paraId="37C39883" w14:textId="77777777" w:rsidR="008F0499" w:rsidRPr="007B22AC" w:rsidRDefault="007B22AC">
            <w:pPr>
              <w:jc w:val="center"/>
              <w:rPr>
                <w:rFonts w:ascii="Times New Roman" w:eastAsia="Times New Roman" w:hAnsi="Times New Roman" w:cs="Times New Roman"/>
                <w:color w:val="FFFFFF"/>
                <w:sz w:val="2"/>
                <w:szCs w:val="2"/>
              </w:rPr>
            </w:pPr>
            <w:r w:rsidRPr="007B22AC">
              <w:rPr>
                <w:rFonts w:ascii="Times New Roman" w:eastAsia="Times New Roman" w:hAnsi="Times New Roman" w:cs="Times New Roman"/>
                <w:color w:val="FFFFFF"/>
                <w:sz w:val="2"/>
                <w:szCs w:val="2"/>
                <w:rtl/>
              </w:rPr>
              <w:t>54678313</w:t>
            </w:r>
          </w:p>
          <w:p w14:paraId="65BEA378" w14:textId="77777777" w:rsidR="008F0499" w:rsidRDefault="008F0499">
            <w:pPr>
              <w:jc w:val="center"/>
              <w:rPr>
                <w:rFonts w:ascii="Times New Roman" w:eastAsia="Times New Roman" w:hAnsi="Times New Roman" w:cs="Times New Roman"/>
                <w:rtl/>
              </w:rPr>
            </w:pPr>
          </w:p>
        </w:tc>
      </w:tr>
      <w:tr w:rsidR="008F0499" w14:paraId="1C3FF190" w14:textId="77777777">
        <w:trPr>
          <w:trHeight w:val="415"/>
          <w:jc w:val="right"/>
        </w:trPr>
        <w:tc>
          <w:tcPr>
            <w:tcW w:w="3708" w:type="dxa"/>
          </w:tcPr>
          <w:p w14:paraId="47838988" w14:textId="77777777" w:rsidR="008F0499" w:rsidRDefault="007B22AC">
            <w:pPr>
              <w:jc w:val="center"/>
              <w:rPr>
                <w:rFonts w:ascii="Times New Roman" w:eastAsia="Times New Roman" w:hAnsi="Times New Roman"/>
                <w:b/>
                <w:bCs/>
                <w:rtl/>
              </w:rPr>
            </w:pPr>
            <w:r>
              <w:rPr>
                <w:rFonts w:ascii="Times New Roman" w:eastAsia="Times New Roman" w:hAnsi="Times New Roman" w:hint="cs"/>
                <w:rtl/>
              </w:rPr>
              <w:t>אמיר</w:t>
            </w:r>
            <w:r>
              <w:rPr>
                <w:rFonts w:ascii="Times New Roman" w:eastAsia="Times New Roman" w:hAnsi="Times New Roman" w:hint="cs"/>
                <w:b/>
                <w:bCs/>
                <w:rtl/>
              </w:rPr>
              <w:t xml:space="preserve"> </w:t>
            </w:r>
            <w:r>
              <w:rPr>
                <w:rFonts w:ascii="Times New Roman" w:eastAsia="Times New Roman" w:hAnsi="Times New Roman" w:hint="cs"/>
                <w:rtl/>
              </w:rPr>
              <w:t>דורון</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5C22DBE8" w14:textId="77777777" w:rsidR="008F0499" w:rsidRDefault="008F0499">
      <w:pPr>
        <w:jc w:val="right"/>
        <w:rPr>
          <w:rtl/>
        </w:rPr>
      </w:pPr>
    </w:p>
    <w:p w14:paraId="405B2EC5" w14:textId="77777777" w:rsidR="008F0499" w:rsidRDefault="007B22AC">
      <w:r>
        <w:rPr>
          <w:rtl/>
        </w:rPr>
        <w:t>הוקלד</w:t>
      </w:r>
      <w:r>
        <w:t xml:space="preserve"> </w:t>
      </w:r>
      <w:r>
        <w:rPr>
          <w:rtl/>
        </w:rPr>
        <w:t>על</w:t>
      </w:r>
      <w:r>
        <w:t xml:space="preserve"> </w:t>
      </w:r>
      <w:r>
        <w:rPr>
          <w:rtl/>
        </w:rPr>
        <w:t>ידי</w:t>
      </w:r>
      <w:r>
        <w:t xml:space="preserve"> </w:t>
      </w:r>
      <w:r>
        <w:rPr>
          <w:rtl/>
        </w:rPr>
        <w:t>סיגל</w:t>
      </w:r>
      <w:r>
        <w:t xml:space="preserve"> </w:t>
      </w:r>
      <w:r>
        <w:rPr>
          <w:rtl/>
        </w:rPr>
        <w:t>ביטון</w:t>
      </w:r>
    </w:p>
    <w:p w14:paraId="051E0D18" w14:textId="77777777" w:rsidR="007B22AC" w:rsidRPr="007B22AC" w:rsidRDefault="007B22AC" w:rsidP="007B22AC">
      <w:pPr>
        <w:keepNext/>
        <w:rPr>
          <w:color w:val="000000"/>
          <w:sz w:val="22"/>
          <w:szCs w:val="22"/>
          <w:rtl/>
        </w:rPr>
      </w:pPr>
    </w:p>
    <w:p w14:paraId="6CE8F6CE" w14:textId="77777777" w:rsidR="007B22AC" w:rsidRPr="007B22AC" w:rsidRDefault="007B22AC" w:rsidP="007B22AC">
      <w:pPr>
        <w:keepNext/>
        <w:rPr>
          <w:color w:val="000000"/>
          <w:sz w:val="22"/>
          <w:szCs w:val="22"/>
          <w:rtl/>
        </w:rPr>
      </w:pPr>
      <w:r w:rsidRPr="007B22AC">
        <w:rPr>
          <w:color w:val="000000"/>
          <w:sz w:val="22"/>
          <w:szCs w:val="22"/>
          <w:rtl/>
        </w:rPr>
        <w:t>אמיר דורון 54678313</w:t>
      </w:r>
    </w:p>
    <w:p w14:paraId="405139AB" w14:textId="77777777" w:rsidR="007B22AC" w:rsidRDefault="007B22AC" w:rsidP="007B22AC">
      <w:r w:rsidRPr="007B22AC">
        <w:rPr>
          <w:color w:val="000000"/>
          <w:rtl/>
        </w:rPr>
        <w:t>נוסח מסמך זה כפוף לשינויי ניסוח ועריכה</w:t>
      </w:r>
    </w:p>
    <w:p w14:paraId="071E2047" w14:textId="77777777" w:rsidR="007B22AC" w:rsidRDefault="007B22AC" w:rsidP="007B22AC">
      <w:pPr>
        <w:rPr>
          <w:rtl/>
        </w:rPr>
      </w:pPr>
    </w:p>
    <w:p w14:paraId="29C8FE63" w14:textId="77777777" w:rsidR="007B22AC" w:rsidRDefault="007B22AC" w:rsidP="007B22A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sectPr w:rsidR="007B22AC" w:rsidSect="007B22AC">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D4C66" w14:textId="77777777" w:rsidR="00805009" w:rsidRPr="008A4A67" w:rsidRDefault="00805009">
      <w:pPr>
        <w:rPr>
          <w:rFonts w:cs="Arial"/>
          <w:szCs w:val="20"/>
        </w:rPr>
      </w:pPr>
      <w:r>
        <w:separator/>
      </w:r>
    </w:p>
  </w:endnote>
  <w:endnote w:type="continuationSeparator" w:id="0">
    <w:p w14:paraId="291F6605" w14:textId="77777777" w:rsidR="00805009" w:rsidRPr="008A4A67" w:rsidRDefault="0080500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95D93" w14:textId="77777777" w:rsidR="007B22AC" w:rsidRDefault="007B22AC" w:rsidP="007B22A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51C7A9F1" w14:textId="77777777" w:rsidR="008F0499" w:rsidRPr="007B22AC" w:rsidRDefault="007B22AC" w:rsidP="007B22AC">
    <w:pPr>
      <w:pStyle w:val="a4"/>
      <w:pBdr>
        <w:top w:val="single" w:sz="4" w:space="1" w:color="auto"/>
        <w:between w:val="single" w:sz="4" w:space="0" w:color="auto"/>
      </w:pBdr>
      <w:spacing w:after="60"/>
      <w:jc w:val="center"/>
      <w:rPr>
        <w:rFonts w:ascii="FrankRuehl" w:hAnsi="FrankRuehl" w:cs="FrankRuehl"/>
        <w:color w:val="000000"/>
      </w:rPr>
    </w:pPr>
    <w:r w:rsidRPr="007B22A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155FD" w14:textId="77777777" w:rsidR="007B22AC" w:rsidRDefault="007B22AC" w:rsidP="007B22A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4791">
      <w:rPr>
        <w:rFonts w:ascii="FrankRuehl" w:hAnsi="FrankRuehl" w:cs="FrankRuehl"/>
        <w:noProof/>
        <w:rtl/>
      </w:rPr>
      <w:t>1</w:t>
    </w:r>
    <w:r>
      <w:rPr>
        <w:rFonts w:ascii="FrankRuehl" w:hAnsi="FrankRuehl" w:cs="FrankRuehl"/>
        <w:rtl/>
      </w:rPr>
      <w:fldChar w:fldCharType="end"/>
    </w:r>
  </w:p>
  <w:p w14:paraId="17FCBE14" w14:textId="77777777" w:rsidR="008F0499" w:rsidRPr="007B22AC" w:rsidRDefault="007B22AC" w:rsidP="007B22AC">
    <w:pPr>
      <w:pStyle w:val="a4"/>
      <w:pBdr>
        <w:top w:val="single" w:sz="4" w:space="1" w:color="auto"/>
        <w:between w:val="single" w:sz="4" w:space="0" w:color="auto"/>
      </w:pBdr>
      <w:spacing w:after="60"/>
      <w:jc w:val="center"/>
      <w:rPr>
        <w:rFonts w:ascii="FrankRuehl" w:hAnsi="FrankRuehl" w:cs="FrankRuehl"/>
        <w:color w:val="000000"/>
      </w:rPr>
    </w:pPr>
    <w:r w:rsidRPr="007B22AC">
      <w:rPr>
        <w:rFonts w:ascii="FrankRuehl" w:hAnsi="FrankRuehl" w:cs="FrankRuehl"/>
        <w:color w:val="000000"/>
      </w:rPr>
      <w:pict w14:anchorId="421AC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8EEAA" w14:textId="77777777" w:rsidR="00805009" w:rsidRPr="008A4A67" w:rsidRDefault="00805009">
      <w:pPr>
        <w:rPr>
          <w:rFonts w:cs="Arial"/>
          <w:szCs w:val="20"/>
        </w:rPr>
      </w:pPr>
      <w:r>
        <w:separator/>
      </w:r>
    </w:p>
  </w:footnote>
  <w:footnote w:type="continuationSeparator" w:id="0">
    <w:p w14:paraId="11B2DD16" w14:textId="77777777" w:rsidR="00805009" w:rsidRPr="008A4A67" w:rsidRDefault="0080500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9C28A" w14:textId="77777777" w:rsidR="007B22AC" w:rsidRPr="007B22AC" w:rsidRDefault="007B22AC" w:rsidP="007B22A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22722-05-13</w:t>
    </w:r>
    <w:r>
      <w:rPr>
        <w:color w:val="000000"/>
        <w:sz w:val="22"/>
        <w:szCs w:val="22"/>
        <w:rtl/>
      </w:rPr>
      <w:tab/>
      <w:t xml:space="preserve"> מדינת ישראל נ' אסמעיל אלאעסם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49AF2" w14:textId="77777777" w:rsidR="007B22AC" w:rsidRPr="007B22AC" w:rsidRDefault="007B22AC" w:rsidP="007B22A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22722-05-13</w:t>
    </w:r>
    <w:r>
      <w:rPr>
        <w:color w:val="000000"/>
        <w:sz w:val="22"/>
        <w:szCs w:val="22"/>
        <w:rtl/>
      </w:rPr>
      <w:tab/>
      <w:t xml:space="preserve"> מדינת ישראל נ' אסמעיל אלאעסם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4A02"/>
    <w:multiLevelType w:val="hybridMultilevel"/>
    <w:tmpl w:val="DADE1C8E"/>
    <w:lvl w:ilvl="0" w:tplc="27EE568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B5713EE"/>
    <w:multiLevelType w:val="hybridMultilevel"/>
    <w:tmpl w:val="355A3A00"/>
    <w:lvl w:ilvl="0" w:tplc="254EA53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8CF523A"/>
    <w:multiLevelType w:val="hybridMultilevel"/>
    <w:tmpl w:val="7458C428"/>
    <w:lvl w:ilvl="0" w:tplc="29842EF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7F56DA5"/>
    <w:multiLevelType w:val="hybridMultilevel"/>
    <w:tmpl w:val="83B4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12925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6115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10635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5602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0499"/>
    <w:rsid w:val="003676DF"/>
    <w:rsid w:val="0050459C"/>
    <w:rsid w:val="00785FEF"/>
    <w:rsid w:val="007B22AC"/>
    <w:rsid w:val="00805009"/>
    <w:rsid w:val="00834ECB"/>
    <w:rsid w:val="008F0499"/>
    <w:rsid w:val="00BB77CD"/>
    <w:rsid w:val="00C447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365885E"/>
  <w15:chartTrackingRefBased/>
  <w15:docId w15:val="{0E142545-867C-4840-AB29-A74F65C0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49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F0499"/>
    <w:pPr>
      <w:tabs>
        <w:tab w:val="center" w:pos="4153"/>
        <w:tab w:val="right" w:pos="8306"/>
      </w:tabs>
    </w:pPr>
  </w:style>
  <w:style w:type="paragraph" w:styleId="a4">
    <w:name w:val="footer"/>
    <w:basedOn w:val="a"/>
    <w:rsid w:val="008F0499"/>
    <w:pPr>
      <w:tabs>
        <w:tab w:val="center" w:pos="4153"/>
        <w:tab w:val="right" w:pos="8306"/>
      </w:tabs>
    </w:pPr>
  </w:style>
  <w:style w:type="character" w:styleId="a5">
    <w:name w:val="page number"/>
    <w:basedOn w:val="a0"/>
    <w:rsid w:val="008F0499"/>
  </w:style>
  <w:style w:type="character" w:customStyle="1" w:styleId="TimesNewRomanTimesNewRoman">
    <w:name w:val="סגנון (לטיני) Times New Roman (עברית ושפות אחרות) Times New Roman..."/>
    <w:basedOn w:val="a0"/>
    <w:rsid w:val="008F049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F049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F0499"/>
    <w:pPr>
      <w:spacing w:line="360" w:lineRule="auto"/>
      <w:jc w:val="both"/>
    </w:pPr>
    <w:rPr>
      <w:rFonts w:ascii="Times New Roman" w:eastAsia="Times New Roman" w:hAnsi="Times New Roman"/>
    </w:rPr>
  </w:style>
  <w:style w:type="paragraph" w:customStyle="1" w:styleId="ListParagraph">
    <w:name w:val="List Paragraph"/>
    <w:basedOn w:val="a"/>
    <w:rsid w:val="008F0499"/>
    <w:pPr>
      <w:spacing w:after="200" w:line="276" w:lineRule="auto"/>
      <w:ind w:left="720"/>
      <w:contextualSpacing/>
    </w:pPr>
    <w:rPr>
      <w:rFonts w:ascii="Calibri" w:eastAsia="Calibri" w:hAnsi="Calibri" w:cs="Arial"/>
      <w:sz w:val="22"/>
      <w:szCs w:val="22"/>
    </w:rPr>
  </w:style>
  <w:style w:type="character" w:styleId="a6">
    <w:name w:val="line number"/>
    <w:basedOn w:val="a0"/>
    <w:rsid w:val="008F0499"/>
  </w:style>
  <w:style w:type="character" w:styleId="Hyperlink">
    <w:name w:val="Hyperlink"/>
    <w:basedOn w:val="a0"/>
    <w:rsid w:val="007B2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53075" TargetMode="External"/><Relationship Id="rId39" Type="http://schemas.openxmlformats.org/officeDocument/2006/relationships/header" Target="header2.xml"/><Relationship Id="rId21" Type="http://schemas.openxmlformats.org/officeDocument/2006/relationships/hyperlink" Target="http://www.nevo.co.il/case/2737580" TargetMode="External"/><Relationship Id="rId34" Type="http://schemas.openxmlformats.org/officeDocument/2006/relationships/hyperlink" Target="http://www.nevo.co.il/law/4216"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737580" TargetMode="External"/><Relationship Id="rId29" Type="http://schemas.openxmlformats.org/officeDocument/2006/relationships/hyperlink" Target="http://www.nevo.co.il/links/psika/?link=&#1514;&#1508;%201398/08"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6243627" TargetMode="External"/><Relationship Id="rId32" Type="http://schemas.openxmlformats.org/officeDocument/2006/relationships/hyperlink" Target="http://www.nevo.co.il/links/psika/?link=&#1506;&#1508;%204872/9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4390981" TargetMode="External"/><Relationship Id="rId36" Type="http://schemas.openxmlformats.org/officeDocument/2006/relationships/hyperlink" Target="http://www.nevo.co.il/case/783688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6095804" TargetMode="External"/><Relationship Id="rId31" Type="http://schemas.openxmlformats.org/officeDocument/2006/relationships/hyperlink" Target="http://www.nevo.co.il/law/70301/40ja.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6093386" TargetMode="External"/><Relationship Id="rId27" Type="http://schemas.openxmlformats.org/officeDocument/2006/relationships/hyperlink" Target="http://www.nevo.co.il/case/4553790" TargetMode="External"/><Relationship Id="rId30" Type="http://schemas.openxmlformats.org/officeDocument/2006/relationships/hyperlink" Target="http://www.nevo.co.il/links/psika/?link=&#1514;&#1508;%201278/07"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275" TargetMode="External"/><Relationship Id="rId25" Type="http://schemas.openxmlformats.org/officeDocument/2006/relationships/hyperlink" Target="http://www.nevo.co.il/links/psika/?link=&#1506;&#1508;%203537/06" TargetMode="External"/><Relationship Id="rId33" Type="http://schemas.openxmlformats.org/officeDocument/2006/relationships/hyperlink" Target="http://www.nevo.co.il/law/70301/40ja"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1981</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11863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3997810</vt:i4>
      </vt:variant>
      <vt:variant>
        <vt:i4>87</vt:i4>
      </vt:variant>
      <vt:variant>
        <vt:i4>0</vt:i4>
      </vt:variant>
      <vt:variant>
        <vt:i4>5</vt:i4>
      </vt:variant>
      <vt:variant>
        <vt:lpwstr>http://www.nevo.co.il/case/7836881</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99354046</vt:i4>
      </vt:variant>
      <vt:variant>
        <vt:i4>75</vt:i4>
      </vt:variant>
      <vt:variant>
        <vt:i4>0</vt:i4>
      </vt:variant>
      <vt:variant>
        <vt:i4>5</vt:i4>
      </vt:variant>
      <vt:variant>
        <vt:lpwstr>http://www.nevo.co.il/links/psika/?link=עפ 4872/95</vt:lpwstr>
      </vt:variant>
      <vt:variant>
        <vt:lpwstr/>
      </vt:variant>
      <vt:variant>
        <vt:i4>3145765</vt:i4>
      </vt:variant>
      <vt:variant>
        <vt:i4>72</vt:i4>
      </vt:variant>
      <vt:variant>
        <vt:i4>0</vt:i4>
      </vt:variant>
      <vt:variant>
        <vt:i4>5</vt:i4>
      </vt:variant>
      <vt:variant>
        <vt:lpwstr>http://www.nevo.co.il/law/70301/40ja.4</vt:lpwstr>
      </vt:variant>
      <vt:variant>
        <vt:lpwstr/>
      </vt:variant>
      <vt:variant>
        <vt:i4>99288511</vt:i4>
      </vt:variant>
      <vt:variant>
        <vt:i4>69</vt:i4>
      </vt:variant>
      <vt:variant>
        <vt:i4>0</vt:i4>
      </vt:variant>
      <vt:variant>
        <vt:i4>5</vt:i4>
      </vt:variant>
      <vt:variant>
        <vt:lpwstr>http://www.nevo.co.il/links/psika/?link=תפ 1278/07</vt:lpwstr>
      </vt:variant>
      <vt:variant>
        <vt:lpwstr/>
      </vt:variant>
      <vt:variant>
        <vt:i4>99222974</vt:i4>
      </vt:variant>
      <vt:variant>
        <vt:i4>66</vt:i4>
      </vt:variant>
      <vt:variant>
        <vt:i4>0</vt:i4>
      </vt:variant>
      <vt:variant>
        <vt:i4>5</vt:i4>
      </vt:variant>
      <vt:variant>
        <vt:lpwstr>http://www.nevo.co.il/links/psika/?link=תפ 1398/08</vt:lpwstr>
      </vt:variant>
      <vt:variant>
        <vt:lpwstr/>
      </vt:variant>
      <vt:variant>
        <vt:i4>3473535</vt:i4>
      </vt:variant>
      <vt:variant>
        <vt:i4>63</vt:i4>
      </vt:variant>
      <vt:variant>
        <vt:i4>0</vt:i4>
      </vt:variant>
      <vt:variant>
        <vt:i4>5</vt:i4>
      </vt:variant>
      <vt:variant>
        <vt:lpwstr>http://www.nevo.co.il/case/4390981</vt:lpwstr>
      </vt:variant>
      <vt:variant>
        <vt:lpwstr/>
      </vt:variant>
      <vt:variant>
        <vt:i4>3539067</vt:i4>
      </vt:variant>
      <vt:variant>
        <vt:i4>60</vt:i4>
      </vt:variant>
      <vt:variant>
        <vt:i4>0</vt:i4>
      </vt:variant>
      <vt:variant>
        <vt:i4>5</vt:i4>
      </vt:variant>
      <vt:variant>
        <vt:lpwstr>http://www.nevo.co.il/case/4553790</vt:lpwstr>
      </vt:variant>
      <vt:variant>
        <vt:lpwstr/>
      </vt:variant>
      <vt:variant>
        <vt:i4>3473528</vt:i4>
      </vt:variant>
      <vt:variant>
        <vt:i4>57</vt:i4>
      </vt:variant>
      <vt:variant>
        <vt:i4>0</vt:i4>
      </vt:variant>
      <vt:variant>
        <vt:i4>5</vt:i4>
      </vt:variant>
      <vt:variant>
        <vt:lpwstr>http://www.nevo.co.il/case/5853075</vt:lpwstr>
      </vt:variant>
      <vt:variant>
        <vt:lpwstr/>
      </vt:variant>
      <vt:variant>
        <vt:i4>99354047</vt:i4>
      </vt:variant>
      <vt:variant>
        <vt:i4>54</vt:i4>
      </vt:variant>
      <vt:variant>
        <vt:i4>0</vt:i4>
      </vt:variant>
      <vt:variant>
        <vt:i4>5</vt:i4>
      </vt:variant>
      <vt:variant>
        <vt:lpwstr>http://www.nevo.co.il/links/psika/?link=עפ 3537/06</vt:lpwstr>
      </vt:variant>
      <vt:variant>
        <vt:lpwstr/>
      </vt:variant>
      <vt:variant>
        <vt:i4>3342455</vt:i4>
      </vt:variant>
      <vt:variant>
        <vt:i4>51</vt:i4>
      </vt:variant>
      <vt:variant>
        <vt:i4>0</vt:i4>
      </vt:variant>
      <vt:variant>
        <vt:i4>5</vt:i4>
      </vt:variant>
      <vt:variant>
        <vt:lpwstr>http://www.nevo.co.il/case/6243627</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3801215</vt:i4>
      </vt:variant>
      <vt:variant>
        <vt:i4>45</vt:i4>
      </vt:variant>
      <vt:variant>
        <vt:i4>0</vt:i4>
      </vt:variant>
      <vt:variant>
        <vt:i4>5</vt:i4>
      </vt:variant>
      <vt:variant>
        <vt:lpwstr>http://www.nevo.co.il/case/6093386</vt:lpwstr>
      </vt:variant>
      <vt:variant>
        <vt:lpwstr/>
      </vt:variant>
      <vt:variant>
        <vt:i4>3407996</vt:i4>
      </vt:variant>
      <vt:variant>
        <vt:i4>42</vt:i4>
      </vt:variant>
      <vt:variant>
        <vt:i4>0</vt:i4>
      </vt:variant>
      <vt:variant>
        <vt:i4>5</vt:i4>
      </vt:variant>
      <vt:variant>
        <vt:lpwstr>http://www.nevo.co.il/case/2737580</vt:lpwstr>
      </vt:variant>
      <vt:variant>
        <vt:lpwstr/>
      </vt:variant>
      <vt:variant>
        <vt:i4>3407996</vt:i4>
      </vt:variant>
      <vt:variant>
        <vt:i4>39</vt:i4>
      </vt:variant>
      <vt:variant>
        <vt:i4>0</vt:i4>
      </vt:variant>
      <vt:variant>
        <vt:i4>5</vt:i4>
      </vt:variant>
      <vt:variant>
        <vt:lpwstr>http://www.nevo.co.il/case/2737580</vt:lpwstr>
      </vt:variant>
      <vt:variant>
        <vt:lpwstr/>
      </vt:variant>
      <vt:variant>
        <vt:i4>3342449</vt:i4>
      </vt:variant>
      <vt:variant>
        <vt:i4>36</vt:i4>
      </vt:variant>
      <vt:variant>
        <vt:i4>0</vt:i4>
      </vt:variant>
      <vt:variant>
        <vt:i4>5</vt:i4>
      </vt:variant>
      <vt:variant>
        <vt:lpwstr>http://www.nevo.co.il/case/6095804</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3145765</vt:i4>
      </vt:variant>
      <vt:variant>
        <vt:i4>18</vt:i4>
      </vt:variant>
      <vt:variant>
        <vt:i4>0</vt:i4>
      </vt:variant>
      <vt:variant>
        <vt:i4>5</vt:i4>
      </vt:variant>
      <vt:variant>
        <vt:lpwstr>http://www.nevo.co.il/law/70301/40ja.4</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22722</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אסמעיל אלאעסם</vt:lpwstr>
  </property>
  <property fmtid="{D5CDD505-2E9C-101B-9397-08002B2CF9AE}" pid="10" name="LAWYER">
    <vt:lpwstr>דוד ג'נבה;סמיר אבו עאבד</vt:lpwstr>
  </property>
  <property fmtid="{D5CDD505-2E9C-101B-9397-08002B2CF9AE}" pid="11" name="JUDGE">
    <vt:lpwstr>אמיר דורון</vt:lpwstr>
  </property>
  <property fmtid="{D5CDD505-2E9C-101B-9397-08002B2CF9AE}" pid="12" name="CITY">
    <vt:lpwstr>ב"ש</vt:lpwstr>
  </property>
  <property fmtid="{D5CDD505-2E9C-101B-9397-08002B2CF9AE}" pid="13" name="DATE">
    <vt:lpwstr>20140413</vt:lpwstr>
  </property>
  <property fmtid="{D5CDD505-2E9C-101B-9397-08002B2CF9AE}" pid="14" name="TYPE_N_DATE">
    <vt:lpwstr>38020140413</vt:lpwstr>
  </property>
  <property fmtid="{D5CDD505-2E9C-101B-9397-08002B2CF9AE}" pid="15" name="CASESLISTTMP1">
    <vt:lpwstr>6095804;2737580:2;6093386;5698919;6243627;5853075;4553790;4390981;7836881</vt:lpwstr>
  </property>
  <property fmtid="{D5CDD505-2E9C-101B-9397-08002B2CF9AE}" pid="16" name="CASENOTES1">
    <vt:lpwstr>ProcID=135&amp;PartA=18377&amp;PartB=08&amp;PartC=10</vt:lpwstr>
  </property>
  <property fmtid="{D5CDD505-2E9C-101B-9397-08002B2CF9AE}" pid="17" name="CASENOTES2">
    <vt:lpwstr>ProcID=133;209&amp;PartA=3537&amp;PartC=06</vt:lpwstr>
  </property>
  <property fmtid="{D5CDD505-2E9C-101B-9397-08002B2CF9AE}" pid="18" name="CASENOTES3">
    <vt:lpwstr>ProcID=133;209&amp;PartA=4872&amp;PartC=95</vt:lpwstr>
  </property>
  <property fmtid="{D5CDD505-2E9C-101B-9397-08002B2CF9AE}" pid="19" name="CASENOTES4">
    <vt:lpwstr>ProcID=209&amp;PartA=1398&amp;PartC=08</vt:lpwstr>
  </property>
  <property fmtid="{D5CDD505-2E9C-101B-9397-08002B2CF9AE}" pid="20" name="CASENOTES5">
    <vt:lpwstr>ProcID=209&amp;PartA=1278&amp;PartC=07</vt:lpwstr>
  </property>
  <property fmtid="{D5CDD505-2E9C-101B-9397-08002B2CF9AE}" pid="21" name="CASENOTES6">
    <vt:lpwstr>ProcID=209&amp;PartA=36919&amp;PartB=11&amp;PartC=10</vt:lpwstr>
  </property>
  <property fmtid="{D5CDD505-2E9C-101B-9397-08002B2CF9AE}" pid="22" name="WORDNUMPAGES">
    <vt:lpwstr>7</vt:lpwstr>
  </property>
  <property fmtid="{D5CDD505-2E9C-101B-9397-08002B2CF9AE}" pid="23" name="TYPE_ABS_DATE">
    <vt:lpwstr>380020140413</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ISABSTRACT">
    <vt:lpwstr>Y</vt:lpwstr>
  </property>
  <property fmtid="{D5CDD505-2E9C-101B-9397-08002B2CF9AE}" pid="42" name="LAWLISTTMP1">
    <vt:lpwstr>4216/007.a;007.c</vt:lpwstr>
  </property>
  <property fmtid="{D5CDD505-2E9C-101B-9397-08002B2CF9AE}" pid="43" name="LAWLISTTMP2">
    <vt:lpwstr>70301/275;40ja.4;40ja</vt:lpwstr>
  </property>
</Properties>
</file>