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D912CE" w:rsidRPr="00EE2549" w14:paraId="05F64CA3" w14:textId="77777777">
        <w:trPr>
          <w:trHeight w:hRule="exact" w:val="418"/>
          <w:jc w:val="center"/>
        </w:trPr>
        <w:tc>
          <w:tcPr>
            <w:tcW w:w="8720" w:type="dxa"/>
            <w:gridSpan w:val="3"/>
          </w:tcPr>
          <w:p w14:paraId="6B7F1931" w14:textId="77777777" w:rsidR="00D912CE" w:rsidRPr="00EE2549" w:rsidRDefault="00EE2549">
            <w:pPr>
              <w:pStyle w:val="a3"/>
              <w:tabs>
                <w:tab w:val="clear" w:pos="8306"/>
              </w:tabs>
              <w:jc w:val="center"/>
              <w:rPr>
                <w:rFonts w:ascii="Tahoma" w:hAnsi="Tahoma" w:cs="Tahoma"/>
                <w:b/>
                <w:bCs/>
                <w:color w:val="000080"/>
                <w:sz w:val="20"/>
                <w:szCs w:val="20"/>
                <w:rtl/>
              </w:rPr>
            </w:pPr>
            <w:bookmarkStart w:id="0" w:name="LastJudge"/>
            <w:r w:rsidRPr="00EE2549">
              <w:rPr>
                <w:rFonts w:ascii="Tahoma" w:hAnsi="Tahoma" w:cs="Tahoma"/>
                <w:b/>
                <w:bCs/>
                <w:color w:val="000080"/>
                <w:sz w:val="20"/>
                <w:szCs w:val="20"/>
                <w:rtl/>
              </w:rPr>
              <w:t>בית משפט השלום בתל אביב - יפו</w:t>
            </w:r>
          </w:p>
        </w:tc>
      </w:tr>
      <w:tr w:rsidR="00D912CE" w:rsidRPr="00EE2549" w14:paraId="0C498AB8" w14:textId="77777777">
        <w:trPr>
          <w:trHeight w:val="337"/>
          <w:jc w:val="center"/>
        </w:trPr>
        <w:tc>
          <w:tcPr>
            <w:tcW w:w="3973" w:type="dxa"/>
          </w:tcPr>
          <w:p w14:paraId="54E6C8FA" w14:textId="77777777" w:rsidR="00D912CE" w:rsidRPr="00EE2549" w:rsidRDefault="00EE2549">
            <w:pPr>
              <w:rPr>
                <w:b/>
                <w:bCs/>
                <w:sz w:val="26"/>
                <w:szCs w:val="26"/>
                <w:rtl/>
              </w:rPr>
            </w:pPr>
            <w:r w:rsidRPr="00EE2549">
              <w:rPr>
                <w:b/>
                <w:bCs/>
                <w:sz w:val="26"/>
                <w:szCs w:val="26"/>
                <w:rtl/>
              </w:rPr>
              <w:t>ת"פ</w:t>
            </w:r>
            <w:r w:rsidRPr="00EE2549">
              <w:rPr>
                <w:rFonts w:hint="cs"/>
                <w:b/>
                <w:bCs/>
                <w:sz w:val="26"/>
                <w:szCs w:val="26"/>
                <w:rtl/>
              </w:rPr>
              <w:t xml:space="preserve"> </w:t>
            </w:r>
            <w:r w:rsidRPr="00EE2549">
              <w:rPr>
                <w:b/>
                <w:bCs/>
                <w:sz w:val="26"/>
                <w:szCs w:val="26"/>
                <w:rtl/>
              </w:rPr>
              <w:t>2315-05-13</w:t>
            </w:r>
            <w:r w:rsidRPr="00EE2549">
              <w:rPr>
                <w:rFonts w:hint="cs"/>
                <w:b/>
                <w:bCs/>
                <w:sz w:val="26"/>
                <w:szCs w:val="26"/>
                <w:rtl/>
              </w:rPr>
              <w:t xml:space="preserve"> </w:t>
            </w:r>
            <w:r w:rsidRPr="00EE2549">
              <w:rPr>
                <w:b/>
                <w:bCs/>
                <w:sz w:val="26"/>
                <w:szCs w:val="26"/>
                <w:rtl/>
              </w:rPr>
              <w:t>מדינת ישראל נ' שור</w:t>
            </w:r>
          </w:p>
          <w:p w14:paraId="34B90EC4" w14:textId="77777777" w:rsidR="00D912CE" w:rsidRPr="00EE2549" w:rsidRDefault="00D912CE">
            <w:pPr>
              <w:rPr>
                <w:b/>
                <w:bCs/>
                <w:sz w:val="26"/>
                <w:szCs w:val="26"/>
                <w:rtl/>
              </w:rPr>
            </w:pPr>
          </w:p>
        </w:tc>
        <w:tc>
          <w:tcPr>
            <w:tcW w:w="1068" w:type="dxa"/>
          </w:tcPr>
          <w:p w14:paraId="3A7836EA" w14:textId="77777777" w:rsidR="00D912CE" w:rsidRPr="00EE2549" w:rsidRDefault="00D912CE">
            <w:pPr>
              <w:pStyle w:val="a3"/>
              <w:jc w:val="right"/>
              <w:rPr>
                <w:b/>
                <w:bCs/>
                <w:sz w:val="26"/>
                <w:szCs w:val="26"/>
                <w:rtl/>
              </w:rPr>
            </w:pPr>
          </w:p>
        </w:tc>
        <w:tc>
          <w:tcPr>
            <w:tcW w:w="3679" w:type="dxa"/>
          </w:tcPr>
          <w:p w14:paraId="30DF9450" w14:textId="77777777" w:rsidR="00D912CE" w:rsidRPr="00EE2549" w:rsidRDefault="00EE2549">
            <w:pPr>
              <w:pStyle w:val="a3"/>
              <w:tabs>
                <w:tab w:val="clear" w:pos="4153"/>
              </w:tabs>
              <w:jc w:val="right"/>
              <w:rPr>
                <w:b/>
                <w:bCs/>
                <w:sz w:val="26"/>
                <w:szCs w:val="26"/>
                <w:rtl/>
              </w:rPr>
            </w:pPr>
            <w:r w:rsidRPr="00EE2549">
              <w:rPr>
                <w:b/>
                <w:bCs/>
                <w:sz w:val="26"/>
                <w:szCs w:val="26"/>
                <w:rtl/>
              </w:rPr>
              <w:t>11 נובמבר 2014</w:t>
            </w:r>
          </w:p>
        </w:tc>
      </w:tr>
    </w:tbl>
    <w:p w14:paraId="7C5B7D85" w14:textId="77777777" w:rsidR="00D912CE" w:rsidRPr="00EE2549" w:rsidRDefault="00D912CE">
      <w:pPr>
        <w:pStyle w:val="a3"/>
        <w:jc w:val="center"/>
        <w:rPr>
          <w:rFonts w:ascii="Tahoma" w:hAnsi="Tahoma" w:cs="Tahoma"/>
          <w:b/>
          <w:bCs/>
          <w:color w:val="000080"/>
          <w:sz w:val="20"/>
          <w:szCs w:val="20"/>
          <w:rtl/>
        </w:rPr>
      </w:pPr>
    </w:p>
    <w:p w14:paraId="5CEB5EDC" w14:textId="77777777" w:rsidR="00D912CE" w:rsidRPr="00EE2549" w:rsidRDefault="00D912CE">
      <w:pPr>
        <w:suppressLineNumbers/>
        <w:spacing w:line="360" w:lineRule="auto"/>
        <w:jc w:val="both"/>
        <w:rPr>
          <w:rFonts w:ascii="Arial" w:hAnsi="Arial"/>
          <w:rtl/>
        </w:rPr>
      </w:pPr>
    </w:p>
    <w:tbl>
      <w:tblPr>
        <w:bidiVisual/>
        <w:tblW w:w="0" w:type="auto"/>
        <w:jc w:val="center"/>
        <w:tblLook w:val="0000" w:firstRow="0" w:lastRow="0" w:firstColumn="0" w:lastColumn="0" w:noHBand="0" w:noVBand="0"/>
      </w:tblPr>
      <w:tblGrid>
        <w:gridCol w:w="5856"/>
        <w:gridCol w:w="236"/>
        <w:gridCol w:w="2628"/>
      </w:tblGrid>
      <w:tr w:rsidR="00D912CE" w:rsidRPr="00EE2549" w14:paraId="64AC07A4" w14:textId="77777777">
        <w:trPr>
          <w:trHeight w:val="337"/>
          <w:jc w:val="center"/>
        </w:trPr>
        <w:tc>
          <w:tcPr>
            <w:tcW w:w="5856" w:type="dxa"/>
          </w:tcPr>
          <w:p w14:paraId="4CA30E64" w14:textId="77777777" w:rsidR="00D912CE" w:rsidRPr="00EE2549" w:rsidRDefault="00EE2549">
            <w:pPr>
              <w:spacing w:line="360" w:lineRule="auto"/>
              <w:jc w:val="both"/>
              <w:rPr>
                <w:b/>
                <w:bCs/>
                <w:sz w:val="26"/>
                <w:szCs w:val="26"/>
                <w:rtl/>
              </w:rPr>
            </w:pPr>
            <w:r w:rsidRPr="00EE2549">
              <w:rPr>
                <w:rFonts w:hint="cs"/>
                <w:b/>
                <w:bCs/>
                <w:sz w:val="26"/>
                <w:szCs w:val="26"/>
                <w:rtl/>
              </w:rPr>
              <w:t>בפני כב' ה</w:t>
            </w:r>
            <w:r w:rsidRPr="00EE2549">
              <w:rPr>
                <w:rFonts w:hint="cs"/>
                <w:rtl/>
              </w:rPr>
              <w:t>שופט עידו דרויאן</w:t>
            </w:r>
          </w:p>
        </w:tc>
        <w:tc>
          <w:tcPr>
            <w:tcW w:w="236" w:type="dxa"/>
          </w:tcPr>
          <w:p w14:paraId="266BDE75" w14:textId="77777777" w:rsidR="00D912CE" w:rsidRPr="00EE2549" w:rsidRDefault="00D912CE">
            <w:pPr>
              <w:pStyle w:val="a3"/>
              <w:jc w:val="both"/>
              <w:rPr>
                <w:b/>
                <w:bCs/>
                <w:sz w:val="26"/>
                <w:szCs w:val="26"/>
                <w:rtl/>
              </w:rPr>
            </w:pPr>
          </w:p>
        </w:tc>
        <w:tc>
          <w:tcPr>
            <w:tcW w:w="2628" w:type="dxa"/>
          </w:tcPr>
          <w:p w14:paraId="1341F6F6" w14:textId="77777777" w:rsidR="00D912CE" w:rsidRPr="00EE2549" w:rsidRDefault="00EE2549">
            <w:pPr>
              <w:pStyle w:val="a3"/>
              <w:jc w:val="both"/>
              <w:rPr>
                <w:b/>
                <w:bCs/>
                <w:sz w:val="26"/>
                <w:szCs w:val="26"/>
                <w:rtl/>
              </w:rPr>
            </w:pPr>
            <w:r w:rsidRPr="00EE2549">
              <w:rPr>
                <w:rFonts w:hint="cs"/>
                <w:rtl/>
              </w:rPr>
              <w:t>2317-05-13</w:t>
            </w:r>
            <w:r w:rsidRPr="00EE2549">
              <w:rPr>
                <w:rFonts w:hint="cs"/>
                <w:b/>
                <w:bCs/>
                <w:sz w:val="26"/>
                <w:szCs w:val="26"/>
                <w:rtl/>
              </w:rPr>
              <w:t xml:space="preserve"> </w:t>
            </w:r>
          </w:p>
        </w:tc>
      </w:tr>
    </w:tbl>
    <w:p w14:paraId="36AE1B56" w14:textId="77777777" w:rsidR="00D912CE" w:rsidRPr="00EE2549" w:rsidRDefault="00D912CE">
      <w:pPr>
        <w:suppressLineNumbers/>
        <w:spacing w:line="360" w:lineRule="auto"/>
        <w:jc w:val="both"/>
        <w:rPr>
          <w:rFonts w:ascii="Arial" w:hAnsi="Arial"/>
          <w:rtl/>
        </w:rPr>
      </w:pPr>
    </w:p>
    <w:p w14:paraId="505B7647" w14:textId="77777777" w:rsidR="00D912CE" w:rsidRPr="00EE2549" w:rsidRDefault="00D912CE">
      <w:pPr>
        <w:spacing w:line="360" w:lineRule="auto"/>
        <w:jc w:val="both"/>
        <w:rPr>
          <w:rtl/>
        </w:rPr>
      </w:pPr>
    </w:p>
    <w:tbl>
      <w:tblPr>
        <w:bidiVisual/>
        <w:tblW w:w="8802" w:type="dxa"/>
        <w:tblInd w:w="-28" w:type="dxa"/>
        <w:tblLayout w:type="fixed"/>
        <w:tblLook w:val="01E0" w:firstRow="1" w:lastRow="1" w:firstColumn="1" w:lastColumn="1" w:noHBand="0" w:noVBand="0"/>
      </w:tblPr>
      <w:tblGrid>
        <w:gridCol w:w="3240"/>
        <w:gridCol w:w="5562"/>
      </w:tblGrid>
      <w:tr w:rsidR="00D912CE" w:rsidRPr="00EE2549" w14:paraId="1EF73502" w14:textId="77777777">
        <w:tc>
          <w:tcPr>
            <w:tcW w:w="3240" w:type="dxa"/>
          </w:tcPr>
          <w:p w14:paraId="5FD558EF" w14:textId="77777777" w:rsidR="00D912CE" w:rsidRPr="00EE2549" w:rsidRDefault="00EE2549">
            <w:pPr>
              <w:ind w:left="26"/>
              <w:rPr>
                <w:rFonts w:ascii="Times New Roman" w:eastAsia="Times New Roman" w:hAnsi="Times New Roman"/>
                <w:b/>
                <w:bCs/>
                <w:sz w:val="26"/>
                <w:szCs w:val="26"/>
                <w:rtl/>
              </w:rPr>
            </w:pPr>
            <w:bookmarkStart w:id="1" w:name="FirstAppellant"/>
            <w:r w:rsidRPr="00EE2549">
              <w:rPr>
                <w:rFonts w:ascii="Times New Roman" w:eastAsia="Times New Roman" w:hAnsi="Times New Roman" w:hint="cs"/>
                <w:b/>
                <w:bCs/>
                <w:sz w:val="26"/>
                <w:szCs w:val="26"/>
                <w:rtl/>
              </w:rPr>
              <w:t>המאשימה</w:t>
            </w:r>
          </w:p>
        </w:tc>
        <w:tc>
          <w:tcPr>
            <w:tcW w:w="5562" w:type="dxa"/>
          </w:tcPr>
          <w:p w14:paraId="16C1AC2F" w14:textId="77777777" w:rsidR="00D912CE" w:rsidRPr="00EE2549" w:rsidRDefault="00EE2549">
            <w:pPr>
              <w:rPr>
                <w:rFonts w:ascii="Times New Roman" w:eastAsia="Times New Roman" w:hAnsi="Times New Roman"/>
                <w:b/>
                <w:bCs/>
                <w:sz w:val="26"/>
                <w:szCs w:val="26"/>
                <w:rtl/>
              </w:rPr>
            </w:pPr>
            <w:r w:rsidRPr="00EE2549">
              <w:rPr>
                <w:rFonts w:ascii="Times New Roman" w:eastAsia="Times New Roman" w:hAnsi="Times New Roman" w:hint="cs"/>
                <w:b/>
                <w:bCs/>
                <w:sz w:val="26"/>
                <w:szCs w:val="26"/>
                <w:rtl/>
              </w:rPr>
              <w:t xml:space="preserve"> </w:t>
            </w:r>
            <w:r w:rsidRPr="00EE2549">
              <w:rPr>
                <w:rFonts w:ascii="Times New Roman" w:eastAsia="Times New Roman" w:hAnsi="Times New Roman" w:hint="cs"/>
                <w:rtl/>
              </w:rPr>
              <w:t>מדינת ישראל</w:t>
            </w:r>
          </w:p>
        </w:tc>
      </w:tr>
      <w:bookmarkEnd w:id="1"/>
      <w:tr w:rsidR="00D912CE" w:rsidRPr="00EE2549" w14:paraId="465B9581" w14:textId="77777777">
        <w:tc>
          <w:tcPr>
            <w:tcW w:w="8802" w:type="dxa"/>
            <w:gridSpan w:val="2"/>
          </w:tcPr>
          <w:p w14:paraId="0CB94E78" w14:textId="77777777" w:rsidR="00D912CE" w:rsidRPr="00EE2549" w:rsidRDefault="00D912CE">
            <w:pPr>
              <w:jc w:val="both"/>
              <w:rPr>
                <w:rFonts w:ascii="Arial" w:eastAsia="Times New Roman" w:hAnsi="Arial"/>
                <w:b/>
                <w:bCs/>
                <w:sz w:val="26"/>
                <w:szCs w:val="26"/>
                <w:rtl/>
              </w:rPr>
            </w:pPr>
          </w:p>
          <w:p w14:paraId="3C0402AC" w14:textId="77777777" w:rsidR="00D912CE" w:rsidRPr="00EE2549" w:rsidRDefault="00EE2549">
            <w:pPr>
              <w:jc w:val="center"/>
              <w:rPr>
                <w:rFonts w:ascii="Arial" w:eastAsia="Times New Roman" w:hAnsi="Arial"/>
                <w:b/>
                <w:bCs/>
                <w:sz w:val="26"/>
                <w:szCs w:val="26"/>
                <w:rtl/>
              </w:rPr>
            </w:pPr>
            <w:r w:rsidRPr="00EE2549">
              <w:rPr>
                <w:rFonts w:ascii="Arial" w:eastAsia="Times New Roman" w:hAnsi="Arial"/>
                <w:b/>
                <w:bCs/>
                <w:sz w:val="26"/>
                <w:szCs w:val="26"/>
                <w:rtl/>
              </w:rPr>
              <w:t>נגד</w:t>
            </w:r>
          </w:p>
          <w:p w14:paraId="00E7595A" w14:textId="77777777" w:rsidR="00D912CE" w:rsidRPr="00EE2549" w:rsidRDefault="00D912CE">
            <w:pPr>
              <w:jc w:val="center"/>
              <w:rPr>
                <w:rFonts w:ascii="Arial" w:eastAsia="Times New Roman" w:hAnsi="Arial"/>
                <w:b/>
                <w:bCs/>
                <w:sz w:val="26"/>
                <w:szCs w:val="26"/>
              </w:rPr>
            </w:pPr>
          </w:p>
        </w:tc>
      </w:tr>
      <w:tr w:rsidR="00D912CE" w:rsidRPr="00EE2549" w14:paraId="59F94DE0" w14:textId="77777777">
        <w:tc>
          <w:tcPr>
            <w:tcW w:w="3240" w:type="dxa"/>
          </w:tcPr>
          <w:p w14:paraId="42835E77" w14:textId="77777777" w:rsidR="00D912CE" w:rsidRPr="00EE2549" w:rsidRDefault="00EE2549">
            <w:pPr>
              <w:ind w:left="26"/>
              <w:rPr>
                <w:rFonts w:ascii="Times New Roman" w:eastAsia="Times New Roman" w:hAnsi="Times New Roman"/>
                <w:b/>
                <w:bCs/>
                <w:sz w:val="26"/>
                <w:szCs w:val="26"/>
                <w:rtl/>
              </w:rPr>
            </w:pPr>
            <w:r w:rsidRPr="00EE2549">
              <w:rPr>
                <w:rFonts w:ascii="Times New Roman" w:eastAsia="Times New Roman" w:hAnsi="Times New Roman" w:hint="cs"/>
                <w:b/>
                <w:bCs/>
                <w:sz w:val="26"/>
                <w:szCs w:val="26"/>
                <w:rtl/>
              </w:rPr>
              <w:t>ה</w:t>
            </w:r>
            <w:r w:rsidRPr="00EE2549">
              <w:rPr>
                <w:rFonts w:ascii="Times New Roman" w:eastAsia="Times New Roman" w:hAnsi="Times New Roman" w:hint="cs"/>
                <w:rtl/>
              </w:rPr>
              <w:t>נאשמים</w:t>
            </w:r>
          </w:p>
        </w:tc>
        <w:tc>
          <w:tcPr>
            <w:tcW w:w="5562" w:type="dxa"/>
          </w:tcPr>
          <w:p w14:paraId="44CBD00D" w14:textId="77777777" w:rsidR="00D912CE" w:rsidRPr="00EE2549" w:rsidRDefault="00EE2549">
            <w:pPr>
              <w:rPr>
                <w:rFonts w:ascii="Times New Roman" w:eastAsia="Times New Roman" w:hAnsi="Times New Roman"/>
                <w:b/>
                <w:bCs/>
                <w:sz w:val="26"/>
                <w:szCs w:val="26"/>
                <w:rtl/>
              </w:rPr>
            </w:pPr>
            <w:r w:rsidRPr="00EE2549">
              <w:rPr>
                <w:rFonts w:ascii="Times New Roman" w:eastAsia="Times New Roman" w:hAnsi="Times New Roman" w:hint="cs"/>
                <w:b/>
                <w:bCs/>
                <w:sz w:val="26"/>
                <w:szCs w:val="26"/>
                <w:rtl/>
              </w:rPr>
              <w:t xml:space="preserve"> </w:t>
            </w:r>
            <w:r w:rsidRPr="00EE2549">
              <w:rPr>
                <w:rFonts w:ascii="Times New Roman" w:eastAsia="Times New Roman" w:hAnsi="Times New Roman" w:hint="cs"/>
                <w:rtl/>
              </w:rPr>
              <w:t>שמואל שור</w:t>
            </w:r>
          </w:p>
        </w:tc>
      </w:tr>
    </w:tbl>
    <w:p w14:paraId="4C2D6B55" w14:textId="77777777" w:rsidR="00D912CE" w:rsidRPr="00EE2549" w:rsidRDefault="00D912CE">
      <w:pPr>
        <w:spacing w:line="360" w:lineRule="auto"/>
        <w:jc w:val="both"/>
        <w:rPr>
          <w:rtl/>
        </w:rPr>
      </w:pPr>
    </w:p>
    <w:p w14:paraId="057B775F" w14:textId="77777777" w:rsidR="00D912CE" w:rsidRPr="00EE2549" w:rsidRDefault="00EE2549">
      <w:pPr>
        <w:spacing w:line="360" w:lineRule="auto"/>
        <w:jc w:val="both"/>
        <w:rPr>
          <w:sz w:val="6"/>
          <w:szCs w:val="6"/>
          <w:rtl/>
        </w:rPr>
      </w:pPr>
      <w:r w:rsidRPr="00EE2549">
        <w:rPr>
          <w:sz w:val="6"/>
          <w:szCs w:val="6"/>
          <w:rtl/>
        </w:rPr>
        <w:t>&lt;#1#&gt;</w:t>
      </w:r>
    </w:p>
    <w:p w14:paraId="6C9F22AB" w14:textId="77777777" w:rsidR="00D912CE" w:rsidRPr="00EE2549" w:rsidRDefault="00EE2549">
      <w:pPr>
        <w:pStyle w:val="12"/>
        <w:rPr>
          <w:i/>
          <w:iCs/>
          <w:u w:val="none"/>
          <w:rtl/>
        </w:rPr>
      </w:pPr>
      <w:r w:rsidRPr="00EE2549">
        <w:rPr>
          <w:rFonts w:hint="cs"/>
          <w:i/>
          <w:iCs/>
          <w:u w:val="none"/>
          <w:rtl/>
        </w:rPr>
        <w:t>נוכחים:</w:t>
      </w:r>
    </w:p>
    <w:p w14:paraId="3001EBF0" w14:textId="77777777" w:rsidR="00D912CE" w:rsidRPr="00EE2549" w:rsidRDefault="00EE2549">
      <w:pPr>
        <w:pStyle w:val="12"/>
        <w:rPr>
          <w:b w:val="0"/>
          <w:bCs w:val="0"/>
          <w:i/>
          <w:iCs/>
          <w:u w:val="none"/>
          <w:rtl/>
        </w:rPr>
      </w:pPr>
      <w:bookmarkStart w:id="2" w:name="FirstLawyer"/>
      <w:r w:rsidRPr="00EE2549">
        <w:rPr>
          <w:rFonts w:hint="cs"/>
          <w:b w:val="0"/>
          <w:bCs w:val="0"/>
          <w:i/>
          <w:iCs/>
          <w:u w:val="none"/>
          <w:rtl/>
        </w:rPr>
        <w:t>ב"כ</w:t>
      </w:r>
      <w:bookmarkEnd w:id="2"/>
      <w:r w:rsidRPr="00EE2549">
        <w:rPr>
          <w:rFonts w:hint="cs"/>
          <w:b w:val="0"/>
          <w:bCs w:val="0"/>
          <w:i/>
          <w:iCs/>
          <w:u w:val="none"/>
          <w:rtl/>
        </w:rPr>
        <w:t xml:space="preserve"> המאשימה עו"ד זרנגר</w:t>
      </w:r>
    </w:p>
    <w:p w14:paraId="54C52CBB" w14:textId="77777777" w:rsidR="00D912CE" w:rsidRPr="00EE2549" w:rsidRDefault="00EE2549">
      <w:pPr>
        <w:pStyle w:val="12"/>
        <w:rPr>
          <w:b w:val="0"/>
          <w:bCs w:val="0"/>
          <w:i/>
          <w:iCs/>
          <w:u w:val="none"/>
          <w:rtl/>
        </w:rPr>
      </w:pPr>
      <w:r w:rsidRPr="00EE2549">
        <w:rPr>
          <w:rFonts w:hint="cs"/>
          <w:b w:val="0"/>
          <w:bCs w:val="0"/>
          <w:i/>
          <w:iCs/>
          <w:u w:val="none"/>
          <w:rtl/>
        </w:rPr>
        <w:t>ב"כ הנאשם עו"ד  איצקוביץ</w:t>
      </w:r>
    </w:p>
    <w:p w14:paraId="2B51D3E8" w14:textId="77777777" w:rsidR="00D912CE" w:rsidRPr="00EE2549" w:rsidRDefault="00EE2549">
      <w:pPr>
        <w:pStyle w:val="12"/>
        <w:rPr>
          <w:b w:val="0"/>
          <w:bCs w:val="0"/>
          <w:i/>
          <w:iCs/>
          <w:u w:val="none"/>
          <w:rtl/>
        </w:rPr>
      </w:pPr>
      <w:r w:rsidRPr="00EE2549">
        <w:rPr>
          <w:rFonts w:hint="cs"/>
          <w:b w:val="0"/>
          <w:bCs w:val="0"/>
          <w:i/>
          <w:iCs/>
          <w:u w:val="none"/>
          <w:rtl/>
        </w:rPr>
        <w:t xml:space="preserve">הנאשם </w:t>
      </w:r>
      <w:r w:rsidRPr="00EE2549">
        <w:rPr>
          <w:b w:val="0"/>
          <w:bCs w:val="0"/>
          <w:i/>
          <w:iCs/>
          <w:u w:val="none"/>
          <w:rtl/>
        </w:rPr>
        <w:t>–</w:t>
      </w:r>
      <w:r w:rsidRPr="00EE2549">
        <w:rPr>
          <w:rFonts w:hint="cs"/>
          <w:b w:val="0"/>
          <w:bCs w:val="0"/>
          <w:i/>
          <w:iCs/>
          <w:u w:val="none"/>
          <w:rtl/>
        </w:rPr>
        <w:t xml:space="preserve"> התייצב </w:t>
      </w:r>
    </w:p>
    <w:p w14:paraId="7D3B3A2D" w14:textId="77777777" w:rsidR="006D190C" w:rsidRDefault="00EE2549">
      <w:pPr>
        <w:spacing w:line="360" w:lineRule="auto"/>
        <w:jc w:val="center"/>
        <w:rPr>
          <w:rFonts w:ascii="Arial" w:hAnsi="Arial"/>
          <w:sz w:val="28"/>
          <w:szCs w:val="28"/>
          <w:rtl/>
        </w:rPr>
      </w:pPr>
      <w:r w:rsidRPr="00EE2549">
        <w:rPr>
          <w:rFonts w:ascii="Arial" w:hAnsi="Arial"/>
          <w:b/>
          <w:color w:val="FF0000"/>
          <w:sz w:val="28"/>
          <w:rtl/>
        </w:rPr>
        <w:t>במסמך זה הושמטו פרוטוקולים</w:t>
      </w:r>
      <w:bookmarkStart w:id="3" w:name="LawTable"/>
      <w:bookmarkEnd w:id="3"/>
    </w:p>
    <w:p w14:paraId="6433DAD0" w14:textId="77777777" w:rsidR="006D190C" w:rsidRPr="006D190C" w:rsidRDefault="006D190C" w:rsidP="006D190C">
      <w:pPr>
        <w:spacing w:after="120" w:line="240" w:lineRule="exact"/>
        <w:ind w:left="283" w:hanging="283"/>
        <w:jc w:val="both"/>
        <w:rPr>
          <w:rFonts w:ascii="FrankRuehl" w:hAnsi="FrankRuehl" w:cs="FrankRuehl"/>
          <w:rtl/>
        </w:rPr>
      </w:pPr>
    </w:p>
    <w:p w14:paraId="345E512E" w14:textId="77777777" w:rsidR="006D190C" w:rsidRPr="006D190C" w:rsidRDefault="006D190C" w:rsidP="006D190C">
      <w:pPr>
        <w:spacing w:after="120" w:line="240" w:lineRule="exact"/>
        <w:ind w:left="283" w:hanging="283"/>
        <w:jc w:val="both"/>
        <w:rPr>
          <w:rFonts w:ascii="FrankRuehl" w:hAnsi="FrankRuehl" w:cs="FrankRuehl"/>
          <w:rtl/>
        </w:rPr>
      </w:pPr>
      <w:r w:rsidRPr="006D190C">
        <w:rPr>
          <w:rFonts w:ascii="FrankRuehl" w:hAnsi="FrankRuehl" w:cs="FrankRuehl"/>
          <w:rtl/>
        </w:rPr>
        <w:t xml:space="preserve">חקיקה שאוזכרה: </w:t>
      </w:r>
    </w:p>
    <w:p w14:paraId="215D0F9B" w14:textId="77777777" w:rsidR="006D190C" w:rsidRPr="006D190C" w:rsidRDefault="006D190C" w:rsidP="006D190C">
      <w:pPr>
        <w:spacing w:after="120" w:line="240" w:lineRule="exact"/>
        <w:ind w:left="283" w:hanging="283"/>
        <w:jc w:val="both"/>
        <w:rPr>
          <w:rFonts w:ascii="FrankRuehl" w:hAnsi="FrankRuehl" w:cs="FrankRuehl"/>
          <w:rtl/>
        </w:rPr>
      </w:pPr>
      <w:hyperlink r:id="rId6" w:history="1">
        <w:r w:rsidRPr="006D190C">
          <w:rPr>
            <w:rFonts w:ascii="FrankRuehl" w:hAnsi="FrankRuehl" w:cs="FrankRuehl"/>
            <w:color w:val="0000FF"/>
            <w:u w:val="single"/>
            <w:rtl/>
          </w:rPr>
          <w:t>פקודת הסמים המסוכנים [נוסח חדש], תשל"ג-1973</w:t>
        </w:r>
      </w:hyperlink>
      <w:r w:rsidRPr="006D190C">
        <w:rPr>
          <w:rFonts w:ascii="FrankRuehl" w:hAnsi="FrankRuehl" w:cs="FrankRuehl"/>
          <w:rtl/>
        </w:rPr>
        <w:t xml:space="preserve">: סע'  </w:t>
      </w:r>
      <w:hyperlink r:id="rId7" w:history="1">
        <w:r w:rsidRPr="006D190C">
          <w:rPr>
            <w:rFonts w:ascii="FrankRuehl" w:hAnsi="FrankRuehl" w:cs="FrankRuehl"/>
            <w:color w:val="0000FF"/>
            <w:u w:val="single"/>
            <w:rtl/>
          </w:rPr>
          <w:t>13</w:t>
        </w:r>
      </w:hyperlink>
    </w:p>
    <w:p w14:paraId="0A2C6223" w14:textId="77777777" w:rsidR="006D190C" w:rsidRPr="006D190C" w:rsidRDefault="006D190C" w:rsidP="006D190C">
      <w:pPr>
        <w:spacing w:after="120" w:line="240" w:lineRule="exact"/>
        <w:ind w:left="283" w:hanging="283"/>
        <w:jc w:val="both"/>
        <w:rPr>
          <w:rFonts w:ascii="FrankRuehl" w:hAnsi="FrankRuehl" w:cs="FrankRuehl"/>
          <w:rtl/>
        </w:rPr>
      </w:pPr>
    </w:p>
    <w:p w14:paraId="63BD8E5D" w14:textId="77777777" w:rsidR="00EE2549" w:rsidRPr="00EE2549" w:rsidRDefault="00EE2549" w:rsidP="00EE2549">
      <w:pPr>
        <w:spacing w:line="360" w:lineRule="auto"/>
        <w:jc w:val="center"/>
        <w:rPr>
          <w:rFonts w:ascii="Arial" w:hAnsi="Arial"/>
          <w:b/>
          <w:bCs/>
          <w:sz w:val="28"/>
          <w:szCs w:val="28"/>
          <w:u w:val="single"/>
          <w:rtl/>
        </w:rPr>
      </w:pPr>
      <w:bookmarkStart w:id="4" w:name="LawTable_End"/>
      <w:bookmarkStart w:id="5" w:name="PsakDin"/>
      <w:bookmarkEnd w:id="0"/>
      <w:bookmarkEnd w:id="4"/>
      <w:r w:rsidRPr="00EE2549">
        <w:rPr>
          <w:rFonts w:ascii="Arial" w:hAnsi="Arial"/>
          <w:b/>
          <w:bCs/>
          <w:sz w:val="28"/>
          <w:szCs w:val="28"/>
          <w:u w:val="single"/>
          <w:rtl/>
        </w:rPr>
        <w:t>גזר דין</w:t>
      </w:r>
    </w:p>
    <w:bookmarkEnd w:id="5"/>
    <w:p w14:paraId="7A0B61B8" w14:textId="77777777" w:rsidR="00D912CE" w:rsidRDefault="00EE2549">
      <w:pPr>
        <w:spacing w:line="360" w:lineRule="auto"/>
        <w:jc w:val="both"/>
        <w:rPr>
          <w:rtl/>
        </w:rPr>
      </w:pPr>
      <w:r>
        <w:rPr>
          <w:rtl/>
        </w:rPr>
        <w:t xml:space="preserve"> </w:t>
      </w:r>
    </w:p>
    <w:p w14:paraId="21B0CB2E" w14:textId="77777777" w:rsidR="00D912CE" w:rsidRDefault="00EE2549">
      <w:pPr>
        <w:spacing w:line="360" w:lineRule="auto"/>
        <w:jc w:val="both"/>
        <w:rPr>
          <w:rtl/>
        </w:rPr>
      </w:pPr>
      <w:r>
        <w:rPr>
          <w:rFonts w:hint="cs"/>
          <w:rtl/>
        </w:rPr>
        <w:t xml:space="preserve">במסגרת הסדר טיעון הודה הנאשם והורשע ביום 18.12.13 בשתי עבירות של סחר בסם מסוכן לפי </w:t>
      </w:r>
      <w:hyperlink r:id="rId8" w:history="1">
        <w:r w:rsidR="006D190C" w:rsidRPr="006D190C">
          <w:rPr>
            <w:color w:val="0000FF"/>
            <w:u w:val="single"/>
            <w:rtl/>
          </w:rPr>
          <w:t>סעיף 13</w:t>
        </w:r>
      </w:hyperlink>
      <w:r>
        <w:rPr>
          <w:rFonts w:hint="cs"/>
          <w:rtl/>
        </w:rPr>
        <w:t xml:space="preserve"> ל</w:t>
      </w:r>
      <w:hyperlink r:id="rId9" w:history="1">
        <w:r w:rsidRPr="00EE2549">
          <w:rPr>
            <w:color w:val="0000FF"/>
            <w:u w:val="single"/>
            <w:rtl/>
          </w:rPr>
          <w:t>פקודת הסמים המסוכנים</w:t>
        </w:r>
      </w:hyperlink>
      <w:r>
        <w:rPr>
          <w:rFonts w:hint="cs"/>
          <w:rtl/>
        </w:rPr>
        <w:t xml:space="preserve">. </w:t>
      </w:r>
    </w:p>
    <w:p w14:paraId="166F5697" w14:textId="77777777" w:rsidR="00D912CE" w:rsidRDefault="00D912CE">
      <w:pPr>
        <w:spacing w:line="360" w:lineRule="auto"/>
        <w:jc w:val="both"/>
        <w:rPr>
          <w:rtl/>
        </w:rPr>
      </w:pPr>
    </w:p>
    <w:p w14:paraId="48599F25" w14:textId="77777777" w:rsidR="00D912CE" w:rsidRDefault="00EE2549">
      <w:pPr>
        <w:spacing w:line="360" w:lineRule="auto"/>
        <w:jc w:val="both"/>
        <w:rPr>
          <w:rtl/>
        </w:rPr>
      </w:pPr>
      <w:r>
        <w:rPr>
          <w:rFonts w:hint="cs"/>
          <w:rtl/>
        </w:rPr>
        <w:t xml:space="preserve">הרשעה זו באה לאחר שבשני מועדים שונים, בחודש דצמבר 2012, מכר הנאשם לסוכנת משטרתית סמויה חשיש במשקל של כ- 13 גרם נטו וכ- 41 גרם נטו. </w:t>
      </w:r>
    </w:p>
    <w:p w14:paraId="313B2270" w14:textId="77777777" w:rsidR="00D912CE" w:rsidRDefault="00D912CE">
      <w:pPr>
        <w:spacing w:line="360" w:lineRule="auto"/>
        <w:jc w:val="both"/>
        <w:rPr>
          <w:rtl/>
        </w:rPr>
      </w:pPr>
    </w:p>
    <w:p w14:paraId="44A4EDEA" w14:textId="77777777" w:rsidR="00D912CE" w:rsidRDefault="00EE2549">
      <w:pPr>
        <w:spacing w:line="360" w:lineRule="auto"/>
        <w:jc w:val="both"/>
        <w:rPr>
          <w:rtl/>
        </w:rPr>
      </w:pPr>
      <w:r>
        <w:rPr>
          <w:rFonts w:hint="cs"/>
          <w:b/>
          <w:bCs/>
          <w:u w:val="single"/>
          <w:rtl/>
        </w:rPr>
        <w:t xml:space="preserve">נסיבות העבירה </w:t>
      </w:r>
      <w:r>
        <w:rPr>
          <w:b/>
          <w:bCs/>
          <w:u w:val="single"/>
          <w:rtl/>
        </w:rPr>
        <w:t>–</w:t>
      </w:r>
      <w:r>
        <w:rPr>
          <w:rFonts w:hint="cs"/>
          <w:b/>
          <w:bCs/>
          <w:u w:val="single"/>
          <w:rtl/>
        </w:rPr>
        <w:t xml:space="preserve"> קביעת מתחם העונש ההולם:</w:t>
      </w:r>
    </w:p>
    <w:p w14:paraId="064811F0" w14:textId="77777777" w:rsidR="00D912CE" w:rsidRDefault="00D912CE">
      <w:pPr>
        <w:spacing w:line="360" w:lineRule="auto"/>
        <w:jc w:val="both"/>
        <w:rPr>
          <w:rtl/>
        </w:rPr>
      </w:pPr>
    </w:p>
    <w:p w14:paraId="15E4D532" w14:textId="77777777" w:rsidR="00D912CE" w:rsidRDefault="00EE2549">
      <w:pPr>
        <w:spacing w:line="360" w:lineRule="auto"/>
        <w:jc w:val="both"/>
        <w:rPr>
          <w:rtl/>
        </w:rPr>
      </w:pPr>
      <w:r>
        <w:rPr>
          <w:rFonts w:hint="cs"/>
          <w:rtl/>
        </w:rPr>
        <w:t xml:space="preserve">במסגרת הסדר הטיעון שנכרת, הסכימה התביעה להגביל את עתירתה ל- 8 חודשי מאסר בפועל וענישה נלווית ואילו ההגנה חופשיה בטיעוניה. המתחם אותו מציעה למעשה התביעה, שחלקו העליון הינו 8 חודשי מאסר בפועל, הינו  מתחם ראוי ומאוזן, אשר אומץ בפסיקה במקרים דומים של סחר בסם "קל" מסוג קנאביס. במקרה דנן, כפי שהוכח לי מהמסמך נע/2, לא פעל הנאשם כדרכם של סוחרי סמים ונראה כי אכן מדובר ב"מכירה חברתית" ויוכיחו העובדות המפורטות באותו דו"ח סוכנת, נע/2. הנאשם אינו עומד על המחיר שנקב ואף מחזיר לסוכנת סכום כסף כדי שתוכל לרכוש סיגריות, המתווך גילי מדריך את הסוכנת לומר שהיא ארוסתו (כלומר, יש צורך </w:t>
      </w:r>
      <w:r>
        <w:rPr>
          <w:rFonts w:hint="cs"/>
          <w:rtl/>
        </w:rPr>
        <w:lastRenderedPageBreak/>
        <w:t>בקשר חברתי מופגן) ועוד. יש מקום, כאשר עסקינן בסמים קלים, לאבחן בין סחר שהינו פעולת סוחר ומפיץ לכל דבר, לבין סחר שכל משמעותו מכירה או העברה של כמויות לא גדולות, שלא  באופן חוזר ותדיר, בין מכרים. לפיכך, ובהתחשב בערכים הנפגעים ובכלל הנסיבות, אקבע מתחם ענישה הולם, הנע בין מאסר על תנאי לבין 8 חודשי מאסר בפועל, כעונש עיקרי.</w:t>
      </w:r>
    </w:p>
    <w:p w14:paraId="06D38AB4" w14:textId="77777777" w:rsidR="00D912CE" w:rsidRDefault="00D912CE">
      <w:pPr>
        <w:spacing w:line="360" w:lineRule="auto"/>
        <w:jc w:val="both"/>
        <w:rPr>
          <w:rtl/>
        </w:rPr>
      </w:pPr>
    </w:p>
    <w:p w14:paraId="7C7CBCF5" w14:textId="77777777" w:rsidR="00D912CE" w:rsidRDefault="00EE2549">
      <w:pPr>
        <w:spacing w:line="360" w:lineRule="auto"/>
        <w:jc w:val="both"/>
        <w:rPr>
          <w:rtl/>
        </w:rPr>
      </w:pPr>
      <w:r>
        <w:rPr>
          <w:rFonts w:hint="cs"/>
          <w:b/>
          <w:bCs/>
          <w:u w:val="single"/>
          <w:rtl/>
        </w:rPr>
        <w:t xml:space="preserve">קביעת העונש במתחם </w:t>
      </w:r>
      <w:r>
        <w:rPr>
          <w:b/>
          <w:bCs/>
          <w:u w:val="single"/>
          <w:rtl/>
        </w:rPr>
        <w:t>–</w:t>
      </w:r>
      <w:r>
        <w:rPr>
          <w:rFonts w:hint="cs"/>
          <w:b/>
          <w:bCs/>
          <w:u w:val="single"/>
          <w:rtl/>
        </w:rPr>
        <w:t xml:space="preserve"> נתוני הנאשם:</w:t>
      </w:r>
    </w:p>
    <w:p w14:paraId="5869EB3A" w14:textId="77777777" w:rsidR="00D912CE" w:rsidRDefault="00D912CE">
      <w:pPr>
        <w:spacing w:line="360" w:lineRule="auto"/>
        <w:jc w:val="both"/>
        <w:rPr>
          <w:rtl/>
        </w:rPr>
      </w:pPr>
    </w:p>
    <w:p w14:paraId="72720362" w14:textId="77777777" w:rsidR="00D912CE" w:rsidRDefault="00EE2549">
      <w:pPr>
        <w:spacing w:line="360" w:lineRule="auto"/>
        <w:jc w:val="both"/>
        <w:rPr>
          <w:rtl/>
        </w:rPr>
      </w:pPr>
      <w:r>
        <w:rPr>
          <w:rFonts w:hint="cs"/>
          <w:rtl/>
        </w:rPr>
        <w:t xml:space="preserve">לפי תסקיר שירות המבחן והמסמך הרפואי נע/1, מדובר בנאשם יליד 1946, המנהל באופן עקרוני אורח חיים נורמטיבי, ונטול עבר פלילי, וכיום סובל ממגוון בעיות רפואיות, מתקשה בתנועתו, סובל מכאבים עזים, וכמו כן מגוון התרופות אותו הוא נוטל, משפיע עליו וגורם לו לעייפות. נראה, כי הנאשם נתון גם במצוקה נפשית קשה ועד כדי דכאון. הנאשם מטופל אפוא בשלל בעיותיו וכמעט כל משאביו הפיזיים והנפשיים מושקעים בטיפולים הנחוצים לו כדי להמשיך ולשרוד, פיזית ונפשית כאחד. הנאשם מקיים חיים משפחתיים יציבים עם אשתו, ילדיו ונכדיו, אותם פרנס במהלך שנות עבודתו, וכיום, עם פרישתו ומחלתו, הם מלווים אותו ותומכים בו. </w:t>
      </w:r>
    </w:p>
    <w:p w14:paraId="1AF8B559" w14:textId="77777777" w:rsidR="00D912CE" w:rsidRDefault="00EE2549">
      <w:pPr>
        <w:spacing w:line="360" w:lineRule="auto"/>
        <w:jc w:val="both"/>
        <w:rPr>
          <w:rtl/>
        </w:rPr>
      </w:pPr>
      <w:r>
        <w:rPr>
          <w:rFonts w:hint="cs"/>
          <w:rtl/>
        </w:rPr>
        <w:t xml:space="preserve">באשר לעבירות, הסביר הנאשם כי נקלע לשימוש בסמים כדרך להתמודד עם הכאבים הכרוניים מהם הוא סובל כבר שנים (יש לציין, כי כיום נשקלת התרת שימוש בקנאביס רפואי לנאשם). למעשה, כך הנאשם וכך גם עולה מהראיות, העבירה בוצעה על רקע רכישתו סמים מסוג קנאביס ונכונותו לחלוק אותם עם מכר. </w:t>
      </w:r>
    </w:p>
    <w:p w14:paraId="5251DCCA" w14:textId="77777777" w:rsidR="00D912CE" w:rsidRDefault="00EE2549">
      <w:pPr>
        <w:spacing w:line="360" w:lineRule="auto"/>
        <w:jc w:val="both"/>
        <w:rPr>
          <w:rtl/>
        </w:rPr>
      </w:pPr>
      <w:r>
        <w:rPr>
          <w:rFonts w:hint="cs"/>
          <w:rtl/>
        </w:rPr>
        <w:t>שירות המבחן מתרשם כי מדובר באדם בעל ערכים הולמים, שהעבירה הינה חריגה באורחות חייו, וביצועה יחד עם ההליך המשפטי שעקב אחריה, גרמו לו לזעזוע והלם קשה. שירות המבחן אינו מוצא כי יש צורך בטיפול גומל, שכן הנאשם נקי מסמים, אך מציע לחייב את הנאשם במבחן, לשם מעקב וסיוע. יחד עם זאת, ממליץ השירות על ענישה חינוכית מסוג של"צ בהיקף של 150 שעות.</w:t>
      </w:r>
    </w:p>
    <w:p w14:paraId="299019D6" w14:textId="77777777" w:rsidR="00D912CE" w:rsidRDefault="00EE2549">
      <w:pPr>
        <w:spacing w:line="360" w:lineRule="auto"/>
        <w:jc w:val="both"/>
        <w:rPr>
          <w:rtl/>
        </w:rPr>
      </w:pPr>
      <w:r>
        <w:rPr>
          <w:rFonts w:hint="cs"/>
          <w:rtl/>
        </w:rPr>
        <w:t xml:space="preserve">במקרה דנן, לאור כל הנסיבות הללו, יש לקבוע את העונש העיקרי בחלקו התחתון של המתחם, כפי שאכן נעשה גם במקרים דומים, ותוך שאני לוקח בחשבון באופן מיוחד את העבר הנקי, אורח החיים הנורמטיבי, ההודיה והחרטה הכנות, וכן את מצבו הרפואי וגילו של הנאשם. </w:t>
      </w:r>
    </w:p>
    <w:p w14:paraId="183BE22A" w14:textId="77777777" w:rsidR="00D912CE" w:rsidRDefault="00EE2549">
      <w:pPr>
        <w:spacing w:line="360" w:lineRule="auto"/>
        <w:jc w:val="both"/>
        <w:rPr>
          <w:rtl/>
        </w:rPr>
      </w:pPr>
      <w:r>
        <w:rPr>
          <w:rFonts w:hint="cs"/>
          <w:rtl/>
        </w:rPr>
        <w:t xml:space="preserve">באשר לענישה נלווית, נראה כי גם כאן יש להקל עם הנאשם במידת האפשר לנוכח מצבו. </w:t>
      </w:r>
    </w:p>
    <w:p w14:paraId="4C601A4E" w14:textId="77777777" w:rsidR="00D912CE" w:rsidRDefault="00EE2549">
      <w:pPr>
        <w:spacing w:line="360" w:lineRule="auto"/>
        <w:jc w:val="both"/>
        <w:rPr>
          <w:rtl/>
        </w:rPr>
      </w:pPr>
      <w:r>
        <w:rPr>
          <w:rFonts w:hint="cs"/>
          <w:rtl/>
        </w:rPr>
        <w:t xml:space="preserve">לעניין העונש החינוכי של הטלת של"צ, מסכים אני עם השירות כי יש לכך ערך רב, אך אצמצם אף יותר את מספר השעות בהן יחויב הנאשם, לנוכח האתגרים הקשים שמציבים לו מצבו הבריאותי, מצבו הנפשי והטיפולים הרפואיים הגוזלים זמן ומשאבים רבים. </w:t>
      </w:r>
    </w:p>
    <w:p w14:paraId="1DDE1341" w14:textId="77777777" w:rsidR="00D912CE" w:rsidRDefault="00D912CE">
      <w:pPr>
        <w:spacing w:line="360" w:lineRule="auto"/>
        <w:jc w:val="both"/>
        <w:rPr>
          <w:rtl/>
        </w:rPr>
      </w:pPr>
    </w:p>
    <w:p w14:paraId="6B95742F" w14:textId="77777777" w:rsidR="00D912CE" w:rsidRDefault="00EE2549">
      <w:pPr>
        <w:spacing w:line="360" w:lineRule="auto"/>
        <w:jc w:val="both"/>
        <w:rPr>
          <w:rtl/>
        </w:rPr>
      </w:pPr>
      <w:r>
        <w:rPr>
          <w:rFonts w:hint="cs"/>
          <w:rtl/>
        </w:rPr>
        <w:t>לפיכך, אני גוזר על הנאשם את העונשים הבאים:</w:t>
      </w:r>
    </w:p>
    <w:p w14:paraId="5F972B87" w14:textId="77777777" w:rsidR="00D912CE" w:rsidRDefault="00D912CE">
      <w:pPr>
        <w:spacing w:line="360" w:lineRule="auto"/>
        <w:jc w:val="both"/>
        <w:rPr>
          <w:rtl/>
        </w:rPr>
      </w:pPr>
    </w:p>
    <w:p w14:paraId="456DCF02" w14:textId="77777777" w:rsidR="00D912CE" w:rsidRDefault="00EE2549">
      <w:pPr>
        <w:spacing w:line="360" w:lineRule="auto"/>
        <w:ind w:left="720" w:hanging="720"/>
        <w:jc w:val="both"/>
        <w:rPr>
          <w:rtl/>
        </w:rPr>
      </w:pPr>
      <w:r>
        <w:rPr>
          <w:rFonts w:hint="cs"/>
          <w:rtl/>
        </w:rPr>
        <w:t>א.</w:t>
      </w:r>
      <w:r>
        <w:rPr>
          <w:rFonts w:hint="cs"/>
          <w:rtl/>
        </w:rPr>
        <w:tab/>
        <w:t xml:space="preserve">6 חודשי מאסר על תנאי למשך שנתיים מהיום, שלא יעבור עבירת סמים שהינה פשע. </w:t>
      </w:r>
    </w:p>
    <w:p w14:paraId="20AB47F6" w14:textId="77777777" w:rsidR="00D912CE" w:rsidRDefault="00EE2549">
      <w:pPr>
        <w:spacing w:line="360" w:lineRule="auto"/>
        <w:ind w:left="720" w:hanging="720"/>
        <w:jc w:val="both"/>
        <w:rPr>
          <w:rtl/>
        </w:rPr>
      </w:pPr>
      <w:r>
        <w:rPr>
          <w:rFonts w:hint="cs"/>
          <w:rtl/>
        </w:rPr>
        <w:t>ב.</w:t>
      </w:r>
      <w:r>
        <w:rPr>
          <w:rFonts w:hint="cs"/>
          <w:rtl/>
        </w:rPr>
        <w:tab/>
        <w:t xml:space="preserve">חודש מאסר על תנאי למשך שנתיים מהיום, שלא יעבור עבירת סמים שהינה עוון. </w:t>
      </w:r>
    </w:p>
    <w:p w14:paraId="65F45FBD" w14:textId="77777777" w:rsidR="00D912CE" w:rsidRDefault="00EE2549">
      <w:pPr>
        <w:spacing w:line="360" w:lineRule="auto"/>
        <w:ind w:left="720" w:hanging="720"/>
        <w:jc w:val="both"/>
        <w:rPr>
          <w:rtl/>
        </w:rPr>
      </w:pPr>
      <w:r>
        <w:rPr>
          <w:rFonts w:hint="cs"/>
          <w:rtl/>
        </w:rPr>
        <w:t>ג.</w:t>
      </w:r>
      <w:r>
        <w:rPr>
          <w:rFonts w:hint="cs"/>
          <w:rtl/>
        </w:rPr>
        <w:tab/>
        <w:t xml:space="preserve">קנס בסך 1,000 ₪ או שבוע מאסר תמורתו, כאשר הקנס ישולם עד ליום 1.12.14. </w:t>
      </w:r>
    </w:p>
    <w:p w14:paraId="6B09B86A" w14:textId="77777777" w:rsidR="00D912CE" w:rsidRDefault="00EE2549">
      <w:pPr>
        <w:spacing w:line="360" w:lineRule="auto"/>
        <w:ind w:left="720" w:hanging="720"/>
        <w:jc w:val="both"/>
        <w:rPr>
          <w:rtl/>
        </w:rPr>
      </w:pPr>
      <w:r>
        <w:rPr>
          <w:rFonts w:hint="cs"/>
          <w:rtl/>
        </w:rPr>
        <w:t>ד.</w:t>
      </w:r>
      <w:r>
        <w:rPr>
          <w:rFonts w:hint="cs"/>
          <w:rtl/>
        </w:rPr>
        <w:tab/>
        <w:t xml:space="preserve">פסילה על תנאי בת שנה למשך שנתיים מהיום. </w:t>
      </w:r>
    </w:p>
    <w:p w14:paraId="6EF4A3C8" w14:textId="77777777" w:rsidR="00D912CE" w:rsidRDefault="00EE2549">
      <w:pPr>
        <w:spacing w:line="360" w:lineRule="auto"/>
        <w:ind w:left="720" w:hanging="720"/>
        <w:jc w:val="both"/>
        <w:rPr>
          <w:rtl/>
        </w:rPr>
      </w:pPr>
      <w:r>
        <w:rPr>
          <w:rFonts w:hint="cs"/>
          <w:rtl/>
        </w:rPr>
        <w:lastRenderedPageBreak/>
        <w:t>ה.</w:t>
      </w:r>
      <w:r>
        <w:rPr>
          <w:rFonts w:hint="cs"/>
          <w:rtl/>
        </w:rPr>
        <w:tab/>
        <w:t xml:space="preserve">אני מעמיד את הנאשם בפיקוח שירות המבחן למשך שנה מהיום ומזהיר אותו כי אי שיתוף פעולה עם השירות, יוביל להשבת התיק לביהמ"ש ולהטלת עונש חלופי נוסף. </w:t>
      </w:r>
    </w:p>
    <w:p w14:paraId="3A3C1170" w14:textId="77777777" w:rsidR="00D912CE" w:rsidRDefault="00EE2549">
      <w:pPr>
        <w:spacing w:line="360" w:lineRule="auto"/>
        <w:ind w:left="720" w:hanging="720"/>
        <w:jc w:val="both"/>
        <w:rPr>
          <w:rtl/>
        </w:rPr>
      </w:pPr>
      <w:r>
        <w:rPr>
          <w:rFonts w:hint="cs"/>
          <w:rtl/>
        </w:rPr>
        <w:t>ו.</w:t>
      </w:r>
      <w:r>
        <w:rPr>
          <w:rFonts w:hint="cs"/>
          <w:rtl/>
        </w:rPr>
        <w:tab/>
        <w:t xml:space="preserve">אני מחייב את הנאשם, בהסכמתו, בביצוע 100 שעות של"צ, על פי תוכנית שתוגש על ידי שירות המבחן לדיון שיקבע. אני מזהיר את הנאשם כי אי ציות לשירות המבחן או לממונים במקום השל"צ, יוביל להשבת התיק לביהמ"ש ולהטלת עונש חלופי נוסף. </w:t>
      </w:r>
    </w:p>
    <w:p w14:paraId="2D75D12D" w14:textId="77777777" w:rsidR="00D912CE" w:rsidRDefault="00D912CE">
      <w:pPr>
        <w:spacing w:line="360" w:lineRule="auto"/>
        <w:ind w:left="720" w:hanging="720"/>
        <w:jc w:val="both"/>
        <w:rPr>
          <w:rtl/>
        </w:rPr>
      </w:pPr>
    </w:p>
    <w:p w14:paraId="1BE67CDF" w14:textId="77777777" w:rsidR="00D912CE" w:rsidRDefault="00EE2549">
      <w:pPr>
        <w:spacing w:line="360" w:lineRule="auto"/>
        <w:jc w:val="both"/>
        <w:rPr>
          <w:rtl/>
        </w:rPr>
      </w:pPr>
      <w:r>
        <w:rPr>
          <w:rFonts w:hint="cs"/>
          <w:rtl/>
        </w:rPr>
        <w:t xml:space="preserve">מוצגים: סמים </w:t>
      </w:r>
      <w:r>
        <w:rPr>
          <w:rtl/>
        </w:rPr>
        <w:t>–</w:t>
      </w:r>
      <w:r>
        <w:rPr>
          <w:rFonts w:hint="cs"/>
          <w:rtl/>
        </w:rPr>
        <w:t xml:space="preserve"> יושמדו (אלא אם נחוצים לתיק אחר). טלפון נייד </w:t>
      </w:r>
      <w:r>
        <w:rPr>
          <w:rtl/>
        </w:rPr>
        <w:t>–</w:t>
      </w:r>
      <w:r>
        <w:rPr>
          <w:rFonts w:hint="cs"/>
          <w:rtl/>
        </w:rPr>
        <w:t xml:space="preserve"> יחולט. כל מוצג אחר, פרט לכסף, יועבר להכרעה פרטנית של קצין משטרה (ככל שקיים מוצג שכזה). </w:t>
      </w:r>
    </w:p>
    <w:p w14:paraId="74514276" w14:textId="77777777" w:rsidR="00D912CE" w:rsidRDefault="00D912CE">
      <w:pPr>
        <w:spacing w:line="360" w:lineRule="auto"/>
        <w:jc w:val="both"/>
        <w:rPr>
          <w:rtl/>
        </w:rPr>
      </w:pPr>
    </w:p>
    <w:p w14:paraId="6C6FA5B2" w14:textId="77777777" w:rsidR="00D912CE" w:rsidRDefault="00EE2549">
      <w:pPr>
        <w:spacing w:line="360" w:lineRule="auto"/>
        <w:jc w:val="both"/>
        <w:rPr>
          <w:rtl/>
        </w:rPr>
      </w:pPr>
      <w:r>
        <w:rPr>
          <w:rFonts w:hint="cs"/>
          <w:rtl/>
        </w:rPr>
        <w:t xml:space="preserve">ערובות: סכומי כסף שהופקדו בתיק </w:t>
      </w:r>
      <w:hyperlink r:id="rId10" w:history="1">
        <w:r w:rsidRPr="00EE2549">
          <w:rPr>
            <w:color w:val="0000FF"/>
            <w:u w:val="single"/>
            <w:rtl/>
          </w:rPr>
          <w:t>מ"ת 2317-05-13</w:t>
        </w:r>
      </w:hyperlink>
      <w:r>
        <w:rPr>
          <w:rFonts w:hint="cs"/>
          <w:rtl/>
        </w:rPr>
        <w:t xml:space="preserve">, אם טרם נמשכו, יושבו לנאשם בניכוי סך הקנס, לבקשתו. </w:t>
      </w:r>
    </w:p>
    <w:p w14:paraId="12348F2F" w14:textId="77777777" w:rsidR="00D912CE" w:rsidRDefault="00D912CE">
      <w:pPr>
        <w:spacing w:line="360" w:lineRule="auto"/>
        <w:jc w:val="both"/>
        <w:rPr>
          <w:rtl/>
        </w:rPr>
      </w:pPr>
    </w:p>
    <w:p w14:paraId="0565B8BF" w14:textId="77777777" w:rsidR="00D912CE" w:rsidRDefault="00EE2549">
      <w:pPr>
        <w:spacing w:line="360" w:lineRule="auto"/>
        <w:jc w:val="both"/>
        <w:rPr>
          <w:rtl/>
        </w:rPr>
      </w:pPr>
      <w:r>
        <w:rPr>
          <w:rFonts w:hint="cs"/>
          <w:rtl/>
        </w:rPr>
        <w:t xml:space="preserve">עותק ההחלטה ישלח ל שירות המבחן המתבקש להגיש תוכנית של"צ, עד הדיון הנקבע ליום 30.12.14 שעה: 08:30, תוגש התוכנית קודם לכן, תאושר על הכתב, הדיון יבוטל והצדדים יופטרו מהתייצבות. </w:t>
      </w:r>
    </w:p>
    <w:p w14:paraId="2A6D337B" w14:textId="77777777" w:rsidR="00D912CE" w:rsidRDefault="00D912CE">
      <w:pPr>
        <w:spacing w:line="360" w:lineRule="auto"/>
        <w:jc w:val="both"/>
        <w:rPr>
          <w:rtl/>
        </w:rPr>
      </w:pPr>
    </w:p>
    <w:p w14:paraId="3A5CC316" w14:textId="77777777" w:rsidR="00D912CE" w:rsidRDefault="00EE2549">
      <w:pPr>
        <w:spacing w:line="360" w:lineRule="auto"/>
        <w:jc w:val="both"/>
        <w:rPr>
          <w:rtl/>
        </w:rPr>
      </w:pPr>
      <w:r>
        <w:rPr>
          <w:rFonts w:hint="cs"/>
          <w:rtl/>
        </w:rPr>
        <w:t xml:space="preserve">זכות ערעור תוך 45 יום מהיום לביהמ"ש המחוזי. </w:t>
      </w:r>
    </w:p>
    <w:p w14:paraId="13B4EED3" w14:textId="77777777" w:rsidR="00D912CE" w:rsidRDefault="00EE2549">
      <w:pPr>
        <w:spacing w:line="360" w:lineRule="auto"/>
        <w:jc w:val="both"/>
        <w:rPr>
          <w:sz w:val="6"/>
          <w:szCs w:val="6"/>
          <w:rtl/>
        </w:rPr>
      </w:pPr>
      <w:r>
        <w:rPr>
          <w:sz w:val="6"/>
          <w:szCs w:val="6"/>
          <w:rtl/>
        </w:rPr>
        <w:t>&lt;#3#&gt;</w:t>
      </w:r>
    </w:p>
    <w:p w14:paraId="1F3AC13D" w14:textId="77777777" w:rsidR="00D912CE" w:rsidRPr="00EE2549" w:rsidRDefault="00EE2549">
      <w:pPr>
        <w:jc w:val="right"/>
        <w:rPr>
          <w:color w:val="FFFFFF"/>
          <w:sz w:val="2"/>
          <w:szCs w:val="2"/>
          <w:rtl/>
        </w:rPr>
      </w:pPr>
      <w:r w:rsidRPr="00EE2549">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D912CE" w14:paraId="150CFDD9" w14:textId="77777777">
        <w:trPr>
          <w:trHeight w:val="316"/>
          <w:jc w:val="right"/>
        </w:trPr>
        <w:tc>
          <w:tcPr>
            <w:tcW w:w="3936" w:type="dxa"/>
          </w:tcPr>
          <w:p w14:paraId="2C13F78F" w14:textId="77777777" w:rsidR="00D912CE" w:rsidRDefault="00EE2549">
            <w:pPr>
              <w:jc w:val="center"/>
              <w:rPr>
                <w:rFonts w:ascii="Times New Roman" w:eastAsia="Times New Roman" w:hAnsi="Times New Roman" w:cs="Times New Roman"/>
                <w:rtl/>
              </w:rPr>
            </w:pPr>
            <w:r w:rsidRPr="00EE2549">
              <w:rPr>
                <w:b/>
                <w:bCs/>
                <w:color w:val="FFFFFF"/>
                <w:sz w:val="2"/>
                <w:szCs w:val="2"/>
                <w:rtl/>
              </w:rPr>
              <w:t>54678313</w:t>
            </w:r>
            <w:r>
              <w:rPr>
                <w:b/>
                <w:bCs/>
                <w:rtl/>
              </w:rPr>
              <w:t xml:space="preserve">ניתנה והודעה היום י"ח חשוון תשע"ה, 11/11/2014 במעמד הנוכחים. </w:t>
            </w:r>
          </w:p>
        </w:tc>
      </w:tr>
      <w:tr w:rsidR="00D912CE" w14:paraId="10A992B2" w14:textId="77777777">
        <w:trPr>
          <w:trHeight w:val="361"/>
          <w:jc w:val="right"/>
        </w:trPr>
        <w:tc>
          <w:tcPr>
            <w:tcW w:w="3936" w:type="dxa"/>
          </w:tcPr>
          <w:p w14:paraId="2E731997" w14:textId="77777777" w:rsidR="00D912CE" w:rsidRDefault="00EE2549">
            <w:pPr>
              <w:jc w:val="center"/>
              <w:rPr>
                <w:rFonts w:ascii="Times New Roman" w:eastAsia="Times New Roman" w:hAnsi="Times New Roman"/>
                <w:b/>
                <w:bCs/>
                <w:rtl/>
              </w:rPr>
            </w:pPr>
            <w:r>
              <w:rPr>
                <w:rFonts w:ascii="Times New Roman" w:eastAsia="Times New Roman" w:hAnsi="Times New Roman" w:hint="cs"/>
                <w:b/>
                <w:bCs/>
                <w:rtl/>
              </w:rPr>
              <w:t>עידו דרויאן</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546D6C29" w14:textId="77777777" w:rsidR="00D912CE" w:rsidRDefault="00D912CE">
      <w:pPr>
        <w:spacing w:line="360" w:lineRule="auto"/>
        <w:jc w:val="both"/>
        <w:rPr>
          <w:rtl/>
        </w:rPr>
      </w:pPr>
      <w:bookmarkStart w:id="6" w:name="_GoBack"/>
      <w:bookmarkEnd w:id="6"/>
    </w:p>
    <w:p w14:paraId="04DB5543" w14:textId="77777777" w:rsidR="00EE2549" w:rsidRPr="00EE2549" w:rsidRDefault="00EE2549" w:rsidP="00EE2549">
      <w:pPr>
        <w:keepNext/>
        <w:rPr>
          <w:color w:val="000000"/>
          <w:sz w:val="22"/>
          <w:szCs w:val="22"/>
          <w:rtl/>
        </w:rPr>
      </w:pPr>
    </w:p>
    <w:p w14:paraId="6D62A22F" w14:textId="77777777" w:rsidR="00EE2549" w:rsidRPr="00EE2549" w:rsidRDefault="00EE2549" w:rsidP="00EE2549">
      <w:pPr>
        <w:keepNext/>
        <w:rPr>
          <w:color w:val="000000"/>
          <w:sz w:val="22"/>
          <w:szCs w:val="22"/>
          <w:rtl/>
        </w:rPr>
      </w:pPr>
      <w:r w:rsidRPr="00EE2549">
        <w:rPr>
          <w:color w:val="000000"/>
          <w:sz w:val="22"/>
          <w:szCs w:val="22"/>
          <w:rtl/>
        </w:rPr>
        <w:t>עידו דרויאן 54678313</w:t>
      </w:r>
    </w:p>
    <w:p w14:paraId="7BF4E3C6" w14:textId="77777777" w:rsidR="00EE2549" w:rsidRDefault="00EE2549" w:rsidP="00EE2549">
      <w:r w:rsidRPr="00EE2549">
        <w:rPr>
          <w:color w:val="000000"/>
          <w:rtl/>
        </w:rPr>
        <w:t>נוסח מסמך זה כפוף לשינויי ניסוח ועריכה</w:t>
      </w:r>
    </w:p>
    <w:p w14:paraId="7CD3291F" w14:textId="77777777" w:rsidR="00EE2549" w:rsidRDefault="00EE2549" w:rsidP="00EE2549">
      <w:pPr>
        <w:rPr>
          <w:rtl/>
        </w:rPr>
      </w:pPr>
    </w:p>
    <w:p w14:paraId="4BDD96C0" w14:textId="77777777" w:rsidR="00EE2549" w:rsidRDefault="00EE2549" w:rsidP="00EE2549">
      <w:pPr>
        <w:jc w:val="center"/>
        <w:rPr>
          <w:color w:val="0000FF"/>
          <w:u w:val="single"/>
        </w:rPr>
      </w:pPr>
      <w:hyperlink r:id="rId11" w:history="1">
        <w:r>
          <w:rPr>
            <w:color w:val="0000FF"/>
            <w:u w:val="single"/>
            <w:rtl/>
          </w:rPr>
          <w:t>בעניין עריכה ושינויים במסמכי פסיקה, חקיקה ועוד באתר נבו – הקש כאן</w:t>
        </w:r>
      </w:hyperlink>
    </w:p>
    <w:p w14:paraId="0EED33C5" w14:textId="77777777" w:rsidR="00D912CE" w:rsidRPr="00EE2549" w:rsidRDefault="00D912CE" w:rsidP="00EE2549">
      <w:pPr>
        <w:jc w:val="center"/>
        <w:rPr>
          <w:color w:val="0000FF"/>
          <w:u w:val="single"/>
        </w:rPr>
      </w:pPr>
    </w:p>
    <w:sectPr w:rsidR="00D912CE" w:rsidRPr="00EE2549" w:rsidSect="00EE2549">
      <w:headerReference w:type="even" r:id="rId12"/>
      <w:headerReference w:type="default" r:id="rId13"/>
      <w:footerReference w:type="even" r:id="rId14"/>
      <w:footerReference w:type="default" r:id="rId15"/>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76C9B6" w14:textId="77777777" w:rsidR="00D9678E" w:rsidRPr="007F2947" w:rsidRDefault="00D9678E">
      <w:pPr>
        <w:rPr>
          <w:rFonts w:cs="Arial"/>
          <w:szCs w:val="20"/>
        </w:rPr>
      </w:pPr>
      <w:r>
        <w:separator/>
      </w:r>
    </w:p>
  </w:endnote>
  <w:endnote w:type="continuationSeparator" w:id="0">
    <w:p w14:paraId="200D5C6B" w14:textId="77777777" w:rsidR="00D9678E" w:rsidRPr="007F2947" w:rsidRDefault="00D9678E">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032A59" w14:textId="77777777" w:rsidR="00EE2549" w:rsidRDefault="00EE2549" w:rsidP="00EE254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6</w:t>
    </w:r>
    <w:r>
      <w:rPr>
        <w:rFonts w:ascii="FrankRuehl" w:hAnsi="FrankRuehl" w:cs="FrankRuehl"/>
        <w:rtl/>
      </w:rPr>
      <w:fldChar w:fldCharType="end"/>
    </w:r>
  </w:p>
  <w:p w14:paraId="157C861B" w14:textId="77777777" w:rsidR="00D912CE" w:rsidRPr="00EE2549" w:rsidRDefault="00EE2549" w:rsidP="00EE2549">
    <w:pPr>
      <w:pStyle w:val="a4"/>
      <w:pBdr>
        <w:top w:val="single" w:sz="4" w:space="1" w:color="auto"/>
        <w:between w:val="single" w:sz="4" w:space="0" w:color="auto"/>
      </w:pBdr>
      <w:spacing w:after="60"/>
      <w:jc w:val="center"/>
      <w:rPr>
        <w:rFonts w:ascii="FrankRuehl" w:hAnsi="FrankRuehl" w:cs="FrankRuehl"/>
        <w:color w:val="000000"/>
      </w:rPr>
    </w:pPr>
    <w:r w:rsidRPr="00EE254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59435" w14:textId="77777777" w:rsidR="00EE2549" w:rsidRDefault="00EE2549" w:rsidP="00EE254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25E06">
      <w:rPr>
        <w:rFonts w:ascii="FrankRuehl" w:hAnsi="FrankRuehl" w:cs="FrankRuehl"/>
        <w:noProof/>
        <w:rtl/>
      </w:rPr>
      <w:t>1</w:t>
    </w:r>
    <w:r>
      <w:rPr>
        <w:rFonts w:ascii="FrankRuehl" w:hAnsi="FrankRuehl" w:cs="FrankRuehl"/>
        <w:rtl/>
      </w:rPr>
      <w:fldChar w:fldCharType="end"/>
    </w:r>
  </w:p>
  <w:p w14:paraId="00A3964A" w14:textId="77777777" w:rsidR="00D912CE" w:rsidRPr="00EE2549" w:rsidRDefault="00EE2549" w:rsidP="00EE2549">
    <w:pPr>
      <w:pStyle w:val="a4"/>
      <w:pBdr>
        <w:top w:val="single" w:sz="4" w:space="1" w:color="auto"/>
        <w:between w:val="single" w:sz="4" w:space="0" w:color="auto"/>
      </w:pBdr>
      <w:spacing w:after="60"/>
      <w:jc w:val="center"/>
      <w:rPr>
        <w:rFonts w:ascii="FrankRuehl" w:hAnsi="FrankRuehl" w:cs="FrankRuehl"/>
        <w:color w:val="000000"/>
      </w:rPr>
    </w:pPr>
    <w:r w:rsidRPr="00EE2549">
      <w:rPr>
        <w:rFonts w:ascii="FrankRuehl" w:hAnsi="FrankRuehl" w:cs="FrankRuehl"/>
        <w:color w:val="000000"/>
      </w:rPr>
      <w:pict w14:anchorId="6E8FE6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ECB312" w14:textId="77777777" w:rsidR="00D9678E" w:rsidRPr="007F2947" w:rsidRDefault="00D9678E">
      <w:pPr>
        <w:rPr>
          <w:rFonts w:cs="Arial"/>
          <w:szCs w:val="20"/>
        </w:rPr>
      </w:pPr>
      <w:r>
        <w:separator/>
      </w:r>
    </w:p>
  </w:footnote>
  <w:footnote w:type="continuationSeparator" w:id="0">
    <w:p w14:paraId="072A3D34" w14:textId="77777777" w:rsidR="00D9678E" w:rsidRPr="007F2947" w:rsidRDefault="00D9678E">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4DFCCA" w14:textId="77777777" w:rsidR="00EE2549" w:rsidRPr="00EE2549" w:rsidRDefault="00EE2549" w:rsidP="00EE254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2315-05-13</w:t>
    </w:r>
    <w:r>
      <w:rPr>
        <w:color w:val="000000"/>
        <w:sz w:val="22"/>
        <w:szCs w:val="22"/>
        <w:rtl/>
      </w:rPr>
      <w:tab/>
      <w:t xml:space="preserve"> מדינת ישראל נ' שמואל שור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59DA2" w14:textId="77777777" w:rsidR="00EE2549" w:rsidRPr="00EE2549" w:rsidRDefault="00EE2549" w:rsidP="00EE254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2315-05-13</w:t>
    </w:r>
    <w:r>
      <w:rPr>
        <w:color w:val="000000"/>
        <w:sz w:val="22"/>
        <w:szCs w:val="22"/>
        <w:rtl/>
      </w:rPr>
      <w:tab/>
      <w:t xml:space="preserve"> מדינת ישראל נ' שמואל שור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912CE"/>
    <w:rsid w:val="003759E3"/>
    <w:rsid w:val="00425E06"/>
    <w:rsid w:val="006D190C"/>
    <w:rsid w:val="00AC1193"/>
    <w:rsid w:val="00D912CE"/>
    <w:rsid w:val="00D9678E"/>
    <w:rsid w:val="00EE25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1BEA392"/>
  <w15:chartTrackingRefBased/>
  <w15:docId w15:val="{F02937F5-C18F-4AEC-8F21-2C51D8CD4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912CE"/>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912CE"/>
    <w:pPr>
      <w:tabs>
        <w:tab w:val="center" w:pos="4153"/>
        <w:tab w:val="right" w:pos="8306"/>
      </w:tabs>
    </w:pPr>
  </w:style>
  <w:style w:type="paragraph" w:styleId="a4">
    <w:name w:val="footer"/>
    <w:basedOn w:val="a"/>
    <w:rsid w:val="00D912CE"/>
    <w:pPr>
      <w:tabs>
        <w:tab w:val="center" w:pos="4153"/>
        <w:tab w:val="right" w:pos="8306"/>
      </w:tabs>
    </w:pPr>
  </w:style>
  <w:style w:type="character" w:styleId="a5">
    <w:name w:val="page number"/>
    <w:basedOn w:val="a0"/>
    <w:rsid w:val="00D912CE"/>
  </w:style>
  <w:style w:type="paragraph" w:customStyle="1" w:styleId="12">
    <w:name w:val="רגיל + ‏12 נק'"/>
    <w:aliases w:val="מיושר לשני הצדדים,מרווח בין שורות:  שורה וחצי"/>
    <w:basedOn w:val="a"/>
    <w:rsid w:val="00D912CE"/>
    <w:rPr>
      <w:rFonts w:ascii="Times New Roman" w:eastAsia="Times New Roman" w:hAnsi="Times New Roman"/>
      <w:b/>
      <w:bCs/>
      <w:u w:val="single"/>
    </w:rPr>
  </w:style>
  <w:style w:type="character" w:styleId="a6">
    <w:name w:val="line number"/>
    <w:basedOn w:val="a0"/>
    <w:rsid w:val="00D912CE"/>
  </w:style>
  <w:style w:type="character" w:styleId="Hyperlink">
    <w:name w:val="Hyperlink"/>
    <w:basedOn w:val="a0"/>
    <w:rsid w:val="00EE25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4216/13"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case/6987072"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833</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4991</CharactersWithSpaces>
  <SharedDoc>false</SharedDoc>
  <HLinks>
    <vt:vector size="36" baseType="variant">
      <vt:variant>
        <vt:i4>393283</vt:i4>
      </vt:variant>
      <vt:variant>
        <vt:i4>15</vt:i4>
      </vt:variant>
      <vt:variant>
        <vt:i4>0</vt:i4>
      </vt:variant>
      <vt:variant>
        <vt:i4>5</vt:i4>
      </vt:variant>
      <vt:variant>
        <vt:lpwstr>http://www.nevo.co.il/advertisements/nevo-100.doc</vt:lpwstr>
      </vt:variant>
      <vt:variant>
        <vt:lpwstr/>
      </vt:variant>
      <vt:variant>
        <vt:i4>3932285</vt:i4>
      </vt:variant>
      <vt:variant>
        <vt:i4>12</vt:i4>
      </vt:variant>
      <vt:variant>
        <vt:i4>0</vt:i4>
      </vt:variant>
      <vt:variant>
        <vt:i4>5</vt:i4>
      </vt:variant>
      <vt:variant>
        <vt:lpwstr>http://www.nevo.co.il/case/6987072</vt:lpwstr>
      </vt:variant>
      <vt:variant>
        <vt:lpwstr/>
      </vt:variant>
      <vt:variant>
        <vt:i4>8257637</vt:i4>
      </vt:variant>
      <vt:variant>
        <vt:i4>9</vt:i4>
      </vt:variant>
      <vt:variant>
        <vt:i4>0</vt:i4>
      </vt:variant>
      <vt:variant>
        <vt:i4>5</vt:i4>
      </vt:variant>
      <vt:variant>
        <vt:lpwstr>http://www.nevo.co.il/law/4216</vt:lpwstr>
      </vt:variant>
      <vt:variant>
        <vt:lpwstr/>
      </vt:variant>
      <vt:variant>
        <vt:i4>5177418</vt:i4>
      </vt:variant>
      <vt:variant>
        <vt:i4>6</vt:i4>
      </vt:variant>
      <vt:variant>
        <vt:i4>0</vt:i4>
      </vt:variant>
      <vt:variant>
        <vt:i4>5</vt:i4>
      </vt:variant>
      <vt:variant>
        <vt:lpwstr>http://www.nevo.co.il/law/4216/13</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2025-04-22T22:01:00Z</dcterms:created>
  <dcterms:modified xsi:type="dcterms:W3CDTF">2025-04-22T22:01:00Z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2315</vt:lpwstr>
  </property>
  <property fmtid="{D5CDD505-2E9C-101B-9397-08002B2CF9AE}" pid="6" name="NEWPARTB">
    <vt:lpwstr>05</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שמואל שור</vt:lpwstr>
  </property>
  <property fmtid="{D5CDD505-2E9C-101B-9397-08002B2CF9AE}" pid="10" name="LAWYER">
    <vt:lpwstr>זרנגר;איצקוביץ</vt:lpwstr>
  </property>
  <property fmtid="{D5CDD505-2E9C-101B-9397-08002B2CF9AE}" pid="11" name="JUDGE">
    <vt:lpwstr>עידו דרויאן</vt:lpwstr>
  </property>
  <property fmtid="{D5CDD505-2E9C-101B-9397-08002B2CF9AE}" pid="12" name="CITY">
    <vt:lpwstr>ת"א</vt:lpwstr>
  </property>
  <property fmtid="{D5CDD505-2E9C-101B-9397-08002B2CF9AE}" pid="13" name="DATE">
    <vt:lpwstr>20141111</vt:lpwstr>
  </property>
  <property fmtid="{D5CDD505-2E9C-101B-9397-08002B2CF9AE}" pid="14" name="TYPE_N_DATE">
    <vt:lpwstr>38020141111</vt:lpwstr>
  </property>
  <property fmtid="{D5CDD505-2E9C-101B-9397-08002B2CF9AE}" pid="15" name="CASESLISTTMP1">
    <vt:lpwstr>6987072</vt:lpwstr>
  </property>
  <property fmtid="{D5CDD505-2E9C-101B-9397-08002B2CF9AE}" pid="16" name="WORDNUMPAGES">
    <vt:lpwstr>3</vt:lpwstr>
  </property>
  <property fmtid="{D5CDD505-2E9C-101B-9397-08002B2CF9AE}" pid="17" name="TYPE_ABS_DATE">
    <vt:lpwstr>380020141111</vt:lpwstr>
  </property>
  <property fmtid="{D5CDD505-2E9C-101B-9397-08002B2CF9AE}" pid="18" name="LAWLISTTMP1">
    <vt:lpwstr>4216/013</vt:lpwstr>
  </property>
</Properties>
</file>