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1271AC" w:rsidRPr="00E96118" w14:paraId="2D39027A" w14:textId="77777777">
        <w:trPr>
          <w:trHeight w:hRule="exact" w:val="418"/>
          <w:jc w:val="center"/>
        </w:trPr>
        <w:tc>
          <w:tcPr>
            <w:tcW w:w="8721" w:type="dxa"/>
            <w:gridSpan w:val="2"/>
          </w:tcPr>
          <w:p w14:paraId="42400628" w14:textId="77777777" w:rsidR="001271AC" w:rsidRPr="00E96118" w:rsidRDefault="00E96118">
            <w:pPr>
              <w:pStyle w:val="a3"/>
              <w:jc w:val="center"/>
              <w:rPr>
                <w:rFonts w:ascii="Tahoma" w:hAnsi="Tahoma" w:cs="Tahoma"/>
                <w:color w:val="000080"/>
                <w:rtl/>
              </w:rPr>
            </w:pPr>
            <w:bookmarkStart w:id="0" w:name="LastJudge"/>
            <w:r w:rsidRPr="00E96118">
              <w:rPr>
                <w:rFonts w:ascii="Tahoma" w:hAnsi="Tahoma" w:cs="Tahoma"/>
                <w:b/>
                <w:bCs/>
                <w:color w:val="000080"/>
                <w:rtl/>
              </w:rPr>
              <w:t>בית משפט השלום בירושלים</w:t>
            </w:r>
          </w:p>
        </w:tc>
      </w:tr>
      <w:tr w:rsidR="001271AC" w:rsidRPr="00E96118" w14:paraId="0829DBF1" w14:textId="77777777">
        <w:trPr>
          <w:trHeight w:val="337"/>
          <w:jc w:val="center"/>
        </w:trPr>
        <w:tc>
          <w:tcPr>
            <w:tcW w:w="5056" w:type="dxa"/>
          </w:tcPr>
          <w:p w14:paraId="7F20C2E8" w14:textId="77777777" w:rsidR="001271AC" w:rsidRPr="00E96118" w:rsidRDefault="00E96118">
            <w:pPr>
              <w:rPr>
                <w:rFonts w:cs="FrankRuehl"/>
                <w:sz w:val="28"/>
                <w:szCs w:val="28"/>
                <w:rtl/>
              </w:rPr>
            </w:pPr>
            <w:r w:rsidRPr="00E96118">
              <w:rPr>
                <w:rFonts w:cs="FrankRuehl"/>
                <w:sz w:val="28"/>
                <w:szCs w:val="28"/>
                <w:rtl/>
              </w:rPr>
              <w:t>ת"פ</w:t>
            </w:r>
            <w:r w:rsidRPr="00E96118">
              <w:rPr>
                <w:rFonts w:cs="FrankRuehl" w:hint="cs"/>
                <w:sz w:val="28"/>
                <w:szCs w:val="28"/>
                <w:rtl/>
              </w:rPr>
              <w:t xml:space="preserve"> </w:t>
            </w:r>
            <w:r w:rsidRPr="00E96118">
              <w:rPr>
                <w:rFonts w:cs="FrankRuehl"/>
                <w:sz w:val="28"/>
                <w:szCs w:val="28"/>
                <w:rtl/>
              </w:rPr>
              <w:t>23836-05-13</w:t>
            </w:r>
            <w:r w:rsidRPr="00E96118">
              <w:rPr>
                <w:rFonts w:cs="FrankRuehl" w:hint="cs"/>
                <w:sz w:val="28"/>
                <w:szCs w:val="28"/>
                <w:rtl/>
              </w:rPr>
              <w:t xml:space="preserve"> </w:t>
            </w:r>
            <w:r w:rsidRPr="00E96118">
              <w:rPr>
                <w:rFonts w:cs="FrankRuehl"/>
                <w:sz w:val="28"/>
                <w:szCs w:val="28"/>
                <w:rtl/>
              </w:rPr>
              <w:t>מדינת ישראל נ' אל שער(עציר)</w:t>
            </w:r>
          </w:p>
          <w:p w14:paraId="26E22E27" w14:textId="77777777" w:rsidR="001271AC" w:rsidRPr="00E96118" w:rsidRDefault="00E96118">
            <w:pPr>
              <w:rPr>
                <w:rFonts w:cs="FrankRuehl"/>
                <w:sz w:val="28"/>
                <w:szCs w:val="28"/>
                <w:rtl/>
              </w:rPr>
            </w:pPr>
            <w:r w:rsidRPr="00E96118">
              <w:rPr>
                <w:rFonts w:cs="FrankRuehl"/>
                <w:sz w:val="28"/>
                <w:szCs w:val="28"/>
                <w:rtl/>
              </w:rPr>
              <w:t>ת"פ</w:t>
            </w:r>
            <w:r w:rsidRPr="00E96118">
              <w:rPr>
                <w:rFonts w:cs="FrankRuehl" w:hint="cs"/>
                <w:sz w:val="28"/>
                <w:szCs w:val="28"/>
                <w:rtl/>
              </w:rPr>
              <w:t xml:space="preserve"> </w:t>
            </w:r>
            <w:r w:rsidRPr="00E96118">
              <w:rPr>
                <w:rFonts w:cs="FrankRuehl"/>
                <w:sz w:val="28"/>
                <w:szCs w:val="28"/>
                <w:rtl/>
              </w:rPr>
              <w:t>44395-01-14</w:t>
            </w:r>
            <w:r w:rsidRPr="00E96118">
              <w:rPr>
                <w:rFonts w:cs="FrankRuehl" w:hint="cs"/>
                <w:sz w:val="28"/>
                <w:szCs w:val="28"/>
                <w:rtl/>
              </w:rPr>
              <w:t xml:space="preserve"> </w:t>
            </w:r>
            <w:r w:rsidRPr="00E96118">
              <w:rPr>
                <w:rFonts w:cs="FrankRuehl"/>
                <w:sz w:val="28"/>
                <w:szCs w:val="28"/>
                <w:rtl/>
              </w:rPr>
              <w:t>מדינת ישראל נ' אלשעאר(עציר)</w:t>
            </w:r>
          </w:p>
        </w:tc>
        <w:tc>
          <w:tcPr>
            <w:tcW w:w="3665" w:type="dxa"/>
          </w:tcPr>
          <w:p w14:paraId="4E1148FC" w14:textId="77777777" w:rsidR="001271AC" w:rsidRPr="00E96118" w:rsidRDefault="00E96118">
            <w:pPr>
              <w:pStyle w:val="a3"/>
              <w:jc w:val="right"/>
              <w:rPr>
                <w:rFonts w:cs="FrankRuehl"/>
                <w:sz w:val="28"/>
                <w:szCs w:val="28"/>
                <w:rtl/>
              </w:rPr>
            </w:pPr>
            <w:r w:rsidRPr="00E96118">
              <w:rPr>
                <w:rFonts w:cs="FrankRuehl"/>
                <w:sz w:val="28"/>
                <w:szCs w:val="28"/>
                <w:rtl/>
              </w:rPr>
              <w:t>12 יוני 2014</w:t>
            </w:r>
          </w:p>
        </w:tc>
      </w:tr>
    </w:tbl>
    <w:p w14:paraId="48E771B6" w14:textId="77777777" w:rsidR="001271AC" w:rsidRPr="00E96118" w:rsidRDefault="00E96118">
      <w:pPr>
        <w:pStyle w:val="a3"/>
        <w:rPr>
          <w:rtl/>
        </w:rPr>
      </w:pPr>
      <w:r w:rsidRPr="00E96118">
        <w:rPr>
          <w:rFonts w:hint="cs"/>
          <w:rtl/>
        </w:rPr>
        <w:t xml:space="preserve"> </w:t>
      </w:r>
    </w:p>
    <w:p w14:paraId="72021FB1" w14:textId="77777777" w:rsidR="001271AC" w:rsidRPr="00E96118" w:rsidRDefault="00E96118">
      <w:pPr>
        <w:pStyle w:val="a3"/>
      </w:pPr>
      <w:r w:rsidRPr="00E96118">
        <w:rPr>
          <w:rFonts w:cs="Times New Roman" w:hint="cs"/>
          <w:b/>
          <w:bCs/>
          <w:sz w:val="26"/>
          <w:szCs w:val="28"/>
          <w:rtl/>
        </w:rPr>
        <w:t xml:space="preserve"> </w:t>
      </w:r>
    </w:p>
    <w:p w14:paraId="5686BB91" w14:textId="77777777" w:rsidR="001271AC" w:rsidRPr="00E96118" w:rsidRDefault="001271A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271AC" w:rsidRPr="00E96118" w14:paraId="3A818D96" w14:textId="77777777">
        <w:trPr>
          <w:trHeight w:val="295"/>
          <w:jc w:val="center"/>
        </w:trPr>
        <w:tc>
          <w:tcPr>
            <w:tcW w:w="923" w:type="dxa"/>
            <w:tcBorders>
              <w:top w:val="nil"/>
              <w:left w:val="nil"/>
              <w:bottom w:val="nil"/>
              <w:right w:val="nil"/>
            </w:tcBorders>
          </w:tcPr>
          <w:p w14:paraId="09D683AB" w14:textId="77777777" w:rsidR="001271AC" w:rsidRPr="00E96118" w:rsidRDefault="00E96118">
            <w:pPr>
              <w:jc w:val="both"/>
              <w:rPr>
                <w:rFonts w:ascii="Arial" w:hAnsi="Arial" w:cs="FrankRuehl"/>
                <w:sz w:val="28"/>
                <w:szCs w:val="28"/>
              </w:rPr>
            </w:pPr>
            <w:r w:rsidRPr="00E96118">
              <w:rPr>
                <w:rFonts w:ascii="Arial" w:hAnsi="Arial" w:cs="FrankRuehl" w:hint="cs"/>
                <w:sz w:val="28"/>
                <w:szCs w:val="28"/>
                <w:rtl/>
              </w:rPr>
              <w:t>ב</w:t>
            </w:r>
            <w:r w:rsidRPr="00E96118">
              <w:rPr>
                <w:rFonts w:ascii="Arial" w:hAnsi="Arial" w:cs="FrankRuehl"/>
                <w:sz w:val="28"/>
                <w:szCs w:val="28"/>
                <w:rtl/>
              </w:rPr>
              <w:t xml:space="preserve">פני </w:t>
            </w:r>
          </w:p>
        </w:tc>
        <w:tc>
          <w:tcPr>
            <w:tcW w:w="7897" w:type="dxa"/>
            <w:gridSpan w:val="2"/>
            <w:tcBorders>
              <w:top w:val="nil"/>
              <w:left w:val="nil"/>
              <w:bottom w:val="nil"/>
              <w:right w:val="nil"/>
            </w:tcBorders>
          </w:tcPr>
          <w:p w14:paraId="0585F05F" w14:textId="77777777" w:rsidR="001271AC" w:rsidRPr="00E96118" w:rsidRDefault="00E96118">
            <w:pPr>
              <w:rPr>
                <w:rFonts w:ascii="Arial" w:hAnsi="Arial" w:cs="FrankRuehl"/>
                <w:b/>
                <w:bCs/>
                <w:sz w:val="28"/>
                <w:szCs w:val="28"/>
                <w:rtl/>
              </w:rPr>
            </w:pPr>
            <w:r w:rsidRPr="00E96118">
              <w:rPr>
                <w:rFonts w:ascii="Arial" w:hAnsi="Arial" w:cs="FrankRuehl" w:hint="cs"/>
                <w:b/>
                <w:bCs/>
                <w:sz w:val="28"/>
                <w:szCs w:val="28"/>
                <w:rtl/>
              </w:rPr>
              <w:t>כב' ה</w:t>
            </w:r>
            <w:r w:rsidRPr="00E96118">
              <w:rPr>
                <w:rFonts w:cs="FrankRuehl" w:hint="cs"/>
                <w:sz w:val="28"/>
                <w:szCs w:val="28"/>
                <w:rtl/>
              </w:rPr>
              <w:t>שופטת</w:t>
            </w:r>
            <w:r w:rsidRPr="00E96118">
              <w:rPr>
                <w:rFonts w:ascii="Arial" w:hAnsi="Arial" w:cs="FrankRuehl" w:hint="cs"/>
                <w:b/>
                <w:bCs/>
                <w:sz w:val="28"/>
                <w:szCs w:val="28"/>
                <w:rtl/>
              </w:rPr>
              <w:t xml:space="preserve"> </w:t>
            </w:r>
            <w:r w:rsidRPr="00E96118">
              <w:rPr>
                <w:rFonts w:cs="FrankRuehl" w:hint="cs"/>
                <w:sz w:val="28"/>
                <w:szCs w:val="28"/>
                <w:rtl/>
              </w:rPr>
              <w:t>דנה כהן-לקח</w:t>
            </w:r>
          </w:p>
          <w:p w14:paraId="7E63174B" w14:textId="77777777" w:rsidR="001271AC" w:rsidRPr="00E96118" w:rsidRDefault="001271AC">
            <w:pPr>
              <w:jc w:val="both"/>
              <w:rPr>
                <w:rFonts w:ascii="Arial" w:hAnsi="Arial" w:cs="FrankRuehl"/>
                <w:sz w:val="28"/>
                <w:szCs w:val="28"/>
              </w:rPr>
            </w:pPr>
          </w:p>
        </w:tc>
      </w:tr>
      <w:tr w:rsidR="001271AC" w:rsidRPr="00E96118" w14:paraId="5DD6AD8F" w14:textId="77777777">
        <w:trPr>
          <w:trHeight w:val="355"/>
          <w:jc w:val="center"/>
        </w:trPr>
        <w:tc>
          <w:tcPr>
            <w:tcW w:w="923" w:type="dxa"/>
            <w:tcBorders>
              <w:top w:val="nil"/>
              <w:left w:val="nil"/>
              <w:bottom w:val="nil"/>
              <w:right w:val="nil"/>
            </w:tcBorders>
          </w:tcPr>
          <w:p w14:paraId="1721785B" w14:textId="77777777" w:rsidR="001271AC" w:rsidRPr="00E96118" w:rsidRDefault="00E96118">
            <w:pPr>
              <w:jc w:val="both"/>
              <w:rPr>
                <w:rFonts w:ascii="Arial" w:hAnsi="Arial" w:cs="FrankRuehl"/>
                <w:sz w:val="28"/>
                <w:szCs w:val="28"/>
              </w:rPr>
            </w:pPr>
            <w:bookmarkStart w:id="1" w:name="FirstAppellant"/>
            <w:r w:rsidRPr="00E96118">
              <w:rPr>
                <w:rFonts w:ascii="Arial" w:hAnsi="Arial" w:cs="FrankRuehl" w:hint="cs"/>
                <w:sz w:val="28"/>
                <w:szCs w:val="28"/>
                <w:rtl/>
              </w:rPr>
              <w:t>בעניין:</w:t>
            </w:r>
          </w:p>
        </w:tc>
        <w:tc>
          <w:tcPr>
            <w:tcW w:w="4126" w:type="dxa"/>
            <w:tcBorders>
              <w:top w:val="nil"/>
              <w:left w:val="nil"/>
              <w:bottom w:val="nil"/>
              <w:right w:val="nil"/>
            </w:tcBorders>
          </w:tcPr>
          <w:p w14:paraId="7A12EBC2" w14:textId="77777777" w:rsidR="001271AC" w:rsidRPr="00E96118" w:rsidRDefault="00E96118">
            <w:r w:rsidRPr="00E96118">
              <w:rPr>
                <w:rFonts w:hint="cs"/>
                <w:rtl/>
              </w:rPr>
              <w:t>מדינת ישראל</w:t>
            </w:r>
          </w:p>
        </w:tc>
        <w:tc>
          <w:tcPr>
            <w:tcW w:w="3771" w:type="dxa"/>
            <w:tcBorders>
              <w:top w:val="nil"/>
              <w:left w:val="nil"/>
              <w:bottom w:val="nil"/>
              <w:right w:val="nil"/>
            </w:tcBorders>
          </w:tcPr>
          <w:p w14:paraId="42EB743A" w14:textId="77777777" w:rsidR="001271AC" w:rsidRPr="00E96118" w:rsidRDefault="001271AC">
            <w:pPr>
              <w:jc w:val="both"/>
              <w:rPr>
                <w:rFonts w:ascii="Arial" w:hAnsi="Arial" w:cs="FrankRuehl"/>
                <w:sz w:val="28"/>
                <w:szCs w:val="28"/>
              </w:rPr>
            </w:pPr>
          </w:p>
        </w:tc>
      </w:tr>
      <w:bookmarkEnd w:id="1"/>
      <w:tr w:rsidR="001271AC" w:rsidRPr="00E96118" w14:paraId="4F49B547" w14:textId="77777777">
        <w:trPr>
          <w:trHeight w:val="355"/>
          <w:jc w:val="center"/>
        </w:trPr>
        <w:tc>
          <w:tcPr>
            <w:tcW w:w="923" w:type="dxa"/>
            <w:tcBorders>
              <w:top w:val="nil"/>
              <w:left w:val="nil"/>
              <w:bottom w:val="nil"/>
              <w:right w:val="nil"/>
            </w:tcBorders>
          </w:tcPr>
          <w:p w14:paraId="0FCD34A6" w14:textId="77777777" w:rsidR="001271AC" w:rsidRPr="00E96118" w:rsidRDefault="001271AC">
            <w:pPr>
              <w:jc w:val="both"/>
              <w:rPr>
                <w:rFonts w:ascii="Arial" w:hAnsi="Arial" w:cs="FrankRuehl"/>
                <w:sz w:val="28"/>
                <w:szCs w:val="28"/>
                <w:rtl/>
              </w:rPr>
            </w:pPr>
          </w:p>
        </w:tc>
        <w:tc>
          <w:tcPr>
            <w:tcW w:w="4126" w:type="dxa"/>
            <w:tcBorders>
              <w:top w:val="nil"/>
              <w:left w:val="nil"/>
              <w:bottom w:val="nil"/>
              <w:right w:val="nil"/>
            </w:tcBorders>
          </w:tcPr>
          <w:p w14:paraId="4E6974C8" w14:textId="77777777" w:rsidR="001271AC" w:rsidRPr="00E96118" w:rsidRDefault="001271AC">
            <w:pPr>
              <w:jc w:val="both"/>
              <w:rPr>
                <w:rtl/>
              </w:rPr>
            </w:pPr>
          </w:p>
        </w:tc>
        <w:tc>
          <w:tcPr>
            <w:tcW w:w="3771" w:type="dxa"/>
            <w:tcBorders>
              <w:top w:val="nil"/>
              <w:left w:val="nil"/>
              <w:bottom w:val="nil"/>
              <w:right w:val="nil"/>
            </w:tcBorders>
          </w:tcPr>
          <w:p w14:paraId="3EB20A80" w14:textId="77777777" w:rsidR="001271AC" w:rsidRPr="00E96118" w:rsidRDefault="00E96118">
            <w:pPr>
              <w:jc w:val="right"/>
              <w:rPr>
                <w:rFonts w:ascii="Arial" w:hAnsi="Arial" w:cs="FrankRuehl"/>
                <w:sz w:val="28"/>
                <w:szCs w:val="28"/>
                <w:rtl/>
              </w:rPr>
            </w:pPr>
            <w:r w:rsidRPr="00E96118">
              <w:rPr>
                <w:rFonts w:ascii="Arial" w:hAnsi="Arial" w:cs="FrankRuehl" w:hint="cs"/>
                <w:sz w:val="28"/>
                <w:szCs w:val="28"/>
                <w:rtl/>
              </w:rPr>
              <w:t>ה</w:t>
            </w:r>
            <w:r w:rsidRPr="00E96118">
              <w:rPr>
                <w:rFonts w:hint="cs"/>
                <w:rtl/>
              </w:rPr>
              <w:t>מאשימה</w:t>
            </w:r>
          </w:p>
        </w:tc>
      </w:tr>
      <w:tr w:rsidR="001271AC" w:rsidRPr="00E96118" w14:paraId="061AB3E4" w14:textId="77777777">
        <w:trPr>
          <w:trHeight w:val="355"/>
          <w:jc w:val="center"/>
        </w:trPr>
        <w:tc>
          <w:tcPr>
            <w:tcW w:w="923" w:type="dxa"/>
            <w:tcBorders>
              <w:top w:val="nil"/>
              <w:left w:val="nil"/>
              <w:bottom w:val="nil"/>
              <w:right w:val="nil"/>
            </w:tcBorders>
          </w:tcPr>
          <w:p w14:paraId="59BC4A65" w14:textId="77777777" w:rsidR="001271AC" w:rsidRPr="00E96118" w:rsidRDefault="001271AC">
            <w:pPr>
              <w:jc w:val="both"/>
              <w:rPr>
                <w:rFonts w:ascii="Arial" w:hAnsi="Arial" w:cs="FrankRuehl"/>
                <w:sz w:val="28"/>
                <w:szCs w:val="28"/>
                <w:rtl/>
              </w:rPr>
            </w:pPr>
          </w:p>
        </w:tc>
        <w:tc>
          <w:tcPr>
            <w:tcW w:w="7897" w:type="dxa"/>
            <w:gridSpan w:val="2"/>
            <w:tcBorders>
              <w:top w:val="nil"/>
              <w:left w:val="nil"/>
              <w:bottom w:val="nil"/>
              <w:right w:val="nil"/>
            </w:tcBorders>
          </w:tcPr>
          <w:p w14:paraId="277EEA39" w14:textId="77777777" w:rsidR="001271AC" w:rsidRPr="00E96118" w:rsidRDefault="001271AC">
            <w:pPr>
              <w:jc w:val="center"/>
              <w:rPr>
                <w:rFonts w:ascii="Arial" w:hAnsi="Arial" w:cs="FrankRuehl"/>
                <w:b/>
                <w:bCs/>
                <w:sz w:val="28"/>
                <w:szCs w:val="28"/>
                <w:rtl/>
              </w:rPr>
            </w:pPr>
          </w:p>
          <w:p w14:paraId="4AEC44E7" w14:textId="77777777" w:rsidR="001271AC" w:rsidRPr="00E96118" w:rsidRDefault="00E96118">
            <w:pPr>
              <w:jc w:val="center"/>
              <w:rPr>
                <w:rFonts w:ascii="Arial" w:hAnsi="Arial" w:cs="FrankRuehl"/>
                <w:b/>
                <w:bCs/>
                <w:sz w:val="28"/>
                <w:szCs w:val="28"/>
                <w:rtl/>
              </w:rPr>
            </w:pPr>
            <w:r w:rsidRPr="00E96118">
              <w:rPr>
                <w:rFonts w:ascii="Arial" w:hAnsi="Arial" w:cs="FrankRuehl"/>
                <w:b/>
                <w:bCs/>
                <w:sz w:val="28"/>
                <w:szCs w:val="28"/>
                <w:rtl/>
              </w:rPr>
              <w:t>נגד</w:t>
            </w:r>
          </w:p>
          <w:p w14:paraId="651C3499" w14:textId="77777777" w:rsidR="001271AC" w:rsidRPr="00E96118" w:rsidRDefault="001271AC">
            <w:pPr>
              <w:jc w:val="both"/>
              <w:rPr>
                <w:rFonts w:ascii="Arial" w:hAnsi="Arial" w:cs="FrankRuehl"/>
                <w:sz w:val="28"/>
                <w:szCs w:val="28"/>
              </w:rPr>
            </w:pPr>
          </w:p>
        </w:tc>
      </w:tr>
      <w:tr w:rsidR="001271AC" w:rsidRPr="00E96118" w14:paraId="0791C6A5" w14:textId="77777777">
        <w:trPr>
          <w:trHeight w:val="355"/>
          <w:jc w:val="center"/>
        </w:trPr>
        <w:tc>
          <w:tcPr>
            <w:tcW w:w="923" w:type="dxa"/>
            <w:tcBorders>
              <w:top w:val="nil"/>
              <w:left w:val="nil"/>
              <w:bottom w:val="nil"/>
              <w:right w:val="nil"/>
            </w:tcBorders>
          </w:tcPr>
          <w:p w14:paraId="4973F14B" w14:textId="77777777" w:rsidR="001271AC" w:rsidRPr="00E96118" w:rsidRDefault="001271AC">
            <w:pPr>
              <w:jc w:val="both"/>
              <w:rPr>
                <w:rFonts w:ascii="Arial" w:hAnsi="Arial" w:cs="FrankRuehl"/>
                <w:sz w:val="28"/>
                <w:szCs w:val="28"/>
                <w:rtl/>
              </w:rPr>
            </w:pPr>
          </w:p>
        </w:tc>
        <w:tc>
          <w:tcPr>
            <w:tcW w:w="4126" w:type="dxa"/>
            <w:tcBorders>
              <w:top w:val="nil"/>
              <w:left w:val="nil"/>
              <w:bottom w:val="nil"/>
              <w:right w:val="nil"/>
            </w:tcBorders>
          </w:tcPr>
          <w:p w14:paraId="7FFC9E50" w14:textId="77777777" w:rsidR="001271AC" w:rsidRPr="00E96118" w:rsidRDefault="00E96118">
            <w:pPr>
              <w:jc w:val="both"/>
              <w:rPr>
                <w:rtl/>
              </w:rPr>
            </w:pPr>
            <w:r w:rsidRPr="00E96118">
              <w:rPr>
                <w:rFonts w:hint="cs"/>
                <w:rtl/>
              </w:rPr>
              <w:t>חסן אל שער (עציר)</w:t>
            </w:r>
          </w:p>
        </w:tc>
        <w:tc>
          <w:tcPr>
            <w:tcW w:w="3771" w:type="dxa"/>
            <w:tcBorders>
              <w:top w:val="nil"/>
              <w:left w:val="nil"/>
              <w:bottom w:val="nil"/>
              <w:right w:val="nil"/>
            </w:tcBorders>
          </w:tcPr>
          <w:p w14:paraId="19525BA0" w14:textId="77777777" w:rsidR="001271AC" w:rsidRPr="00E96118" w:rsidRDefault="001271AC">
            <w:pPr>
              <w:jc w:val="right"/>
              <w:rPr>
                <w:rFonts w:ascii="Arial" w:hAnsi="Arial" w:cs="FrankRuehl"/>
                <w:sz w:val="28"/>
                <w:szCs w:val="28"/>
              </w:rPr>
            </w:pPr>
          </w:p>
        </w:tc>
      </w:tr>
      <w:tr w:rsidR="001271AC" w:rsidRPr="00E96118" w14:paraId="39A4D9BE" w14:textId="77777777">
        <w:trPr>
          <w:trHeight w:val="355"/>
          <w:jc w:val="center"/>
        </w:trPr>
        <w:tc>
          <w:tcPr>
            <w:tcW w:w="923" w:type="dxa"/>
            <w:tcBorders>
              <w:top w:val="nil"/>
              <w:left w:val="nil"/>
              <w:bottom w:val="nil"/>
              <w:right w:val="nil"/>
            </w:tcBorders>
          </w:tcPr>
          <w:p w14:paraId="7E7E6049" w14:textId="77777777" w:rsidR="001271AC" w:rsidRPr="00E96118" w:rsidRDefault="001271AC">
            <w:pPr>
              <w:jc w:val="both"/>
              <w:rPr>
                <w:rFonts w:ascii="Arial" w:hAnsi="Arial" w:cs="FrankRuehl"/>
                <w:sz w:val="28"/>
                <w:szCs w:val="28"/>
                <w:rtl/>
              </w:rPr>
            </w:pPr>
          </w:p>
        </w:tc>
        <w:tc>
          <w:tcPr>
            <w:tcW w:w="4126" w:type="dxa"/>
            <w:tcBorders>
              <w:top w:val="nil"/>
              <w:left w:val="nil"/>
              <w:bottom w:val="nil"/>
              <w:right w:val="nil"/>
            </w:tcBorders>
          </w:tcPr>
          <w:p w14:paraId="5140C123" w14:textId="77777777" w:rsidR="001271AC" w:rsidRPr="00E96118" w:rsidRDefault="001271AC">
            <w:pPr>
              <w:jc w:val="both"/>
              <w:rPr>
                <w:rtl/>
              </w:rPr>
            </w:pPr>
          </w:p>
        </w:tc>
        <w:tc>
          <w:tcPr>
            <w:tcW w:w="3771" w:type="dxa"/>
            <w:tcBorders>
              <w:top w:val="nil"/>
              <w:left w:val="nil"/>
              <w:bottom w:val="nil"/>
              <w:right w:val="nil"/>
            </w:tcBorders>
          </w:tcPr>
          <w:p w14:paraId="3C3E35DB" w14:textId="77777777" w:rsidR="001271AC" w:rsidRPr="00E96118" w:rsidRDefault="00E96118">
            <w:pPr>
              <w:jc w:val="right"/>
              <w:rPr>
                <w:rFonts w:ascii="Arial" w:hAnsi="Arial" w:cs="FrankRuehl"/>
                <w:sz w:val="28"/>
                <w:szCs w:val="28"/>
              </w:rPr>
            </w:pPr>
            <w:r w:rsidRPr="00E96118">
              <w:rPr>
                <w:rFonts w:ascii="Arial" w:hAnsi="Arial" w:cs="FrankRuehl" w:hint="cs"/>
                <w:sz w:val="28"/>
                <w:szCs w:val="28"/>
                <w:rtl/>
              </w:rPr>
              <w:t>ה</w:t>
            </w:r>
            <w:r w:rsidRPr="00E96118">
              <w:rPr>
                <w:rFonts w:hint="cs"/>
                <w:rtl/>
              </w:rPr>
              <w:t>נאשם</w:t>
            </w:r>
          </w:p>
        </w:tc>
      </w:tr>
    </w:tbl>
    <w:p w14:paraId="044216EF" w14:textId="77777777" w:rsidR="001271AC" w:rsidRPr="00E96118" w:rsidRDefault="001271AC"/>
    <w:p w14:paraId="7676782F" w14:textId="77777777" w:rsidR="006D4521" w:rsidRPr="006D4521" w:rsidRDefault="006D4521" w:rsidP="006D4521">
      <w:pPr>
        <w:spacing w:after="120" w:line="240" w:lineRule="exact"/>
        <w:ind w:left="283" w:hanging="283"/>
        <w:jc w:val="both"/>
        <w:rPr>
          <w:rFonts w:ascii="FrankRuehl" w:hAnsi="FrankRuehl" w:cs="FrankRuehl"/>
          <w:rtl/>
        </w:rPr>
      </w:pPr>
      <w:bookmarkStart w:id="2" w:name="LawTable"/>
      <w:bookmarkEnd w:id="2"/>
      <w:r w:rsidRPr="006D4521">
        <w:rPr>
          <w:rFonts w:ascii="FrankRuehl" w:hAnsi="FrankRuehl" w:cs="FrankRuehl"/>
          <w:rtl/>
        </w:rPr>
        <w:t xml:space="preserve">חקיקה שאוזכרה: </w:t>
      </w:r>
    </w:p>
    <w:p w14:paraId="39ED871B" w14:textId="77777777" w:rsidR="006D4521" w:rsidRPr="006D4521" w:rsidRDefault="006D4521" w:rsidP="006D4521">
      <w:pPr>
        <w:spacing w:after="120" w:line="240" w:lineRule="exact"/>
        <w:ind w:left="283" w:hanging="283"/>
        <w:jc w:val="both"/>
        <w:rPr>
          <w:rFonts w:ascii="FrankRuehl" w:hAnsi="FrankRuehl" w:cs="FrankRuehl"/>
          <w:color w:val="0000FF"/>
          <w:u w:val="single"/>
          <w:rtl/>
        </w:rPr>
      </w:pPr>
      <w:hyperlink r:id="rId6" w:history="1">
        <w:r w:rsidRPr="006D4521">
          <w:rPr>
            <w:rStyle w:val="Hyperlink"/>
            <w:rFonts w:ascii="FrankRuehl" w:hAnsi="FrankRuehl" w:cs="FrankRuehl"/>
            <w:rtl/>
          </w:rPr>
          <w:t>פקודת הסמים המסוכנים [נוסח חדש], תשל"ג-1973</w:t>
        </w:r>
      </w:hyperlink>
      <w:r w:rsidRPr="006D4521">
        <w:rPr>
          <w:rFonts w:ascii="FrankRuehl" w:hAnsi="FrankRuehl" w:cs="FrankRuehl"/>
          <w:color w:val="0000FF"/>
          <w:u w:val="single"/>
          <w:rtl/>
        </w:rPr>
        <w:t xml:space="preserve">: סע'  </w:t>
      </w:r>
      <w:hyperlink r:id="rId7" w:history="1">
        <w:r w:rsidRPr="006D4521">
          <w:rPr>
            <w:rStyle w:val="Hyperlink"/>
            <w:rFonts w:ascii="FrankRuehl" w:hAnsi="FrankRuehl" w:cs="FrankRuehl"/>
          </w:rPr>
          <w:t>13</w:t>
        </w:r>
      </w:hyperlink>
      <w:r w:rsidRPr="006D4521">
        <w:rPr>
          <w:rFonts w:ascii="FrankRuehl" w:hAnsi="FrankRuehl" w:cs="FrankRuehl"/>
          <w:color w:val="0000FF"/>
          <w:u w:val="single"/>
          <w:rtl/>
        </w:rPr>
        <w:t xml:space="preserve">, </w:t>
      </w:r>
      <w:hyperlink r:id="rId8" w:history="1">
        <w:r w:rsidRPr="006D4521">
          <w:rPr>
            <w:rStyle w:val="Hyperlink"/>
            <w:rFonts w:ascii="FrankRuehl" w:hAnsi="FrankRuehl" w:cs="FrankRuehl"/>
          </w:rPr>
          <w:t>19</w:t>
        </w:r>
        <w:r w:rsidRPr="006D4521">
          <w:rPr>
            <w:rStyle w:val="Hyperlink"/>
            <w:rFonts w:ascii="FrankRuehl" w:hAnsi="FrankRuehl" w:cs="FrankRuehl"/>
            <w:rtl/>
          </w:rPr>
          <w:t>א</w:t>
        </w:r>
      </w:hyperlink>
    </w:p>
    <w:p w14:paraId="6864DD2A" w14:textId="77777777" w:rsidR="006D4521" w:rsidRPr="006D4521" w:rsidRDefault="006D4521" w:rsidP="006D4521">
      <w:pPr>
        <w:spacing w:after="120" w:line="240" w:lineRule="exact"/>
        <w:ind w:left="283" w:hanging="283"/>
        <w:jc w:val="both"/>
        <w:rPr>
          <w:rFonts w:ascii="FrankRuehl" w:hAnsi="FrankRuehl" w:cs="FrankRuehl"/>
          <w:color w:val="0000FF"/>
          <w:u w:val="single"/>
          <w:rtl/>
        </w:rPr>
      </w:pPr>
      <w:hyperlink r:id="rId9" w:history="1">
        <w:r w:rsidRPr="006D4521">
          <w:rPr>
            <w:rStyle w:val="Hyperlink"/>
            <w:rFonts w:ascii="FrankRuehl" w:hAnsi="FrankRuehl" w:cs="FrankRuehl"/>
            <w:rtl/>
          </w:rPr>
          <w:t>חוק העונשין, תשל"ז-1977</w:t>
        </w:r>
      </w:hyperlink>
      <w:r w:rsidRPr="006D4521">
        <w:rPr>
          <w:rFonts w:ascii="FrankRuehl" w:hAnsi="FrankRuehl" w:cs="FrankRuehl"/>
          <w:color w:val="0000FF"/>
          <w:u w:val="single"/>
          <w:rtl/>
        </w:rPr>
        <w:t xml:space="preserve">: סע'  </w:t>
      </w:r>
      <w:hyperlink r:id="rId10" w:history="1">
        <w:r w:rsidRPr="006D4521">
          <w:rPr>
            <w:rStyle w:val="Hyperlink"/>
            <w:rFonts w:ascii="FrankRuehl" w:hAnsi="FrankRuehl" w:cs="FrankRuehl"/>
          </w:rPr>
          <w:t>25</w:t>
        </w:r>
      </w:hyperlink>
      <w:r w:rsidRPr="006D4521">
        <w:rPr>
          <w:rFonts w:ascii="FrankRuehl" w:hAnsi="FrankRuehl" w:cs="FrankRuehl"/>
          <w:color w:val="0000FF"/>
          <w:u w:val="single"/>
          <w:rtl/>
        </w:rPr>
        <w:t xml:space="preserve">, </w:t>
      </w:r>
      <w:hyperlink r:id="rId11" w:history="1">
        <w:r w:rsidRPr="006D4521">
          <w:rPr>
            <w:rStyle w:val="Hyperlink"/>
            <w:rFonts w:ascii="FrankRuehl" w:hAnsi="FrankRuehl" w:cs="FrankRuehl"/>
          </w:rPr>
          <w:t>31</w:t>
        </w:r>
      </w:hyperlink>
      <w:r w:rsidRPr="006D4521">
        <w:rPr>
          <w:rFonts w:ascii="FrankRuehl" w:hAnsi="FrankRuehl" w:cs="FrankRuehl"/>
          <w:color w:val="0000FF"/>
          <w:u w:val="single"/>
          <w:rtl/>
        </w:rPr>
        <w:t xml:space="preserve">, </w:t>
      </w:r>
      <w:hyperlink r:id="rId12" w:history="1">
        <w:r w:rsidRPr="006D4521">
          <w:rPr>
            <w:rStyle w:val="Hyperlink"/>
            <w:rFonts w:ascii="FrankRuehl" w:hAnsi="FrankRuehl" w:cs="FrankRuehl"/>
          </w:rPr>
          <w:t>40</w:t>
        </w:r>
        <w:r w:rsidRPr="006D4521">
          <w:rPr>
            <w:rStyle w:val="Hyperlink"/>
            <w:rFonts w:ascii="FrankRuehl" w:hAnsi="FrankRuehl" w:cs="FrankRuehl"/>
            <w:rtl/>
          </w:rPr>
          <w:t>ג(א</w:t>
        </w:r>
        <w:r w:rsidRPr="006D4521">
          <w:rPr>
            <w:rStyle w:val="Hyperlink"/>
            <w:rFonts w:ascii="FrankRuehl" w:hAnsi="FrankRuehl" w:cs="FrankRuehl"/>
          </w:rPr>
          <w:t>)</w:t>
        </w:r>
      </w:hyperlink>
      <w:r w:rsidRPr="006D4521">
        <w:rPr>
          <w:rFonts w:ascii="FrankRuehl" w:hAnsi="FrankRuehl" w:cs="FrankRuehl"/>
          <w:color w:val="0000FF"/>
          <w:u w:val="single"/>
          <w:rtl/>
        </w:rPr>
        <w:t xml:space="preserve">, </w:t>
      </w:r>
      <w:hyperlink r:id="rId13" w:history="1">
        <w:r w:rsidRPr="006D4521">
          <w:rPr>
            <w:rStyle w:val="Hyperlink"/>
            <w:rFonts w:ascii="FrankRuehl" w:hAnsi="FrankRuehl" w:cs="FrankRuehl"/>
          </w:rPr>
          <w:t>275</w:t>
        </w:r>
      </w:hyperlink>
      <w:r w:rsidRPr="006D4521">
        <w:rPr>
          <w:rFonts w:ascii="FrankRuehl" w:hAnsi="FrankRuehl" w:cs="FrankRuehl"/>
          <w:color w:val="0000FF"/>
          <w:u w:val="single"/>
          <w:rtl/>
        </w:rPr>
        <w:t xml:space="preserve">, </w:t>
      </w:r>
      <w:hyperlink r:id="rId14" w:history="1">
        <w:r w:rsidRPr="006D4521">
          <w:rPr>
            <w:rStyle w:val="Hyperlink"/>
            <w:rFonts w:ascii="FrankRuehl" w:hAnsi="FrankRuehl" w:cs="FrankRuehl"/>
          </w:rPr>
          <w:t>287(</w:t>
        </w:r>
        <w:r w:rsidRPr="006D4521">
          <w:rPr>
            <w:rStyle w:val="Hyperlink"/>
            <w:rFonts w:ascii="FrankRuehl" w:hAnsi="FrankRuehl" w:cs="FrankRuehl"/>
            <w:rtl/>
          </w:rPr>
          <w:t>א</w:t>
        </w:r>
        <w:r w:rsidRPr="006D4521">
          <w:rPr>
            <w:rStyle w:val="Hyperlink"/>
            <w:rFonts w:ascii="FrankRuehl" w:hAnsi="FrankRuehl" w:cs="FrankRuehl"/>
          </w:rPr>
          <w:t>)</w:t>
        </w:r>
      </w:hyperlink>
      <w:r w:rsidRPr="006D4521">
        <w:rPr>
          <w:rFonts w:ascii="FrankRuehl" w:hAnsi="FrankRuehl" w:cs="FrankRuehl"/>
          <w:color w:val="0000FF"/>
          <w:u w:val="single"/>
          <w:rtl/>
        </w:rPr>
        <w:t xml:space="preserve">, </w:t>
      </w:r>
      <w:hyperlink r:id="rId15" w:history="1">
        <w:r w:rsidRPr="006D4521">
          <w:rPr>
            <w:rStyle w:val="Hyperlink"/>
            <w:rFonts w:ascii="FrankRuehl" w:hAnsi="FrankRuehl" w:cs="FrankRuehl"/>
          </w:rPr>
          <w:t>40</w:t>
        </w:r>
        <w:r w:rsidRPr="006D4521">
          <w:rPr>
            <w:rStyle w:val="Hyperlink"/>
            <w:rFonts w:ascii="FrankRuehl" w:hAnsi="FrankRuehl" w:cs="FrankRuehl"/>
            <w:rtl/>
          </w:rPr>
          <w:t>יג</w:t>
        </w:r>
      </w:hyperlink>
      <w:r w:rsidRPr="006D4521">
        <w:rPr>
          <w:rFonts w:ascii="FrankRuehl" w:hAnsi="FrankRuehl" w:cs="FrankRuehl"/>
          <w:color w:val="0000FF"/>
          <w:u w:val="single"/>
          <w:rtl/>
        </w:rPr>
        <w:t xml:space="preserve">, </w:t>
      </w:r>
      <w:hyperlink r:id="rId16" w:history="1">
        <w:r w:rsidRPr="006D4521">
          <w:rPr>
            <w:rStyle w:val="Hyperlink"/>
            <w:rFonts w:ascii="FrankRuehl" w:hAnsi="FrankRuehl" w:cs="FrankRuehl"/>
          </w:rPr>
          <w:t>40</w:t>
        </w:r>
        <w:r w:rsidRPr="006D4521">
          <w:rPr>
            <w:rStyle w:val="Hyperlink"/>
            <w:rFonts w:ascii="FrankRuehl" w:hAnsi="FrankRuehl" w:cs="FrankRuehl"/>
            <w:rtl/>
          </w:rPr>
          <w:t>יג(א</w:t>
        </w:r>
        <w:r w:rsidRPr="006D4521">
          <w:rPr>
            <w:rStyle w:val="Hyperlink"/>
            <w:rFonts w:ascii="FrankRuehl" w:hAnsi="FrankRuehl" w:cs="FrankRuehl"/>
          </w:rPr>
          <w:t>)</w:t>
        </w:r>
      </w:hyperlink>
      <w:r w:rsidRPr="006D4521">
        <w:rPr>
          <w:rFonts w:ascii="FrankRuehl" w:hAnsi="FrankRuehl" w:cs="FrankRuehl"/>
          <w:color w:val="0000FF"/>
          <w:u w:val="single"/>
          <w:rtl/>
        </w:rPr>
        <w:t xml:space="preserve">, </w:t>
      </w:r>
      <w:hyperlink r:id="rId17" w:history="1">
        <w:r w:rsidRPr="006D4521">
          <w:rPr>
            <w:rStyle w:val="Hyperlink"/>
            <w:rFonts w:ascii="FrankRuehl" w:hAnsi="FrankRuehl" w:cs="FrankRuehl"/>
          </w:rPr>
          <w:t>40</w:t>
        </w:r>
        <w:r w:rsidRPr="006D4521">
          <w:rPr>
            <w:rStyle w:val="Hyperlink"/>
            <w:rFonts w:ascii="FrankRuehl" w:hAnsi="FrankRuehl" w:cs="FrankRuehl"/>
            <w:rtl/>
          </w:rPr>
          <w:t>יג(ב</w:t>
        </w:r>
        <w:r w:rsidRPr="006D4521">
          <w:rPr>
            <w:rStyle w:val="Hyperlink"/>
            <w:rFonts w:ascii="FrankRuehl" w:hAnsi="FrankRuehl" w:cs="FrankRuehl"/>
          </w:rPr>
          <w:t>)</w:t>
        </w:r>
      </w:hyperlink>
      <w:r w:rsidRPr="006D4521">
        <w:rPr>
          <w:rFonts w:ascii="FrankRuehl" w:hAnsi="FrankRuehl" w:cs="FrankRuehl"/>
          <w:color w:val="0000FF"/>
          <w:u w:val="single"/>
          <w:rtl/>
        </w:rPr>
        <w:t xml:space="preserve">, </w:t>
      </w:r>
      <w:hyperlink r:id="rId18" w:history="1">
        <w:r w:rsidRPr="006D4521">
          <w:rPr>
            <w:rStyle w:val="Hyperlink"/>
            <w:rFonts w:ascii="FrankRuehl" w:hAnsi="FrankRuehl" w:cs="FrankRuehl"/>
          </w:rPr>
          <w:t>441</w:t>
        </w:r>
      </w:hyperlink>
    </w:p>
    <w:p w14:paraId="0085839B" w14:textId="77777777" w:rsidR="006D4521" w:rsidRPr="006D4521" w:rsidRDefault="006D4521" w:rsidP="006D4521">
      <w:pPr>
        <w:spacing w:after="120" w:line="240" w:lineRule="exact"/>
        <w:ind w:left="283" w:hanging="283"/>
        <w:jc w:val="both"/>
        <w:rPr>
          <w:rFonts w:ascii="FrankRuehl" w:hAnsi="FrankRuehl" w:cs="FrankRuehl"/>
          <w:color w:val="0000FF"/>
          <w:u w:val="single"/>
          <w:rtl/>
        </w:rPr>
      </w:pPr>
      <w:hyperlink r:id="rId19" w:history="1">
        <w:r w:rsidRPr="006D4521">
          <w:rPr>
            <w:rStyle w:val="Hyperlink"/>
            <w:rFonts w:ascii="FrankRuehl" w:hAnsi="FrankRuehl" w:cs="FrankRuehl"/>
            <w:rtl/>
          </w:rPr>
          <w:t>חוק הכניסה לישראל, תשי"ב-1952</w:t>
        </w:r>
      </w:hyperlink>
      <w:r w:rsidRPr="006D4521">
        <w:rPr>
          <w:rFonts w:ascii="FrankRuehl" w:hAnsi="FrankRuehl" w:cs="FrankRuehl"/>
          <w:color w:val="0000FF"/>
          <w:u w:val="single"/>
          <w:rtl/>
        </w:rPr>
        <w:t xml:space="preserve">: סע'  </w:t>
      </w:r>
      <w:hyperlink r:id="rId20" w:history="1">
        <w:r w:rsidRPr="006D4521">
          <w:rPr>
            <w:rStyle w:val="Hyperlink"/>
            <w:rFonts w:ascii="FrankRuehl" w:hAnsi="FrankRuehl" w:cs="FrankRuehl"/>
          </w:rPr>
          <w:t>12(1)</w:t>
        </w:r>
      </w:hyperlink>
    </w:p>
    <w:p w14:paraId="1D1681A4" w14:textId="77777777" w:rsidR="006D4521" w:rsidRPr="006D4521" w:rsidRDefault="006D4521" w:rsidP="006D4521">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271AC" w14:paraId="5439EF28" w14:textId="77777777">
        <w:trPr>
          <w:trHeight w:val="355"/>
          <w:jc w:val="center"/>
        </w:trPr>
        <w:tc>
          <w:tcPr>
            <w:tcW w:w="8820" w:type="dxa"/>
            <w:tcBorders>
              <w:top w:val="nil"/>
              <w:left w:val="nil"/>
              <w:bottom w:val="nil"/>
              <w:right w:val="nil"/>
            </w:tcBorders>
          </w:tcPr>
          <w:p w14:paraId="03782A21" w14:textId="77777777" w:rsidR="00E96118" w:rsidRPr="00E96118" w:rsidRDefault="00E96118" w:rsidP="00E96118">
            <w:pPr>
              <w:jc w:val="center"/>
              <w:rPr>
                <w:rFonts w:ascii="Arial" w:hAnsi="Arial" w:cs="FrankRuehl"/>
                <w:b/>
                <w:bCs/>
                <w:sz w:val="34"/>
                <w:szCs w:val="34"/>
                <w:u w:val="single"/>
                <w:rtl/>
              </w:rPr>
            </w:pPr>
            <w:bookmarkStart w:id="3" w:name="LawTable_End"/>
            <w:bookmarkStart w:id="4" w:name="PsakDin" w:colFirst="0" w:colLast="0"/>
            <w:bookmarkEnd w:id="0"/>
            <w:bookmarkEnd w:id="3"/>
            <w:r w:rsidRPr="00E96118">
              <w:rPr>
                <w:rFonts w:ascii="Arial" w:hAnsi="Arial" w:cs="FrankRuehl"/>
                <w:b/>
                <w:bCs/>
                <w:sz w:val="34"/>
                <w:szCs w:val="34"/>
                <w:u w:val="single"/>
                <w:rtl/>
              </w:rPr>
              <w:t>גזר דין</w:t>
            </w:r>
          </w:p>
          <w:p w14:paraId="33F4DFC9" w14:textId="77777777" w:rsidR="001271AC" w:rsidRPr="00E96118" w:rsidRDefault="001271AC" w:rsidP="00E96118">
            <w:pPr>
              <w:jc w:val="center"/>
              <w:rPr>
                <w:rFonts w:ascii="Arial" w:hAnsi="Arial" w:cs="FrankRuehl"/>
                <w:bCs/>
                <w:sz w:val="34"/>
                <w:szCs w:val="34"/>
                <w:u w:val="single"/>
                <w:rtl/>
              </w:rPr>
            </w:pPr>
          </w:p>
        </w:tc>
      </w:tr>
      <w:bookmarkEnd w:id="4"/>
    </w:tbl>
    <w:p w14:paraId="4D98BE84" w14:textId="77777777" w:rsidR="001271AC" w:rsidRDefault="001271AC">
      <w:pPr>
        <w:spacing w:line="360" w:lineRule="auto"/>
        <w:jc w:val="both"/>
        <w:rPr>
          <w:rFonts w:cs="FrankRuehl"/>
          <w:sz w:val="28"/>
          <w:szCs w:val="28"/>
          <w:u w:val="single"/>
          <w:rtl/>
        </w:rPr>
      </w:pPr>
    </w:p>
    <w:p w14:paraId="77D19C2D" w14:textId="77777777" w:rsidR="001271AC" w:rsidRDefault="00E96118">
      <w:pPr>
        <w:spacing w:line="360" w:lineRule="auto"/>
        <w:jc w:val="both"/>
        <w:rPr>
          <w:rFonts w:cs="FrankRuehl"/>
          <w:b/>
          <w:bCs/>
          <w:sz w:val="28"/>
          <w:szCs w:val="28"/>
          <w:u w:val="single"/>
          <w:rtl/>
        </w:rPr>
      </w:pPr>
      <w:r>
        <w:rPr>
          <w:rFonts w:cs="FrankRuehl" w:hint="cs"/>
          <w:b/>
          <w:bCs/>
          <w:sz w:val="28"/>
          <w:szCs w:val="28"/>
          <w:u w:val="single"/>
          <w:rtl/>
        </w:rPr>
        <w:t>רקע</w:t>
      </w:r>
    </w:p>
    <w:p w14:paraId="3F615C77" w14:textId="77777777" w:rsidR="001271AC" w:rsidRDefault="00E96118">
      <w:pPr>
        <w:spacing w:after="120" w:line="360" w:lineRule="auto"/>
        <w:jc w:val="both"/>
        <w:rPr>
          <w:rFonts w:cs="FrankRuehl"/>
          <w:sz w:val="28"/>
          <w:szCs w:val="28"/>
          <w:rtl/>
        </w:rPr>
      </w:pPr>
      <w:r>
        <w:rPr>
          <w:rFonts w:cs="FrankRuehl" w:hint="cs"/>
          <w:sz w:val="28"/>
          <w:szCs w:val="28"/>
          <w:rtl/>
        </w:rPr>
        <w:t>1.</w:t>
      </w:r>
      <w:r>
        <w:rPr>
          <w:rFonts w:cs="FrankRuehl" w:hint="cs"/>
          <w:sz w:val="28"/>
          <w:szCs w:val="28"/>
          <w:rtl/>
        </w:rPr>
        <w:tab/>
        <w:t xml:space="preserve">ביום 19.12.2013 הורשע הנאשם בהתאם להודאתו, בעבירות אשר יוחסו לו בכתב-אישום מתוקן בהליך שבכותרת - </w:t>
      </w:r>
      <w:hyperlink r:id="rId21" w:history="1">
        <w:r w:rsidRPr="00E96118">
          <w:rPr>
            <w:rFonts w:cs="FrankRuehl"/>
            <w:color w:val="0000FF"/>
            <w:sz w:val="28"/>
            <w:szCs w:val="28"/>
            <w:u w:val="single"/>
            <w:rtl/>
          </w:rPr>
          <w:t>ת"פ 23836-05-13</w:t>
        </w:r>
      </w:hyperlink>
      <w:r>
        <w:rPr>
          <w:rFonts w:cs="FrankRuehl" w:hint="cs"/>
          <w:sz w:val="28"/>
          <w:szCs w:val="28"/>
          <w:rtl/>
        </w:rPr>
        <w:t xml:space="preserve"> (להלן: </w:t>
      </w:r>
      <w:r>
        <w:rPr>
          <w:rFonts w:cs="Miriam" w:hint="cs"/>
          <w:u w:val="single"/>
          <w:rtl/>
        </w:rPr>
        <w:t>התיק העיקרי</w:t>
      </w:r>
      <w:r>
        <w:rPr>
          <w:rFonts w:cs="FrankRuehl" w:hint="cs"/>
          <w:sz w:val="28"/>
          <w:szCs w:val="28"/>
          <w:rtl/>
        </w:rPr>
        <w:t>). כתב-האישום המתוקן מחזיק ארבעה אישומים (זאת לאחר שאישומים נוספים נמחקו מכתב-האישום המקורי):</w:t>
      </w:r>
    </w:p>
    <w:p w14:paraId="15250D49" w14:textId="77777777" w:rsidR="001271AC" w:rsidRDefault="001271AC">
      <w:pPr>
        <w:spacing w:after="120" w:line="360" w:lineRule="auto"/>
        <w:jc w:val="both"/>
        <w:rPr>
          <w:rFonts w:cs="FrankRuehl"/>
          <w:sz w:val="28"/>
          <w:szCs w:val="28"/>
          <w:rtl/>
        </w:rPr>
      </w:pPr>
    </w:p>
    <w:p w14:paraId="497B6B02" w14:textId="77777777" w:rsidR="001271AC" w:rsidRDefault="00E96118">
      <w:pPr>
        <w:spacing w:after="120" w:line="360" w:lineRule="auto"/>
        <w:ind w:firstLine="720"/>
        <w:jc w:val="both"/>
        <w:rPr>
          <w:rFonts w:cs="FrankRuehl"/>
          <w:sz w:val="28"/>
          <w:szCs w:val="28"/>
          <w:rtl/>
        </w:rPr>
      </w:pPr>
      <w:bookmarkStart w:id="5" w:name="ABSTRACT_START"/>
      <w:bookmarkEnd w:id="5"/>
      <w:r>
        <w:rPr>
          <w:rFonts w:cs="Miriam" w:hint="cs"/>
          <w:rtl/>
        </w:rPr>
        <w:t>על-פי האישום הראשון</w:t>
      </w:r>
      <w:r>
        <w:rPr>
          <w:rFonts w:cs="FrankRuehl" w:hint="cs"/>
          <w:sz w:val="28"/>
          <w:szCs w:val="28"/>
          <w:rtl/>
        </w:rPr>
        <w:t xml:space="preserve">, ביום 17.4.2013, בין השעות 15:00 ל- 18:30, בשכונת בית חנינה בירושלים מכר הנאשם לשוטר דרעי (להלן: </w:t>
      </w:r>
      <w:r>
        <w:rPr>
          <w:rFonts w:cs="Miriam" w:hint="cs"/>
          <w:rtl/>
        </w:rPr>
        <w:t>השוטר</w:t>
      </w:r>
      <w:r>
        <w:rPr>
          <w:rFonts w:cs="FrankRuehl" w:hint="cs"/>
          <w:sz w:val="28"/>
          <w:szCs w:val="28"/>
          <w:rtl/>
        </w:rPr>
        <w:t xml:space="preserve">) סם מסוג חשיש במשקל </w:t>
      </w:r>
      <w:smartTag w:uri="urn:schemas-microsoft-com:office:smarttags" w:element="metricconverter">
        <w:smartTagPr>
          <w:attr w:name="ProductID" w:val="1.42 גרם"/>
        </w:smartTagPr>
        <w:r>
          <w:rPr>
            <w:rFonts w:cs="FrankRuehl" w:hint="cs"/>
            <w:sz w:val="28"/>
            <w:szCs w:val="28"/>
            <w:rtl/>
          </w:rPr>
          <w:t>1.42 גרם</w:t>
        </w:r>
      </w:smartTag>
      <w:r>
        <w:rPr>
          <w:rFonts w:cs="FrankRuehl" w:hint="cs"/>
          <w:sz w:val="28"/>
          <w:szCs w:val="28"/>
          <w:rtl/>
        </w:rPr>
        <w:t xml:space="preserve"> תמורת 100 ₪. באותן הנסיבות, התקשר השוטר אל הנאשם ושאל אותו האם אפשר "להתארגן בסמים". הנאשם כיוון את השוטר למקום המפגש בשכונת בית חנינה, והשניים נפגשו ברחבת כורכר ברחוב. בעוד השוטר יושב ברכבו, הנאשם התקרב לעבר חלון הנהג. השוטר העביר לנאשם סכום של 100 ₪, וזה העביר לו בתמורה את הסם. </w:t>
      </w:r>
    </w:p>
    <w:p w14:paraId="1EC4FC21" w14:textId="77777777" w:rsidR="001271AC" w:rsidRDefault="001271AC">
      <w:pPr>
        <w:spacing w:after="120" w:line="360" w:lineRule="auto"/>
        <w:jc w:val="both"/>
        <w:rPr>
          <w:rFonts w:cs="Miriam"/>
          <w:rtl/>
        </w:rPr>
      </w:pPr>
      <w:bookmarkStart w:id="6" w:name="ABSTRACT_END"/>
      <w:bookmarkEnd w:id="6"/>
    </w:p>
    <w:p w14:paraId="06092DA6" w14:textId="77777777" w:rsidR="001271AC" w:rsidRDefault="00E96118">
      <w:pPr>
        <w:spacing w:after="120" w:line="360" w:lineRule="auto"/>
        <w:ind w:firstLine="720"/>
        <w:jc w:val="both"/>
        <w:rPr>
          <w:rFonts w:cs="FrankRuehl"/>
          <w:sz w:val="28"/>
          <w:szCs w:val="28"/>
          <w:rtl/>
        </w:rPr>
      </w:pPr>
      <w:r>
        <w:rPr>
          <w:rFonts w:cs="Miriam" w:hint="cs"/>
          <w:rtl/>
        </w:rPr>
        <w:lastRenderedPageBreak/>
        <w:t>על-פי האישום הרביעי</w:t>
      </w:r>
      <w:r>
        <w:rPr>
          <w:rFonts w:cs="FrankRuehl" w:hint="cs"/>
          <w:sz w:val="28"/>
          <w:szCs w:val="28"/>
          <w:rtl/>
        </w:rPr>
        <w:t xml:space="preserve">, ביום 7.5.2013, בסמוך לשעה 17:00, בשכונת בית חנינה בירושלים, מכר הנאשם לשוטר סם מסוג חשיש במשקל </w:t>
      </w:r>
      <w:smartTag w:uri="urn:schemas-microsoft-com:office:smarttags" w:element="metricconverter">
        <w:smartTagPr>
          <w:attr w:name="ProductID" w:val="1.1531 גרם"/>
        </w:smartTagPr>
        <w:r>
          <w:rPr>
            <w:rFonts w:cs="FrankRuehl" w:hint="cs"/>
            <w:sz w:val="28"/>
            <w:szCs w:val="28"/>
            <w:rtl/>
          </w:rPr>
          <w:t>1.1531 גרם</w:t>
        </w:r>
      </w:smartTag>
      <w:r>
        <w:rPr>
          <w:rFonts w:cs="FrankRuehl" w:hint="cs"/>
          <w:sz w:val="28"/>
          <w:szCs w:val="28"/>
          <w:rtl/>
        </w:rPr>
        <w:t xml:space="preserve"> תמורת 100 ₪. באותן הנסיבות, ולאחר תיאום טלפוני, הגיע השוטר לרחבה בשכונת בית חנינה כשהוא נוהג ברכב. בהמשך הגיע למקום הנאשם כשהוא נוהג ברכב מסוג מזדה והחנה את רכבו במקביל לרכבו של השוטר. הנאשם העביר את הסם דרך חלון הרכב לשוטר, ובתמורה העביר לו השוטר 100 ₪. </w:t>
      </w:r>
    </w:p>
    <w:p w14:paraId="2928DA80" w14:textId="77777777" w:rsidR="001271AC" w:rsidRDefault="001271AC">
      <w:pPr>
        <w:spacing w:after="120" w:line="360" w:lineRule="auto"/>
        <w:ind w:firstLine="720"/>
        <w:jc w:val="both"/>
        <w:rPr>
          <w:rFonts w:cs="FrankRuehl"/>
          <w:sz w:val="28"/>
          <w:szCs w:val="28"/>
          <w:rtl/>
        </w:rPr>
      </w:pPr>
    </w:p>
    <w:p w14:paraId="1F5325E3" w14:textId="77777777" w:rsidR="001271AC" w:rsidRDefault="00E96118">
      <w:pPr>
        <w:spacing w:after="120" w:line="360" w:lineRule="auto"/>
        <w:ind w:firstLine="720"/>
        <w:jc w:val="both"/>
        <w:rPr>
          <w:rFonts w:cs="FrankRuehl"/>
          <w:sz w:val="28"/>
          <w:szCs w:val="28"/>
          <w:rtl/>
        </w:rPr>
      </w:pPr>
      <w:r>
        <w:rPr>
          <w:rFonts w:cs="Miriam" w:hint="cs"/>
          <w:rtl/>
        </w:rPr>
        <w:t>על-פי האישום החמישי</w:t>
      </w:r>
      <w:r>
        <w:rPr>
          <w:rFonts w:cs="FrankRuehl" w:hint="cs"/>
          <w:sz w:val="28"/>
          <w:szCs w:val="28"/>
          <w:rtl/>
        </w:rPr>
        <w:t xml:space="preserve">, ביום 7.5.2013, בסמוך לשעה 17:39, בשכונת בית חנינה בירושלים, החזיק הנאשם שתי חתיכות של סם מסוג חשיש במשקל כולל של כ- </w:t>
      </w:r>
      <w:smartTag w:uri="urn:schemas-microsoft-com:office:smarttags" w:element="metricconverter">
        <w:smartTagPr>
          <w:attr w:name="ProductID" w:val="7 גרם"/>
        </w:smartTagPr>
        <w:r>
          <w:rPr>
            <w:rFonts w:cs="FrankRuehl" w:hint="cs"/>
            <w:sz w:val="28"/>
            <w:szCs w:val="28"/>
            <w:rtl/>
          </w:rPr>
          <w:t>7 גרם</w:t>
        </w:r>
      </w:smartTag>
      <w:r>
        <w:rPr>
          <w:rFonts w:cs="FrankRuehl" w:hint="cs"/>
          <w:sz w:val="28"/>
          <w:szCs w:val="28"/>
          <w:rtl/>
        </w:rPr>
        <w:t xml:space="preserve">. באותן הנסיבות, התקשר השוטר לנאשם ושאל אותו האם ניתן לקנות סם מסוג חשיש בסכום של 300 ₪. לאחר שהנאשם ענה בחיוב, הגיע השוטר למקום המפגש בשכונת בית חנינה יחד עם אנשי משטרה נוספים ברכבו. הנאשם שהה במקום ברכבו מסוג מזדה. השוטר יצא מרכבו והתקדם לכיוון הנאשם. הנאשם הוציא מתוך הרכב את הסם והתקדם לעבר השוטר כשהוא מחזיק את הסם בידו. מיד כאשר שאל הנאשם את השוטר אודות היושבים ברכבו, השוטר ביצע את מעצרו של הנאשם. תוך כדי ביצוע המעצר, השליך הנאשם מידו את הסם וכן מכשיר טלפון סלולרי. </w:t>
      </w:r>
    </w:p>
    <w:p w14:paraId="53E13095" w14:textId="77777777" w:rsidR="001271AC" w:rsidRDefault="001271AC">
      <w:pPr>
        <w:spacing w:after="120" w:line="360" w:lineRule="auto"/>
        <w:ind w:firstLine="720"/>
        <w:jc w:val="both"/>
        <w:rPr>
          <w:rFonts w:cs="FrankRuehl"/>
          <w:sz w:val="28"/>
          <w:szCs w:val="28"/>
          <w:rtl/>
        </w:rPr>
      </w:pPr>
    </w:p>
    <w:p w14:paraId="0111AA09" w14:textId="77777777" w:rsidR="001271AC" w:rsidRDefault="00E96118">
      <w:pPr>
        <w:spacing w:after="120" w:line="360" w:lineRule="auto"/>
        <w:ind w:firstLine="720"/>
        <w:jc w:val="both"/>
        <w:rPr>
          <w:rFonts w:cs="FrankRuehl"/>
          <w:sz w:val="28"/>
          <w:szCs w:val="28"/>
          <w:rtl/>
        </w:rPr>
      </w:pPr>
      <w:r>
        <w:rPr>
          <w:rFonts w:cs="Miriam" w:hint="cs"/>
          <w:rtl/>
        </w:rPr>
        <w:t>על-פי האישום השישי</w:t>
      </w:r>
      <w:r>
        <w:rPr>
          <w:rFonts w:cs="FrankRuehl" w:hint="cs"/>
          <w:sz w:val="28"/>
          <w:szCs w:val="28"/>
          <w:rtl/>
        </w:rPr>
        <w:t>, ביום 7.5.2013 בסמוך לשעה 17:00, בשכונת בית חנינה, מכר הנאשם לאחר סם מסוג חשיש תמורת 50 ₪.</w:t>
      </w:r>
    </w:p>
    <w:p w14:paraId="1DB4CFF2" w14:textId="77777777" w:rsidR="001271AC" w:rsidRDefault="001271AC">
      <w:pPr>
        <w:spacing w:after="120" w:line="360" w:lineRule="auto"/>
        <w:ind w:firstLine="720"/>
        <w:jc w:val="both"/>
        <w:rPr>
          <w:rFonts w:cs="FrankRuehl"/>
          <w:sz w:val="28"/>
          <w:szCs w:val="28"/>
          <w:rtl/>
        </w:rPr>
      </w:pPr>
    </w:p>
    <w:p w14:paraId="3C9A44FE" w14:textId="77777777" w:rsidR="001271AC" w:rsidRDefault="00E96118">
      <w:pPr>
        <w:spacing w:after="120" w:line="360" w:lineRule="auto"/>
        <w:ind w:firstLine="720"/>
        <w:jc w:val="both"/>
        <w:rPr>
          <w:rFonts w:cs="FrankRuehl"/>
          <w:sz w:val="28"/>
          <w:szCs w:val="28"/>
          <w:rtl/>
        </w:rPr>
      </w:pPr>
      <w:r>
        <w:rPr>
          <w:rFonts w:cs="FrankRuehl" w:hint="cs"/>
          <w:sz w:val="28"/>
          <w:szCs w:val="28"/>
          <w:rtl/>
        </w:rPr>
        <w:t xml:space="preserve">הנאשם הודה במכלול העובדות האמורות במסגרת התיק העיקרי, ובגין כך הורשע בשלוש עבירות של סחר בסם מסוכן לפי </w:t>
      </w:r>
      <w:hyperlink r:id="rId22" w:history="1">
        <w:r w:rsidR="006D4521" w:rsidRPr="006D4521">
          <w:rPr>
            <w:rStyle w:val="Hyperlink"/>
            <w:rFonts w:cs="FrankRuehl" w:hint="eastAsia"/>
            <w:sz w:val="28"/>
            <w:szCs w:val="28"/>
            <w:rtl/>
          </w:rPr>
          <w:t>סעיף</w:t>
        </w:r>
        <w:r w:rsidR="006D4521" w:rsidRPr="006D4521">
          <w:rPr>
            <w:rStyle w:val="Hyperlink"/>
            <w:rFonts w:cs="FrankRuehl"/>
            <w:sz w:val="28"/>
            <w:szCs w:val="28"/>
            <w:rtl/>
          </w:rPr>
          <w:t xml:space="preserve"> 13</w:t>
        </w:r>
      </w:hyperlink>
      <w:r>
        <w:rPr>
          <w:rFonts w:cs="FrankRuehl" w:hint="cs"/>
          <w:sz w:val="28"/>
          <w:szCs w:val="28"/>
          <w:rtl/>
        </w:rPr>
        <w:t xml:space="preserve"> </w:t>
      </w:r>
      <w:hyperlink r:id="rId23" w:history="1">
        <w:r w:rsidR="006D4521" w:rsidRPr="006D4521">
          <w:rPr>
            <w:rStyle w:val="Hyperlink"/>
            <w:rFonts w:cs="FrankRuehl" w:hint="eastAsia"/>
            <w:sz w:val="28"/>
            <w:szCs w:val="28"/>
            <w:rtl/>
          </w:rPr>
          <w:t>וסעיף</w:t>
        </w:r>
        <w:r w:rsidR="006D4521" w:rsidRPr="006D4521">
          <w:rPr>
            <w:rStyle w:val="Hyperlink"/>
            <w:rFonts w:cs="FrankRuehl"/>
            <w:sz w:val="28"/>
            <w:szCs w:val="28"/>
            <w:rtl/>
          </w:rPr>
          <w:t xml:space="preserve"> 19א</w:t>
        </w:r>
      </w:hyperlink>
      <w:r>
        <w:rPr>
          <w:rFonts w:cs="FrankRuehl" w:hint="cs"/>
          <w:sz w:val="28"/>
          <w:szCs w:val="28"/>
          <w:rtl/>
        </w:rPr>
        <w:t xml:space="preserve"> ל</w:t>
      </w:r>
      <w:hyperlink r:id="rId24" w:history="1">
        <w:r w:rsidRPr="00E96118">
          <w:rPr>
            <w:rFonts w:cs="FrankRuehl"/>
            <w:color w:val="0000FF"/>
            <w:sz w:val="28"/>
            <w:szCs w:val="28"/>
            <w:u w:val="single"/>
            <w:rtl/>
          </w:rPr>
          <w:t>פקודת הסמים המסוכנים</w:t>
        </w:r>
      </w:hyperlink>
      <w:r>
        <w:rPr>
          <w:rFonts w:cs="FrankRuehl" w:hint="cs"/>
          <w:sz w:val="28"/>
          <w:szCs w:val="28"/>
          <w:rtl/>
        </w:rPr>
        <w:t xml:space="preserve">, התשל"ג-1973 (להלן: </w:t>
      </w:r>
      <w:r>
        <w:rPr>
          <w:rFonts w:cs="Miriam" w:hint="cs"/>
          <w:rtl/>
        </w:rPr>
        <w:t>פקודת הסמים</w:t>
      </w:r>
      <w:r>
        <w:rPr>
          <w:rFonts w:cs="FrankRuehl" w:hint="cs"/>
          <w:sz w:val="28"/>
          <w:szCs w:val="28"/>
          <w:rtl/>
        </w:rPr>
        <w:t xml:space="preserve"> או </w:t>
      </w:r>
      <w:r>
        <w:rPr>
          <w:rFonts w:cs="Miriam" w:hint="cs"/>
          <w:rtl/>
        </w:rPr>
        <w:t>הפקודה</w:t>
      </w:r>
      <w:r>
        <w:rPr>
          <w:rFonts w:cs="FrankRuehl" w:hint="cs"/>
          <w:sz w:val="28"/>
          <w:szCs w:val="28"/>
          <w:rtl/>
        </w:rPr>
        <w:t xml:space="preserve">); וכן בעבירה אחת של ניסיון לסחר בסם מסוכן לפי </w:t>
      </w:r>
      <w:hyperlink r:id="rId25" w:history="1">
        <w:r w:rsidR="006D4521" w:rsidRPr="006D4521">
          <w:rPr>
            <w:rStyle w:val="Hyperlink"/>
            <w:rFonts w:cs="FrankRuehl"/>
            <w:sz w:val="28"/>
            <w:szCs w:val="28"/>
            <w:rtl/>
          </w:rPr>
          <w:t>סעיף 13</w:t>
        </w:r>
      </w:hyperlink>
      <w:r>
        <w:rPr>
          <w:rFonts w:cs="FrankRuehl" w:hint="cs"/>
          <w:sz w:val="28"/>
          <w:szCs w:val="28"/>
          <w:rtl/>
        </w:rPr>
        <w:t xml:space="preserve"> </w:t>
      </w:r>
      <w:hyperlink r:id="rId26" w:history="1">
        <w:r w:rsidR="006D4521" w:rsidRPr="006D4521">
          <w:rPr>
            <w:rStyle w:val="Hyperlink"/>
            <w:rFonts w:cs="FrankRuehl" w:hint="eastAsia"/>
            <w:sz w:val="28"/>
            <w:szCs w:val="28"/>
            <w:rtl/>
          </w:rPr>
          <w:t>וסעיף</w:t>
        </w:r>
        <w:r w:rsidR="006D4521" w:rsidRPr="006D4521">
          <w:rPr>
            <w:rStyle w:val="Hyperlink"/>
            <w:rFonts w:cs="FrankRuehl"/>
            <w:sz w:val="28"/>
            <w:szCs w:val="28"/>
            <w:rtl/>
          </w:rPr>
          <w:t xml:space="preserve"> 19א</w:t>
        </w:r>
      </w:hyperlink>
      <w:r>
        <w:rPr>
          <w:rFonts w:cs="FrankRuehl" w:hint="cs"/>
          <w:sz w:val="28"/>
          <w:szCs w:val="28"/>
          <w:rtl/>
        </w:rPr>
        <w:t xml:space="preserve"> לפקודה בצירוף </w:t>
      </w:r>
      <w:hyperlink r:id="rId27" w:history="1">
        <w:r w:rsidR="006D4521" w:rsidRPr="006D4521">
          <w:rPr>
            <w:rStyle w:val="Hyperlink"/>
            <w:rFonts w:cs="FrankRuehl" w:hint="eastAsia"/>
            <w:sz w:val="28"/>
            <w:szCs w:val="28"/>
            <w:rtl/>
          </w:rPr>
          <w:t>סעיף</w:t>
        </w:r>
        <w:r w:rsidR="006D4521" w:rsidRPr="006D4521">
          <w:rPr>
            <w:rStyle w:val="Hyperlink"/>
            <w:rFonts w:cs="FrankRuehl"/>
            <w:sz w:val="28"/>
            <w:szCs w:val="28"/>
            <w:rtl/>
          </w:rPr>
          <w:t xml:space="preserve"> 25</w:t>
        </w:r>
      </w:hyperlink>
      <w:r>
        <w:rPr>
          <w:rFonts w:cs="FrankRuehl" w:hint="cs"/>
          <w:sz w:val="28"/>
          <w:szCs w:val="28"/>
          <w:rtl/>
        </w:rPr>
        <w:t xml:space="preserve"> ל</w:t>
      </w:r>
      <w:hyperlink r:id="rId28" w:history="1">
        <w:r w:rsidRPr="00E96118">
          <w:rPr>
            <w:rFonts w:cs="FrankRuehl"/>
            <w:color w:val="0000FF"/>
            <w:sz w:val="28"/>
            <w:szCs w:val="28"/>
            <w:u w:val="single"/>
            <w:rtl/>
          </w:rPr>
          <w:t>חוק העונשין</w:t>
        </w:r>
      </w:hyperlink>
      <w:r>
        <w:rPr>
          <w:rFonts w:cs="FrankRuehl" w:hint="cs"/>
          <w:sz w:val="28"/>
          <w:szCs w:val="28"/>
          <w:rtl/>
        </w:rPr>
        <w:t xml:space="preserve">, התשל"ז-1977 (להלן: </w:t>
      </w:r>
      <w:r>
        <w:rPr>
          <w:rFonts w:cs="Miriam" w:hint="cs"/>
          <w:rtl/>
        </w:rPr>
        <w:t>חוק העונשין</w:t>
      </w:r>
      <w:r>
        <w:rPr>
          <w:rFonts w:cs="FrankRuehl" w:hint="cs"/>
          <w:sz w:val="28"/>
          <w:szCs w:val="28"/>
          <w:rtl/>
        </w:rPr>
        <w:t xml:space="preserve">). יוער כי הסדר-הטיעון בין הצדדים במסגרת התיק העיקרי, כלל תיקון של כתב-האישום בלא שהצדדים באו להסכמה לעניין העונש, כך שכל צד נותר חופשי בטיעוניו.  </w:t>
      </w:r>
    </w:p>
    <w:p w14:paraId="05558D98" w14:textId="77777777" w:rsidR="001271AC" w:rsidRDefault="001271AC">
      <w:pPr>
        <w:spacing w:after="120" w:line="360" w:lineRule="auto"/>
        <w:ind w:firstLine="720"/>
        <w:jc w:val="both"/>
        <w:rPr>
          <w:rFonts w:cs="FrankRuehl"/>
          <w:sz w:val="28"/>
          <w:szCs w:val="28"/>
          <w:rtl/>
        </w:rPr>
      </w:pPr>
    </w:p>
    <w:p w14:paraId="3E25BCC3" w14:textId="77777777" w:rsidR="001271AC" w:rsidRDefault="00E96118">
      <w:pPr>
        <w:spacing w:after="120" w:line="360" w:lineRule="auto"/>
        <w:jc w:val="both"/>
        <w:rPr>
          <w:rFonts w:cs="FrankRuehl"/>
          <w:sz w:val="28"/>
          <w:szCs w:val="28"/>
          <w:rtl/>
        </w:rPr>
      </w:pPr>
      <w:r>
        <w:rPr>
          <w:rFonts w:cs="FrankRuehl" w:hint="cs"/>
          <w:sz w:val="28"/>
          <w:szCs w:val="28"/>
          <w:rtl/>
        </w:rPr>
        <w:t>2.</w:t>
      </w:r>
      <w:r>
        <w:rPr>
          <w:rFonts w:cs="FrankRuehl" w:hint="cs"/>
          <w:sz w:val="28"/>
          <w:szCs w:val="28"/>
          <w:rtl/>
        </w:rPr>
        <w:tab/>
        <w:t xml:space="preserve">בדיון שהתקיים לפניי ביום 25.5.2014 צירף הנאשם את </w:t>
      </w:r>
      <w:hyperlink r:id="rId29" w:history="1">
        <w:r w:rsidRPr="00E96118">
          <w:rPr>
            <w:rFonts w:cs="FrankRuehl"/>
            <w:color w:val="0000FF"/>
            <w:sz w:val="28"/>
            <w:szCs w:val="28"/>
            <w:u w:val="single"/>
            <w:rtl/>
          </w:rPr>
          <w:t>ת"פ 44395-01-14</w:t>
        </w:r>
      </w:hyperlink>
      <w:r>
        <w:rPr>
          <w:rFonts w:cs="FrankRuehl" w:hint="cs"/>
          <w:sz w:val="28"/>
          <w:szCs w:val="28"/>
          <w:rtl/>
        </w:rPr>
        <w:t xml:space="preserve"> (להלן: </w:t>
      </w:r>
      <w:r>
        <w:rPr>
          <w:rFonts w:cs="Miriam" w:hint="cs"/>
          <w:u w:val="single"/>
          <w:rtl/>
        </w:rPr>
        <w:t>התיק המצורף</w:t>
      </w:r>
      <w:r>
        <w:rPr>
          <w:rFonts w:cs="FrankRuehl" w:hint="cs"/>
          <w:sz w:val="28"/>
          <w:szCs w:val="28"/>
          <w:rtl/>
        </w:rPr>
        <w:t>). בהתאם לעובדות כתב-האישום המתוקן בתיק המצורף, ביום 30.5.2013 הורה בית-משפט השלום (כב' השופט כדורי) על שחרורו של הנאשם למעצר בית מלא בבית אמו בשועפט. זאת, במסגרת הליך מעצר (</w:t>
      </w:r>
      <w:hyperlink r:id="rId30" w:history="1">
        <w:r w:rsidRPr="00E96118">
          <w:rPr>
            <w:rFonts w:cs="FrankRuehl"/>
            <w:color w:val="0000FF"/>
            <w:sz w:val="28"/>
            <w:szCs w:val="28"/>
            <w:u w:val="single"/>
            <w:rtl/>
          </w:rPr>
          <w:t>מ"ת 23848-05-13</w:t>
        </w:r>
      </w:hyperlink>
      <w:r>
        <w:rPr>
          <w:rFonts w:cs="FrankRuehl" w:hint="cs"/>
          <w:sz w:val="28"/>
          <w:szCs w:val="28"/>
          <w:rtl/>
        </w:rPr>
        <w:t xml:space="preserve">) הקשור לתיק העיקרי. למרות זאת, ביום 12.1.2014 יצא הנאשם מביתו לחנוּת בשועפט, שם פגש אדם אחר. האחר והנאשם סיכמו כי </w:t>
      </w:r>
      <w:r>
        <w:rPr>
          <w:rFonts w:cs="FrankRuehl" w:hint="cs"/>
          <w:sz w:val="28"/>
          <w:szCs w:val="28"/>
          <w:rtl/>
        </w:rPr>
        <w:lastRenderedPageBreak/>
        <w:t xml:space="preserve">בתמורה לתשלום, יפתח הנאשם את שער ראס-חמיס מכיוון מחנה הפליטים שועפט לכיוון הכפר שועפט (להלן: </w:t>
      </w:r>
      <w:r>
        <w:rPr>
          <w:rFonts w:cs="Miriam" w:hint="cs"/>
          <w:rtl/>
        </w:rPr>
        <w:t>השער</w:t>
      </w:r>
      <w:r>
        <w:rPr>
          <w:rFonts w:cs="FrankRuehl" w:hint="cs"/>
          <w:sz w:val="28"/>
          <w:szCs w:val="28"/>
          <w:rtl/>
        </w:rPr>
        <w:t xml:space="preserve">), על-מנת לאפשר לשוהים בלתי חוקיים להיכנס דרכו לישראל. ביום למחרת, 13.1.2014, בסמוך לשעה 04:00 לפנות בוקר, יצא הנאשם מביתו ונסע לשער האמור. כאשר הגיע למקום פירק את המנעולים והשליך אותם לצד השער. דרך השער נכנסו 21 שב"חים בריצה לתחומי ישראל. מיד בסמוך לכך הגיעה למקום משטרה. כאשר ראה הנאשם את אחד השוטרים, ניסה להימלט ובהמשך הסתתר לצד עץ. כאשר נתפס, הציג הנאשם לשוטר רישיון נהיגה השייך לאחיו והזדהה בשמו של אחיו. </w:t>
      </w:r>
    </w:p>
    <w:p w14:paraId="48C755B0" w14:textId="77777777" w:rsidR="001271AC" w:rsidRDefault="001271AC">
      <w:pPr>
        <w:spacing w:after="120" w:line="360" w:lineRule="auto"/>
        <w:ind w:firstLine="720"/>
        <w:jc w:val="both"/>
        <w:rPr>
          <w:rFonts w:cs="FrankRuehl"/>
          <w:sz w:val="28"/>
          <w:szCs w:val="28"/>
          <w:rtl/>
        </w:rPr>
      </w:pPr>
    </w:p>
    <w:p w14:paraId="222F1A67" w14:textId="77777777" w:rsidR="001271AC" w:rsidRDefault="00E96118">
      <w:pPr>
        <w:spacing w:after="120" w:line="360" w:lineRule="auto"/>
        <w:ind w:firstLine="720"/>
        <w:jc w:val="both"/>
        <w:rPr>
          <w:rFonts w:ascii="David" w:hAnsi="David" w:cs="FrankRuehl"/>
          <w:sz w:val="28"/>
          <w:szCs w:val="28"/>
          <w:rtl/>
        </w:rPr>
      </w:pPr>
      <w:r>
        <w:rPr>
          <w:rFonts w:cs="FrankRuehl" w:hint="cs"/>
          <w:sz w:val="28"/>
          <w:szCs w:val="28"/>
          <w:rtl/>
        </w:rPr>
        <w:t xml:space="preserve">הנאשם הודה במכלול העובדות האמורות במסגרת התיק המצורף, ובגין כך הורשע בשתי עבירות של הפרת הוראה חוקית לפי </w:t>
      </w:r>
      <w:hyperlink r:id="rId31" w:history="1">
        <w:r w:rsidR="006D4521" w:rsidRPr="006D4521">
          <w:rPr>
            <w:rStyle w:val="Hyperlink"/>
            <w:rFonts w:cs="FrankRuehl" w:hint="eastAsia"/>
            <w:sz w:val="28"/>
            <w:szCs w:val="28"/>
            <w:rtl/>
          </w:rPr>
          <w:t>סעיף</w:t>
        </w:r>
        <w:r w:rsidR="006D4521" w:rsidRPr="006D4521">
          <w:rPr>
            <w:rStyle w:val="Hyperlink"/>
            <w:rFonts w:cs="FrankRuehl"/>
            <w:sz w:val="28"/>
            <w:szCs w:val="28"/>
            <w:rtl/>
          </w:rPr>
          <w:t xml:space="preserve"> 287(א)</w:t>
        </w:r>
      </w:hyperlink>
      <w:r>
        <w:rPr>
          <w:rFonts w:cs="FrankRuehl" w:hint="cs"/>
          <w:sz w:val="28"/>
          <w:szCs w:val="28"/>
          <w:rtl/>
        </w:rPr>
        <w:t xml:space="preserve"> ל</w:t>
      </w:r>
      <w:hyperlink r:id="rId32" w:history="1">
        <w:r w:rsidRPr="00E96118">
          <w:rPr>
            <w:rFonts w:cs="FrankRuehl"/>
            <w:color w:val="0000FF"/>
            <w:sz w:val="28"/>
            <w:szCs w:val="28"/>
            <w:u w:val="single"/>
            <w:rtl/>
          </w:rPr>
          <w:t>חוק העונשין</w:t>
        </w:r>
      </w:hyperlink>
      <w:r>
        <w:rPr>
          <w:rFonts w:cs="FrankRuehl" w:hint="cs"/>
          <w:sz w:val="28"/>
          <w:szCs w:val="28"/>
          <w:rtl/>
        </w:rPr>
        <w:t xml:space="preserve">; בעבירה של סיוע לכניסה לישראל שלא כחוק לפי </w:t>
      </w:r>
      <w:hyperlink r:id="rId33" w:history="1">
        <w:r w:rsidR="006D4521" w:rsidRPr="006D4521">
          <w:rPr>
            <w:rStyle w:val="Hyperlink"/>
            <w:rFonts w:cs="FrankRuehl" w:hint="eastAsia"/>
            <w:sz w:val="28"/>
            <w:szCs w:val="28"/>
            <w:rtl/>
          </w:rPr>
          <w:t>סעיף</w:t>
        </w:r>
        <w:r w:rsidR="006D4521" w:rsidRPr="006D4521">
          <w:rPr>
            <w:rStyle w:val="Hyperlink"/>
            <w:rFonts w:cs="FrankRuehl"/>
            <w:sz w:val="28"/>
            <w:szCs w:val="28"/>
            <w:rtl/>
          </w:rPr>
          <w:t xml:space="preserve"> 12(1)</w:t>
        </w:r>
      </w:hyperlink>
      <w:r>
        <w:rPr>
          <w:rFonts w:cs="FrankRuehl" w:hint="cs"/>
          <w:sz w:val="28"/>
          <w:szCs w:val="28"/>
          <w:rtl/>
        </w:rPr>
        <w:t xml:space="preserve"> ל</w:t>
      </w:r>
      <w:hyperlink r:id="rId34" w:history="1">
        <w:r w:rsidRPr="00E96118">
          <w:rPr>
            <w:rFonts w:cs="FrankRuehl"/>
            <w:color w:val="0000FF"/>
            <w:sz w:val="28"/>
            <w:szCs w:val="28"/>
            <w:u w:val="single"/>
            <w:rtl/>
          </w:rPr>
          <w:t>חוק הכניסה לישראל</w:t>
        </w:r>
      </w:hyperlink>
      <w:r>
        <w:rPr>
          <w:rFonts w:cs="FrankRuehl" w:hint="cs"/>
          <w:sz w:val="28"/>
          <w:szCs w:val="28"/>
          <w:rtl/>
        </w:rPr>
        <w:t xml:space="preserve">, תשי"ב-1952 (להלן: </w:t>
      </w:r>
      <w:r>
        <w:rPr>
          <w:rFonts w:cs="Miriam" w:hint="cs"/>
          <w:rtl/>
        </w:rPr>
        <w:t>חוק הכניסה לישראל</w:t>
      </w:r>
      <w:r>
        <w:rPr>
          <w:rFonts w:cs="FrankRuehl" w:hint="cs"/>
          <w:sz w:val="28"/>
          <w:szCs w:val="28"/>
          <w:rtl/>
        </w:rPr>
        <w:t xml:space="preserve">) בצירוף </w:t>
      </w:r>
      <w:hyperlink r:id="rId35" w:history="1">
        <w:r w:rsidR="006D4521" w:rsidRPr="006D4521">
          <w:rPr>
            <w:rStyle w:val="Hyperlink"/>
            <w:rFonts w:cs="FrankRuehl" w:hint="eastAsia"/>
            <w:sz w:val="28"/>
            <w:szCs w:val="28"/>
            <w:rtl/>
          </w:rPr>
          <w:t>סעיף</w:t>
        </w:r>
        <w:r w:rsidR="006D4521" w:rsidRPr="006D4521">
          <w:rPr>
            <w:rStyle w:val="Hyperlink"/>
            <w:rFonts w:cs="FrankRuehl"/>
            <w:sz w:val="28"/>
            <w:szCs w:val="28"/>
            <w:rtl/>
          </w:rPr>
          <w:t xml:space="preserve"> 31</w:t>
        </w:r>
      </w:hyperlink>
      <w:r>
        <w:rPr>
          <w:rFonts w:cs="FrankRuehl" w:hint="cs"/>
          <w:sz w:val="28"/>
          <w:szCs w:val="28"/>
          <w:rtl/>
        </w:rPr>
        <w:t xml:space="preserve"> לחוק העונשין; בעבירה של הפרעה לשוטר במילוי תפקידו לפי </w:t>
      </w:r>
      <w:hyperlink r:id="rId36" w:history="1">
        <w:r w:rsidR="006D4521" w:rsidRPr="006D4521">
          <w:rPr>
            <w:rStyle w:val="Hyperlink"/>
            <w:rFonts w:cs="FrankRuehl" w:hint="eastAsia"/>
            <w:sz w:val="28"/>
            <w:szCs w:val="28"/>
            <w:rtl/>
          </w:rPr>
          <w:t>סעיף</w:t>
        </w:r>
        <w:r w:rsidR="006D4521" w:rsidRPr="006D4521">
          <w:rPr>
            <w:rStyle w:val="Hyperlink"/>
            <w:rFonts w:cs="FrankRuehl"/>
            <w:sz w:val="28"/>
            <w:szCs w:val="28"/>
            <w:rtl/>
          </w:rPr>
          <w:t xml:space="preserve"> 275</w:t>
        </w:r>
      </w:hyperlink>
      <w:r>
        <w:rPr>
          <w:rFonts w:cs="FrankRuehl" w:hint="cs"/>
          <w:sz w:val="28"/>
          <w:szCs w:val="28"/>
          <w:rtl/>
        </w:rPr>
        <w:t xml:space="preserve"> לחוק העונשין; וכן בעבירה של התחזות כאדם אחר במטרה להונות לפי </w:t>
      </w:r>
      <w:hyperlink r:id="rId37" w:history="1">
        <w:r w:rsidR="006D4521" w:rsidRPr="006D4521">
          <w:rPr>
            <w:rStyle w:val="Hyperlink"/>
            <w:rFonts w:cs="FrankRuehl" w:hint="eastAsia"/>
            <w:sz w:val="28"/>
            <w:szCs w:val="28"/>
            <w:rtl/>
          </w:rPr>
          <w:t>סעיף</w:t>
        </w:r>
        <w:r w:rsidR="006D4521" w:rsidRPr="006D4521">
          <w:rPr>
            <w:rStyle w:val="Hyperlink"/>
            <w:rFonts w:cs="FrankRuehl"/>
            <w:sz w:val="28"/>
            <w:szCs w:val="28"/>
            <w:rtl/>
          </w:rPr>
          <w:t xml:space="preserve"> 441</w:t>
        </w:r>
      </w:hyperlink>
      <w:r>
        <w:rPr>
          <w:rFonts w:cs="FrankRuehl" w:hint="cs"/>
          <w:sz w:val="28"/>
          <w:szCs w:val="28"/>
          <w:rtl/>
        </w:rPr>
        <w:t xml:space="preserve"> לחוק העונשין. </w:t>
      </w:r>
    </w:p>
    <w:p w14:paraId="0414B69E" w14:textId="77777777" w:rsidR="001271AC" w:rsidRDefault="001271AC">
      <w:pPr>
        <w:spacing w:after="120" w:line="360" w:lineRule="auto"/>
        <w:jc w:val="both"/>
        <w:rPr>
          <w:rFonts w:cs="FrankRuehl"/>
          <w:sz w:val="28"/>
          <w:szCs w:val="28"/>
          <w:rtl/>
        </w:rPr>
      </w:pPr>
    </w:p>
    <w:p w14:paraId="29AE6CAB" w14:textId="77777777" w:rsidR="001271AC" w:rsidRDefault="00E96118">
      <w:pPr>
        <w:spacing w:after="120" w:line="360" w:lineRule="auto"/>
        <w:jc w:val="both"/>
        <w:rPr>
          <w:rFonts w:cs="FrankRuehl"/>
          <w:sz w:val="28"/>
          <w:szCs w:val="28"/>
          <w:rtl/>
        </w:rPr>
      </w:pPr>
      <w:r>
        <w:rPr>
          <w:rFonts w:cs="FrankRuehl" w:hint="cs"/>
          <w:sz w:val="28"/>
          <w:szCs w:val="28"/>
          <w:rtl/>
        </w:rPr>
        <w:t>3.</w:t>
      </w:r>
      <w:r>
        <w:rPr>
          <w:rFonts w:cs="FrankRuehl" w:hint="cs"/>
          <w:sz w:val="28"/>
          <w:szCs w:val="28"/>
          <w:rtl/>
        </w:rPr>
        <w:tab/>
        <w:t xml:space="preserve">נוכח גילו הצעיר של הנאשם, ועוד בטרם צירוף התיק הנוסף כמפורט לעיל, הופנה הנאשם להכנת תסקיר שירות מבחן בעניינו. </w:t>
      </w:r>
    </w:p>
    <w:p w14:paraId="238BA87A" w14:textId="77777777" w:rsidR="001271AC" w:rsidRDefault="001271AC">
      <w:pPr>
        <w:spacing w:after="120" w:line="360" w:lineRule="auto"/>
        <w:jc w:val="both"/>
        <w:rPr>
          <w:rFonts w:cs="FrankRuehl"/>
          <w:sz w:val="28"/>
          <w:szCs w:val="28"/>
          <w:rtl/>
        </w:rPr>
      </w:pPr>
    </w:p>
    <w:p w14:paraId="3FCB0751" w14:textId="77777777" w:rsidR="001271AC" w:rsidRDefault="00E96118">
      <w:pPr>
        <w:spacing w:after="120" w:line="360" w:lineRule="auto"/>
        <w:jc w:val="both"/>
        <w:rPr>
          <w:rFonts w:cs="FrankRuehl"/>
          <w:b/>
          <w:bCs/>
          <w:sz w:val="28"/>
          <w:szCs w:val="28"/>
          <w:u w:val="single"/>
          <w:rtl/>
        </w:rPr>
      </w:pPr>
      <w:r>
        <w:rPr>
          <w:rFonts w:cs="FrankRuehl" w:hint="cs"/>
          <w:b/>
          <w:bCs/>
          <w:sz w:val="28"/>
          <w:szCs w:val="28"/>
          <w:u w:val="single"/>
          <w:rtl/>
        </w:rPr>
        <w:t>תסקיר שירות המבחן</w:t>
      </w:r>
    </w:p>
    <w:p w14:paraId="6AE494B3" w14:textId="77777777" w:rsidR="001271AC" w:rsidRDefault="00E96118">
      <w:pPr>
        <w:spacing w:after="120" w:line="360" w:lineRule="auto"/>
        <w:jc w:val="both"/>
        <w:rPr>
          <w:rFonts w:cs="FrankRuehl"/>
          <w:sz w:val="28"/>
          <w:szCs w:val="28"/>
          <w:rtl/>
        </w:rPr>
      </w:pPr>
      <w:r>
        <w:rPr>
          <w:rFonts w:cs="FrankRuehl" w:hint="cs"/>
          <w:sz w:val="28"/>
          <w:szCs w:val="28"/>
          <w:rtl/>
        </w:rPr>
        <w:t>4.</w:t>
      </w:r>
      <w:r>
        <w:rPr>
          <w:rFonts w:cs="FrankRuehl" w:hint="cs"/>
          <w:sz w:val="28"/>
          <w:szCs w:val="28"/>
          <w:rtl/>
        </w:rPr>
        <w:tab/>
        <w:t xml:space="preserve">מתסקיר שירות המבחן עולה כי הנאשם הינו כבן 20, נשוי ואב לילדה בת שנתיים. אביו נפטר במהלך ניתוח לב לפני כאחת-עשרה שנה. אימו של הנאשם, אשר הייתה עקרת בית עד לפטירתו של האב, עובדת מזה כעשר שנים כנהגת אוטובוס. מהתסקיר עולה כי לאחר מות האב, ידעה המשפחה מחסור כלכלי משמעותי. על רקע זה, עזב הנאשם את המסגרת הלימודית לאחר 10 שנות לימוד. הוא עבד למשך תקופות קצרות בעבודות מזדמנות, וזאת עד למעצרו בתיק העיקרי. הנאשם שוחרר למעצר בית בפיקוח אימו ואחותו. בינואר 2014 נעצר שוב עקב ביצוע העבירות נשוא התיק המצורף. </w:t>
      </w:r>
    </w:p>
    <w:p w14:paraId="5E2994E8" w14:textId="77777777" w:rsidR="001271AC" w:rsidRDefault="001271AC">
      <w:pPr>
        <w:spacing w:after="120" w:line="360" w:lineRule="auto"/>
        <w:jc w:val="both"/>
        <w:rPr>
          <w:rFonts w:cs="FrankRuehl"/>
          <w:sz w:val="28"/>
          <w:szCs w:val="28"/>
          <w:rtl/>
        </w:rPr>
      </w:pPr>
    </w:p>
    <w:p w14:paraId="7C42681C" w14:textId="77777777" w:rsidR="001271AC" w:rsidRDefault="00E96118">
      <w:pPr>
        <w:spacing w:after="120" w:line="360" w:lineRule="auto"/>
        <w:ind w:firstLine="720"/>
        <w:jc w:val="both"/>
        <w:rPr>
          <w:rFonts w:cs="FrankRuehl"/>
          <w:sz w:val="28"/>
          <w:szCs w:val="28"/>
          <w:rtl/>
        </w:rPr>
      </w:pPr>
      <w:r>
        <w:rPr>
          <w:rFonts w:cs="FrankRuehl" w:hint="cs"/>
          <w:sz w:val="28"/>
          <w:szCs w:val="28"/>
          <w:rtl/>
        </w:rPr>
        <w:t xml:space="preserve">שירות המבחן התרשם כי הרקע לביצוע העבירות נשוא התיק העיקרי הינו קושי בוויסות דחפים, בלבול ונטייה להתנהגות אימפולסיבית, שבבסיסם העדר דמות הורית מכוונת נוכח המצב המשפחתי כמפורט לעיל. ההתרשמות היא כי לצד הבעת רצון לניהול אורח חיים נורמטיבי, חוסר הבשלות האישיותית מקשה על הנאשם להבין את חומרת העבירות. עם זאת, שירות המבחן ציין בתסקיר כי הנאשם הפיק לקחים ממעשיו מתוך ראיית המחירים שנאלץ לשלם כתוצאה מהם, ובכלל זה תחושות של אכזבה עצמית ובושה שחווה ביחס לבני משפחתו. </w:t>
      </w:r>
    </w:p>
    <w:p w14:paraId="1AA10697" w14:textId="77777777" w:rsidR="001271AC" w:rsidRDefault="001271AC">
      <w:pPr>
        <w:spacing w:after="120" w:line="360" w:lineRule="auto"/>
        <w:jc w:val="both"/>
        <w:rPr>
          <w:rFonts w:cs="FrankRuehl"/>
          <w:sz w:val="28"/>
          <w:szCs w:val="28"/>
          <w:rtl/>
        </w:rPr>
      </w:pPr>
    </w:p>
    <w:p w14:paraId="2E86919E" w14:textId="77777777" w:rsidR="001271AC" w:rsidRDefault="00E96118">
      <w:pPr>
        <w:spacing w:after="120" w:line="360" w:lineRule="auto"/>
        <w:ind w:firstLine="720"/>
        <w:jc w:val="both"/>
        <w:rPr>
          <w:rFonts w:cs="FrankRuehl"/>
          <w:sz w:val="28"/>
          <w:szCs w:val="28"/>
          <w:rtl/>
        </w:rPr>
      </w:pPr>
      <w:r>
        <w:rPr>
          <w:rFonts w:cs="FrankRuehl" w:hint="cs"/>
          <w:sz w:val="28"/>
          <w:szCs w:val="28"/>
          <w:rtl/>
        </w:rPr>
        <w:t xml:space="preserve">אשר להמלצה - נוכח חומרת העבירות ומעצרו של הנאשם בגין ביצוע עבירות נוספות תוך הפרת תנאי מעצר בית, המליץ שירות המבחן על עונש מאסר בפועל. יחד עם זאת, נוכח גילו הצעיר של הנאשם ועקב ההתרשמות בדבר חוסר בשלות אישיותית אשר מעלה את הסיכון לאימוץ דפוסי התנהגות עבריינים במהלך ריצוי העונש בין כותלי הכלא, הומלץ כי תקופת המאסר לא תהיה ממושכת. </w:t>
      </w:r>
    </w:p>
    <w:p w14:paraId="7B8D2E2A" w14:textId="77777777" w:rsidR="001271AC" w:rsidRDefault="001271AC">
      <w:pPr>
        <w:spacing w:after="120" w:line="360" w:lineRule="auto"/>
        <w:jc w:val="both"/>
        <w:rPr>
          <w:rFonts w:cs="FrankRuehl"/>
          <w:sz w:val="28"/>
          <w:szCs w:val="28"/>
          <w:u w:val="single"/>
          <w:rtl/>
        </w:rPr>
      </w:pPr>
    </w:p>
    <w:p w14:paraId="7231044E" w14:textId="77777777" w:rsidR="001271AC" w:rsidRDefault="00E96118">
      <w:pPr>
        <w:spacing w:after="120" w:line="360" w:lineRule="auto"/>
        <w:jc w:val="both"/>
        <w:rPr>
          <w:rFonts w:cs="FrankRuehl"/>
          <w:b/>
          <w:bCs/>
          <w:sz w:val="28"/>
          <w:szCs w:val="28"/>
          <w:u w:val="single"/>
          <w:rtl/>
        </w:rPr>
      </w:pPr>
      <w:r>
        <w:rPr>
          <w:rFonts w:cs="FrankRuehl" w:hint="cs"/>
          <w:b/>
          <w:bCs/>
          <w:sz w:val="28"/>
          <w:szCs w:val="28"/>
          <w:u w:val="single"/>
          <w:rtl/>
        </w:rPr>
        <w:t xml:space="preserve">טיעוני הצדדים לעונש </w:t>
      </w:r>
    </w:p>
    <w:p w14:paraId="5D7F18B3" w14:textId="77777777" w:rsidR="001271AC" w:rsidRDefault="00E96118">
      <w:pPr>
        <w:spacing w:after="120" w:line="360" w:lineRule="auto"/>
        <w:jc w:val="both"/>
        <w:rPr>
          <w:rFonts w:cs="FrankRuehl"/>
          <w:sz w:val="28"/>
          <w:szCs w:val="28"/>
          <w:rtl/>
        </w:rPr>
      </w:pPr>
      <w:r>
        <w:rPr>
          <w:rFonts w:cs="FrankRuehl" w:hint="cs"/>
          <w:sz w:val="28"/>
          <w:szCs w:val="28"/>
          <w:rtl/>
        </w:rPr>
        <w:t>5.</w:t>
      </w:r>
      <w:r>
        <w:rPr>
          <w:rFonts w:cs="FrankRuehl" w:hint="cs"/>
          <w:sz w:val="28"/>
          <w:szCs w:val="28"/>
          <w:rtl/>
        </w:rPr>
        <w:tab/>
        <w:t>באת-כוח המאשימה, עו"ד זלצמן, עמדה בטיעוניה על חומרת המעשים בהם הורשע הנאשם ועל הצורך בענישה מחמירה בגינם. בכל הנוגע לתיק העיקרי, עמדת המאשימה היא כי מתחם העונש ההולם לגבי כל עבירה של סחר בסם מסוכן או ניסיון לכך בנסיבות הנדונות, נע מ- 6 עד 12 חודשי מאסר בפועל. בכל הנוגע לתיק המצורף, עמדת המאשימה היא כי מתחם העונש ההולם בגין העבירה של סיוע לכניסה לישראל שלא כחוק נע מ- 3 ל- 18 חודשי מאסר בפועל, אולם ביקשה להציב את הנאשם ברף גבוה במתחם זה נוכח מכלול העבירות בהן הורשע בתיק האמור, וכן נוכח העובדה שמדובר בעבירות שבוצעו תוך הפרת תנאי מעצר בית מלא. בסופו של יום, עתרה המאשימה להשית על הנאשם עונש כולל של 30 חודשי מאסר בפועל בגין שני התיקים. עוד עתרה המאשימה לחילוט מכשיר הטלפון הנייד של הנאשם ששימש אותו לביצוע העבירות נשוא התיק העיקרי, מאסר מותנה ופסילה של רישיון נהיגה.</w:t>
      </w:r>
    </w:p>
    <w:p w14:paraId="6FE3684F" w14:textId="77777777" w:rsidR="001271AC" w:rsidRDefault="001271AC">
      <w:pPr>
        <w:spacing w:after="120" w:line="360" w:lineRule="auto"/>
        <w:jc w:val="both"/>
        <w:rPr>
          <w:rFonts w:cs="FrankRuehl"/>
          <w:sz w:val="28"/>
          <w:szCs w:val="28"/>
          <w:u w:val="single"/>
          <w:rtl/>
        </w:rPr>
      </w:pPr>
    </w:p>
    <w:p w14:paraId="0225A460" w14:textId="77777777" w:rsidR="001271AC" w:rsidRDefault="00E96118">
      <w:pPr>
        <w:spacing w:after="120" w:line="360" w:lineRule="auto"/>
        <w:jc w:val="both"/>
        <w:rPr>
          <w:rFonts w:cs="FrankRuehl"/>
          <w:sz w:val="28"/>
          <w:szCs w:val="28"/>
          <w:rtl/>
        </w:rPr>
      </w:pPr>
      <w:r>
        <w:rPr>
          <w:rFonts w:cs="FrankRuehl" w:hint="cs"/>
          <w:sz w:val="28"/>
          <w:szCs w:val="28"/>
          <w:rtl/>
        </w:rPr>
        <w:t>6.</w:t>
      </w:r>
      <w:r>
        <w:rPr>
          <w:rFonts w:cs="FrankRuehl" w:hint="cs"/>
          <w:sz w:val="28"/>
          <w:szCs w:val="28"/>
          <w:rtl/>
        </w:rPr>
        <w:tab/>
        <w:t>מנגד, באי-כוח הנאשם, עו"ד דרוושה ועו"ד עותמאן, טענו כי בכל הנוגע לעבירות נשוא התיק העיקרי, מתחם העונש ההולם נע מחודש ל- 7 חודשי מאסר בפועל. אשר לעבירות נשוא התיק המצורף, טענה ההגנה כי העבירות נבעו מלחץ כלכלי וחברתי. לטענת ההגנה, מתחם הענישה ההולמת בגין התיק המצורף, נע מחודש עד חודשיים מאסר בפועל הניתנים במקרים מתאימים לריצוי בעבודות שירות. באי-כוח הנאשם עמדו על מכלול הנסיבות לקולא בעניין מרשם ובהן: ההודאה ונטילת האחריות, היותו נשוי ואב לילדה קטנה, מצבו המשפחתי והכלכלי המורכב, גילו הצעיר והעדר עבר פלילי קודם. בהתחשב בכל אלה, עתרה ההגנה להסתפק בימי מעצרו בגין שני התיקים יחדיו (קרוב לשבעה חודשים עד כה). יוער כי הנאשם הביע חרטה על מעשיו בדבריו לפניי.</w:t>
      </w:r>
    </w:p>
    <w:p w14:paraId="791FAC25" w14:textId="77777777" w:rsidR="001271AC" w:rsidRDefault="001271AC">
      <w:pPr>
        <w:spacing w:after="120" w:line="360" w:lineRule="auto"/>
        <w:jc w:val="both"/>
        <w:rPr>
          <w:rFonts w:cs="FrankRuehl"/>
          <w:sz w:val="28"/>
          <w:szCs w:val="28"/>
          <w:u w:val="single"/>
          <w:rtl/>
        </w:rPr>
      </w:pPr>
    </w:p>
    <w:p w14:paraId="4F1C0D44" w14:textId="77777777" w:rsidR="001271AC" w:rsidRDefault="00E96118">
      <w:pPr>
        <w:spacing w:after="120" w:line="360" w:lineRule="auto"/>
        <w:jc w:val="both"/>
        <w:rPr>
          <w:rFonts w:cs="FrankRuehl"/>
          <w:b/>
          <w:bCs/>
          <w:sz w:val="28"/>
          <w:szCs w:val="28"/>
          <w:u w:val="single"/>
          <w:rtl/>
        </w:rPr>
      </w:pPr>
      <w:r>
        <w:rPr>
          <w:rFonts w:cs="FrankRuehl" w:hint="cs"/>
          <w:b/>
          <w:bCs/>
          <w:sz w:val="28"/>
          <w:szCs w:val="28"/>
          <w:u w:val="single"/>
          <w:rtl/>
        </w:rPr>
        <w:t>ריבוי עבירות</w:t>
      </w:r>
    </w:p>
    <w:p w14:paraId="0235C3FF" w14:textId="77777777" w:rsidR="001271AC" w:rsidRDefault="00E96118">
      <w:pPr>
        <w:spacing w:after="120" w:line="360" w:lineRule="auto"/>
        <w:jc w:val="both"/>
        <w:rPr>
          <w:rFonts w:cs="FrankRuehl"/>
          <w:sz w:val="28"/>
          <w:szCs w:val="28"/>
          <w:rtl/>
        </w:rPr>
      </w:pPr>
      <w:r>
        <w:rPr>
          <w:rFonts w:cs="FrankRuehl" w:hint="cs"/>
          <w:sz w:val="28"/>
          <w:szCs w:val="28"/>
          <w:rtl/>
        </w:rPr>
        <w:t>7.</w:t>
      </w:r>
      <w:r>
        <w:rPr>
          <w:rFonts w:cs="FrankRuehl" w:hint="cs"/>
          <w:sz w:val="28"/>
          <w:szCs w:val="28"/>
          <w:rtl/>
        </w:rPr>
        <w:tab/>
      </w:r>
      <w:r>
        <w:rPr>
          <w:rFonts w:cs="Miriam" w:hint="cs"/>
          <w:u w:val="single"/>
          <w:rtl/>
        </w:rPr>
        <w:t>בכל הנוגע לתיק העיקרי</w:t>
      </w:r>
      <w:r>
        <w:rPr>
          <w:rFonts w:cs="FrankRuehl" w:hint="cs"/>
          <w:sz w:val="28"/>
          <w:szCs w:val="28"/>
          <w:rtl/>
        </w:rPr>
        <w:t xml:space="preserve"> - כזכור, הנאשם הורשע במסגרת תיק זה בשלוש עבירות של סחר בסם מסוכן ובעבירה אחת של ניסיון לסחר בסם מסוכן. ב</w:t>
      </w:r>
      <w:hyperlink r:id="rId38" w:history="1">
        <w:r w:rsidRPr="00E96118">
          <w:rPr>
            <w:rFonts w:cs="FrankRuehl"/>
            <w:color w:val="0000FF"/>
            <w:sz w:val="28"/>
            <w:szCs w:val="28"/>
            <w:u w:val="single"/>
            <w:rtl/>
          </w:rPr>
          <w:t>עפ"ג (מחוזי ירושלים) 59106-03-14</w:t>
        </w:r>
      </w:hyperlink>
      <w:r>
        <w:rPr>
          <w:rFonts w:cs="FrankRuehl" w:hint="cs"/>
          <w:sz w:val="28"/>
          <w:szCs w:val="28"/>
          <w:rtl/>
        </w:rPr>
        <w:t xml:space="preserve"> </w:t>
      </w:r>
      <w:r>
        <w:rPr>
          <w:rFonts w:cs="Miriam" w:hint="cs"/>
          <w:rtl/>
        </w:rPr>
        <w:t>מדינת ישראל נ' סליימה</w:t>
      </w:r>
      <w:r>
        <w:rPr>
          <w:rFonts w:cs="FrankRuehl" w:hint="cs"/>
          <w:sz w:val="28"/>
          <w:szCs w:val="28"/>
          <w:rtl/>
        </w:rPr>
        <w:t xml:space="preserve"> (8.5.2014) עמד בית-המשפט המחוזי על כך שיש לראות בכל אישום שעניינו סחר בסם מסוכן, אירוע נפרד לצורך קביעת מתחם ענישה הולמת בהתאם </w:t>
      </w:r>
      <w:hyperlink r:id="rId39" w:history="1">
        <w:r w:rsidR="006D4521" w:rsidRPr="006D4521">
          <w:rPr>
            <w:rStyle w:val="Hyperlink"/>
            <w:rFonts w:cs="FrankRuehl" w:hint="eastAsia"/>
            <w:sz w:val="28"/>
            <w:szCs w:val="28"/>
            <w:rtl/>
          </w:rPr>
          <w:t>לסעיף</w:t>
        </w:r>
        <w:r w:rsidR="006D4521" w:rsidRPr="006D4521">
          <w:rPr>
            <w:rStyle w:val="Hyperlink"/>
            <w:rFonts w:cs="FrankRuehl"/>
            <w:sz w:val="28"/>
            <w:szCs w:val="28"/>
            <w:rtl/>
          </w:rPr>
          <w:t xml:space="preserve"> 40יג</w:t>
        </w:r>
      </w:hyperlink>
      <w:r>
        <w:rPr>
          <w:rFonts w:cs="FrankRuehl" w:hint="cs"/>
          <w:sz w:val="28"/>
          <w:szCs w:val="28"/>
          <w:rtl/>
        </w:rPr>
        <w:t xml:space="preserve"> ל</w:t>
      </w:r>
      <w:hyperlink r:id="rId40" w:history="1">
        <w:r w:rsidRPr="00E96118">
          <w:rPr>
            <w:rFonts w:cs="FrankRuehl"/>
            <w:color w:val="0000FF"/>
            <w:sz w:val="28"/>
            <w:szCs w:val="28"/>
            <w:u w:val="single"/>
            <w:rtl/>
          </w:rPr>
          <w:t>חוק העונשין</w:t>
        </w:r>
      </w:hyperlink>
      <w:r>
        <w:rPr>
          <w:rFonts w:cs="FrankRuehl" w:hint="cs"/>
          <w:sz w:val="28"/>
          <w:szCs w:val="28"/>
          <w:rtl/>
        </w:rPr>
        <w:t xml:space="preserve"> (ראו: שם, בפיסקה 39). עם זאת, להבדיל מנסיבותיה של אותה הפרשה, במקרה שלפניי מדובר בכמות סם קטנה יחסית בכל אישום תמורת סכומי כסף נמוכים בשיעורם. זאת ועוד; שלושה מתוך ארבעת האישומים נשוא התיק העיקרי, בוצעו בסמיכות זמנים רבה זה לזה (באותו היום ובסמוך לאותה השעה). בהתחשב בכך, עשויה להתעורר שאלה האמנם יש לקבוע מתחם ענישה נפרד לכל אחד מן האישומים, או שמא ניתן לראות בכל ארבעת האישומים אירוע אחד ולקבוע מתחם ענישה כולל בגינם. בנסיבות העניין, אינני רואה להכריע בשאלה זו. תחת זאת, אקבע מתחם ענישה נפרד לכל אחד מארבעת האישומים נשוא התיק העיקרי. עוד אקבע מתחם ענישה כולל בגין ארבעת האישומים כמכלול. </w:t>
      </w:r>
    </w:p>
    <w:p w14:paraId="63ACBC64" w14:textId="77777777" w:rsidR="001271AC" w:rsidRDefault="001271AC">
      <w:pPr>
        <w:spacing w:after="120" w:line="360" w:lineRule="auto"/>
        <w:jc w:val="both"/>
        <w:rPr>
          <w:rFonts w:cs="FrankRuehl"/>
          <w:sz w:val="28"/>
          <w:szCs w:val="28"/>
          <w:rtl/>
        </w:rPr>
      </w:pPr>
    </w:p>
    <w:p w14:paraId="74C42F5B" w14:textId="77777777" w:rsidR="001271AC" w:rsidRDefault="00E96118">
      <w:pPr>
        <w:spacing w:after="120" w:line="360" w:lineRule="auto"/>
        <w:jc w:val="both"/>
        <w:rPr>
          <w:rFonts w:cs="FrankRuehl"/>
          <w:sz w:val="28"/>
          <w:szCs w:val="28"/>
          <w:rtl/>
        </w:rPr>
      </w:pPr>
      <w:r>
        <w:rPr>
          <w:rFonts w:cs="FrankRuehl" w:hint="cs"/>
          <w:sz w:val="28"/>
          <w:szCs w:val="28"/>
          <w:rtl/>
        </w:rPr>
        <w:t>8.</w:t>
      </w:r>
      <w:r>
        <w:rPr>
          <w:rFonts w:cs="FrankRuehl" w:hint="cs"/>
          <w:sz w:val="28"/>
          <w:szCs w:val="28"/>
          <w:rtl/>
        </w:rPr>
        <w:tab/>
      </w:r>
      <w:r>
        <w:rPr>
          <w:rFonts w:cs="Miriam" w:hint="cs"/>
          <w:u w:val="single"/>
          <w:rtl/>
        </w:rPr>
        <w:t>אשר לתיק המצורף</w:t>
      </w:r>
      <w:r>
        <w:rPr>
          <w:rFonts w:cs="FrankRuehl" w:hint="cs"/>
          <w:sz w:val="28"/>
          <w:szCs w:val="28"/>
          <w:rtl/>
        </w:rPr>
        <w:t xml:space="preserve"> - כאמור לעיל, הנאשם הורשע במסגרתו בשתי עבירות של הפרת הוראה חוקית וכן בעבירות של סיוע לכניסה לישראל שלא כחוק, הפרעה לשוטר במילוי תפקידו והתחזות לאחר. העבירות בוצעו בזיקה ממשית זו לזו ותוך רצף כרונולוגי. לפיכך, אני סבורה כי יש לראותן כאירוע אחד לצורך קביעתו של מתחם עונש הולם כאמור </w:t>
      </w:r>
      <w:hyperlink r:id="rId41" w:history="1">
        <w:r w:rsidR="006D4521" w:rsidRPr="006D4521">
          <w:rPr>
            <w:rStyle w:val="Hyperlink"/>
            <w:rFonts w:cs="FrankRuehl" w:hint="eastAsia"/>
            <w:sz w:val="28"/>
            <w:szCs w:val="28"/>
            <w:rtl/>
          </w:rPr>
          <w:t>בסעיף</w:t>
        </w:r>
        <w:r w:rsidR="006D4521" w:rsidRPr="006D4521">
          <w:rPr>
            <w:rStyle w:val="Hyperlink"/>
            <w:rFonts w:cs="FrankRuehl"/>
            <w:sz w:val="28"/>
            <w:szCs w:val="28"/>
            <w:rtl/>
          </w:rPr>
          <w:t xml:space="preserve"> 40יג(א)</w:t>
        </w:r>
      </w:hyperlink>
      <w:r>
        <w:rPr>
          <w:rFonts w:cs="FrankRuehl" w:hint="cs"/>
          <w:sz w:val="28"/>
          <w:szCs w:val="28"/>
          <w:rtl/>
        </w:rPr>
        <w:t xml:space="preserve"> ל</w:t>
      </w:r>
      <w:hyperlink r:id="rId42" w:history="1">
        <w:r w:rsidRPr="00E96118">
          <w:rPr>
            <w:rFonts w:cs="FrankRuehl"/>
            <w:color w:val="0000FF"/>
            <w:sz w:val="28"/>
            <w:szCs w:val="28"/>
            <w:u w:val="single"/>
            <w:rtl/>
          </w:rPr>
          <w:t>חוק העונשין</w:t>
        </w:r>
      </w:hyperlink>
      <w:r>
        <w:rPr>
          <w:rFonts w:cs="FrankRuehl" w:hint="cs"/>
          <w:sz w:val="28"/>
          <w:szCs w:val="28"/>
          <w:rtl/>
        </w:rPr>
        <w:t xml:space="preserve">. </w:t>
      </w:r>
    </w:p>
    <w:p w14:paraId="25599D89" w14:textId="77777777" w:rsidR="001271AC" w:rsidRDefault="001271AC">
      <w:pPr>
        <w:spacing w:after="120" w:line="360" w:lineRule="auto"/>
        <w:jc w:val="both"/>
        <w:rPr>
          <w:rFonts w:cs="FrankRuehl"/>
          <w:sz w:val="28"/>
          <w:szCs w:val="28"/>
          <w:rtl/>
        </w:rPr>
      </w:pPr>
      <w:bookmarkStart w:id="7" w:name="_GoBack"/>
      <w:bookmarkEnd w:id="7"/>
    </w:p>
    <w:p w14:paraId="79FD64C3" w14:textId="77777777" w:rsidR="001271AC" w:rsidRDefault="00E96118">
      <w:pPr>
        <w:spacing w:after="120" w:line="360" w:lineRule="auto"/>
        <w:jc w:val="both"/>
        <w:rPr>
          <w:rFonts w:cs="FrankRuehl"/>
          <w:b/>
          <w:bCs/>
          <w:sz w:val="28"/>
          <w:szCs w:val="28"/>
          <w:u w:val="single"/>
          <w:rtl/>
        </w:rPr>
      </w:pPr>
      <w:r>
        <w:rPr>
          <w:rFonts w:cs="FrankRuehl" w:hint="cs"/>
          <w:b/>
          <w:bCs/>
          <w:sz w:val="28"/>
          <w:szCs w:val="28"/>
          <w:u w:val="single"/>
          <w:rtl/>
        </w:rPr>
        <w:t>מתחמי העונש ההולם</w:t>
      </w:r>
    </w:p>
    <w:p w14:paraId="090F7E6F" w14:textId="77777777" w:rsidR="001271AC" w:rsidRDefault="00E96118">
      <w:pPr>
        <w:spacing w:after="120" w:line="360" w:lineRule="auto"/>
        <w:jc w:val="both"/>
        <w:rPr>
          <w:rFonts w:cs="FrankRuehl"/>
          <w:sz w:val="28"/>
          <w:szCs w:val="28"/>
          <w:rtl/>
        </w:rPr>
      </w:pPr>
      <w:r>
        <w:rPr>
          <w:rFonts w:cs="FrankRuehl" w:hint="cs"/>
          <w:sz w:val="28"/>
          <w:szCs w:val="28"/>
          <w:rtl/>
        </w:rPr>
        <w:t>9.</w:t>
      </w:r>
      <w:r>
        <w:rPr>
          <w:rFonts w:cs="FrankRuehl" w:hint="cs"/>
          <w:sz w:val="28"/>
          <w:szCs w:val="28"/>
          <w:rtl/>
        </w:rPr>
        <w:tab/>
        <w:t xml:space="preserve">על-פי </w:t>
      </w:r>
      <w:hyperlink r:id="rId43" w:history="1">
        <w:r w:rsidR="006D4521" w:rsidRPr="006D4521">
          <w:rPr>
            <w:rStyle w:val="Hyperlink"/>
            <w:rFonts w:cs="FrankRuehl" w:hint="eastAsia"/>
            <w:sz w:val="28"/>
            <w:szCs w:val="28"/>
            <w:rtl/>
          </w:rPr>
          <w:t>סעיף</w:t>
        </w:r>
        <w:r w:rsidR="006D4521" w:rsidRPr="006D4521">
          <w:rPr>
            <w:rStyle w:val="Hyperlink"/>
            <w:rFonts w:cs="FrankRuehl"/>
            <w:sz w:val="28"/>
            <w:szCs w:val="28"/>
            <w:rtl/>
          </w:rPr>
          <w:t xml:space="preserve"> 40ג(א)</w:t>
        </w:r>
      </w:hyperlink>
      <w:r>
        <w:rPr>
          <w:rFonts w:cs="FrankRuehl" w:hint="cs"/>
          <w:sz w:val="28"/>
          <w:szCs w:val="28"/>
          <w:rtl/>
        </w:rPr>
        <w:t xml:space="preserve"> ל</w:t>
      </w:r>
      <w:hyperlink r:id="rId44" w:history="1">
        <w:r w:rsidRPr="00E96118">
          <w:rPr>
            <w:rFonts w:cs="FrankRuehl"/>
            <w:color w:val="0000FF"/>
            <w:sz w:val="28"/>
            <w:szCs w:val="28"/>
            <w:u w:val="single"/>
            <w:rtl/>
          </w:rPr>
          <w:t>חוק העונשין</w:t>
        </w:r>
      </w:hyperlink>
      <w:r>
        <w:rPr>
          <w:rFonts w:cs="FrankRuehl" w:hint="cs"/>
          <w:sz w:val="28"/>
          <w:szCs w:val="28"/>
          <w:rtl/>
        </w:rPr>
        <w:t>, יש לקבוע את מתחמי הענישה ההולמת בהתאם לעקרון ההלימה, תוך התחשבות בערך החברתי שנפגע, במידת הפגיעה בו, בנסיבות הקשורות בביצוע העבירות ובמדיניות הענישה הנהוגה.</w:t>
      </w:r>
    </w:p>
    <w:p w14:paraId="327229E3" w14:textId="77777777" w:rsidR="001271AC" w:rsidRDefault="001271AC">
      <w:pPr>
        <w:spacing w:after="120" w:line="360" w:lineRule="auto"/>
        <w:jc w:val="both"/>
        <w:rPr>
          <w:rFonts w:cs="FrankRuehl"/>
          <w:sz w:val="28"/>
          <w:szCs w:val="28"/>
          <w:rtl/>
        </w:rPr>
      </w:pPr>
    </w:p>
    <w:p w14:paraId="60BDC0D4" w14:textId="77777777" w:rsidR="001271AC" w:rsidRDefault="00E96118">
      <w:pPr>
        <w:spacing w:after="120" w:line="360" w:lineRule="auto"/>
        <w:jc w:val="both"/>
        <w:rPr>
          <w:rFonts w:cs="Miriam"/>
          <w:rtl/>
        </w:rPr>
      </w:pPr>
      <w:r>
        <w:rPr>
          <w:rFonts w:cs="FrankRuehl" w:hint="cs"/>
          <w:sz w:val="28"/>
          <w:szCs w:val="28"/>
          <w:rtl/>
        </w:rPr>
        <w:t>10.</w:t>
      </w:r>
      <w:r>
        <w:rPr>
          <w:rFonts w:cs="Miriam" w:hint="cs"/>
          <w:rtl/>
        </w:rPr>
        <w:tab/>
      </w:r>
      <w:r>
        <w:rPr>
          <w:rFonts w:cs="Miriam" w:hint="cs"/>
          <w:u w:val="single"/>
          <w:rtl/>
        </w:rPr>
        <w:t>בכל הנוגע לתיק העיקרי</w:t>
      </w:r>
      <w:r>
        <w:rPr>
          <w:rFonts w:cs="Miriam" w:hint="cs"/>
          <w:rtl/>
        </w:rPr>
        <w:t xml:space="preserve"> - </w:t>
      </w:r>
      <w:r>
        <w:rPr>
          <w:rFonts w:cs="FrankRuehl" w:hint="cs"/>
          <w:sz w:val="28"/>
          <w:szCs w:val="28"/>
          <w:rtl/>
        </w:rPr>
        <w:t xml:space="preserve">רבות נכתב בפסיקת בתי-המשפט על עבירת הסחר בסם מסוכן (וכן ניסיון לה) ועל </w:t>
      </w:r>
      <w:r>
        <w:rPr>
          <w:rFonts w:cs="FrankRuehl" w:hint="cs"/>
          <w:b/>
          <w:bCs/>
          <w:sz w:val="28"/>
          <w:szCs w:val="28"/>
          <w:rtl/>
        </w:rPr>
        <w:t>הערכים החברתיים</w:t>
      </w:r>
      <w:r>
        <w:rPr>
          <w:rFonts w:cs="FrankRuehl" w:hint="cs"/>
          <w:sz w:val="28"/>
          <w:szCs w:val="28"/>
          <w:rtl/>
        </w:rPr>
        <w:t xml:space="preserve"> המונחים בבסיסה. בקצרה ייאמר כי תכליתה של עבירה זו הינה הגנה על חוסנה של החברה מפני הפגיעות שנגרמות עקב שימוש בסמים, הן לאוכלוסיית המשתמשים עצמם, והן לציבור בכללותו עקב ביצוען של עבירות הנלוות לשימוש בסמים. בתי-המשפט עמדו לא אחת על ההכרח להיאבק בנגע הסמים, בין היתר על-ידי השתת ענישה מחמירה על העוסקים במלאכת הפצת הסם, וזאת אף כאשר מדובר בדרגים נמוכים של שרשרת הפצת הסמים. </w:t>
      </w:r>
    </w:p>
    <w:p w14:paraId="6A9B7D46" w14:textId="77777777" w:rsidR="001271AC" w:rsidRDefault="001271AC">
      <w:pPr>
        <w:spacing w:after="120" w:line="360" w:lineRule="auto"/>
        <w:ind w:firstLine="720"/>
        <w:jc w:val="both"/>
        <w:rPr>
          <w:rFonts w:cs="FrankRuehl"/>
          <w:sz w:val="28"/>
          <w:szCs w:val="28"/>
          <w:rtl/>
        </w:rPr>
      </w:pPr>
    </w:p>
    <w:p w14:paraId="6A21D4B9" w14:textId="77777777" w:rsidR="001271AC" w:rsidRDefault="00E96118">
      <w:pPr>
        <w:spacing w:after="120" w:line="360" w:lineRule="auto"/>
        <w:ind w:firstLine="720"/>
        <w:jc w:val="both"/>
        <w:rPr>
          <w:rFonts w:cs="FrankRuehl"/>
          <w:sz w:val="28"/>
          <w:szCs w:val="28"/>
          <w:rtl/>
        </w:rPr>
      </w:pPr>
      <w:r>
        <w:rPr>
          <w:rFonts w:ascii="FrankRuehl" w:hAnsi="FrankRuehl" w:cs="FrankRuehl" w:hint="cs"/>
          <w:color w:val="000000"/>
          <w:sz w:val="28"/>
          <w:szCs w:val="28"/>
          <w:rtl/>
        </w:rPr>
        <w:t>מבחינת</w:t>
      </w:r>
      <w:r>
        <w:rPr>
          <w:rFonts w:cs="FrankRuehl" w:hint="cs"/>
          <w:sz w:val="28"/>
          <w:szCs w:val="28"/>
          <w:rtl/>
        </w:rPr>
        <w:t xml:space="preserve"> </w:t>
      </w:r>
      <w:r>
        <w:rPr>
          <w:rFonts w:cs="FrankRuehl" w:hint="cs"/>
          <w:b/>
          <w:bCs/>
          <w:sz w:val="28"/>
          <w:szCs w:val="28"/>
          <w:rtl/>
        </w:rPr>
        <w:t>נסיבות ביצוע העבירות</w:t>
      </w:r>
      <w:r>
        <w:rPr>
          <w:rFonts w:cs="FrankRuehl" w:hint="cs"/>
          <w:sz w:val="28"/>
          <w:szCs w:val="28"/>
          <w:rtl/>
        </w:rPr>
        <w:t xml:space="preserve">, הנאשם היה מעורב בארבע עסקאות הנוגעות לסמים: שלוש מהן מול סוכן משטרתי ואחת מול אדם נוסף. </w:t>
      </w:r>
      <w:r>
        <w:rPr>
          <w:rFonts w:cs="Miriam" w:hint="cs"/>
          <w:rtl/>
        </w:rPr>
        <w:t>מחד גיסא</w:t>
      </w:r>
      <w:r>
        <w:rPr>
          <w:rFonts w:cs="FrankRuehl" w:hint="cs"/>
          <w:sz w:val="28"/>
          <w:szCs w:val="28"/>
          <w:rtl/>
        </w:rPr>
        <w:t xml:space="preserve">, בכלל העסקאות היה מדובר בסם מסוג חשיש, שאינו נחשב מן הסמים "הקשים", וכן בכמויות קטנות ותמורת סכומי-כסף בשיעור נמוך בכל פעם (נמכרה כמות של כגרם אחד חשיש בכל אחד מהאישומים הראשון, הרביעי והשישי תמורת 50-100 ₪ בכל עסקה. בעסקה נשוא האישום החמישי, אשר לא הבשילה לכדי עבירה מושלמת - אך זאת רק בשל מעצרו של הנאשם על-ידי השוטרים - ניסה הנאשם למכור חשיש תמורת 300 ש"ח, בעודו מחזיק בכליו בחשיש במשקל כולל של כ- </w:t>
      </w:r>
      <w:smartTag w:uri="urn:schemas-microsoft-com:office:smarttags" w:element="metricconverter">
        <w:smartTagPr>
          <w:attr w:name="ProductID" w:val="7 גרם"/>
        </w:smartTagPr>
        <w:r>
          <w:rPr>
            <w:rFonts w:cs="FrankRuehl" w:hint="cs"/>
            <w:sz w:val="28"/>
            <w:szCs w:val="28"/>
            <w:rtl/>
          </w:rPr>
          <w:t>7 גרם</w:t>
        </w:r>
      </w:smartTag>
      <w:r>
        <w:rPr>
          <w:rFonts w:cs="FrankRuehl" w:hint="cs"/>
          <w:sz w:val="28"/>
          <w:szCs w:val="28"/>
          <w:rtl/>
        </w:rPr>
        <w:t xml:space="preserve">). כפי שצוין לעיל, העבירות בשלושה מתוך ארבעת האישומים בוצעו באותו היום בהפרש זמנים לא רב (בסביבות השעה 17:00). בנוסף, בשניים מן האישומים השוטר הוא אשר פנה אל הנאשם וביקש לרכוש את הסמים. </w:t>
      </w:r>
      <w:r>
        <w:rPr>
          <w:rFonts w:cs="Miriam" w:hint="cs"/>
          <w:rtl/>
        </w:rPr>
        <w:t>מאידך גיסא</w:t>
      </w:r>
      <w:r>
        <w:rPr>
          <w:rFonts w:cs="FrankRuehl" w:hint="cs"/>
          <w:sz w:val="28"/>
          <w:szCs w:val="28"/>
          <w:rtl/>
        </w:rPr>
        <w:t xml:space="preserve">, הנאשם היה נכון לספק לשוטר הסמוי את הסמים כשהתבקש לכך, תוך תיאום מוקדם ובחלוף זמן קצר יחסית. בנוסף, מכר הנאשם סם לגורם נוסף שאינו שוטר. הדבר מעיד הן על תכנון מוקדם, הן על נגישותו של הנאשם לסמים (גם אם בכמות שאינה גדולה), והן על מעורבותו הפעילה בעולם הסחר בסמים. </w:t>
      </w:r>
    </w:p>
    <w:p w14:paraId="2EEAA56F" w14:textId="77777777" w:rsidR="001271AC" w:rsidRDefault="001271AC">
      <w:pPr>
        <w:spacing w:after="120" w:line="360" w:lineRule="auto"/>
        <w:jc w:val="both"/>
        <w:rPr>
          <w:rFonts w:cs="FrankRuehl"/>
          <w:sz w:val="28"/>
          <w:szCs w:val="28"/>
          <w:rtl/>
        </w:rPr>
      </w:pPr>
    </w:p>
    <w:p w14:paraId="7AD96033" w14:textId="77777777" w:rsidR="001271AC" w:rsidRDefault="00E96118">
      <w:pPr>
        <w:spacing w:after="120" w:line="360" w:lineRule="auto"/>
        <w:ind w:firstLine="720"/>
        <w:jc w:val="both"/>
        <w:rPr>
          <w:rFonts w:ascii="David" w:hAnsi="David" w:cs="FrankRuehl"/>
          <w:sz w:val="28"/>
          <w:szCs w:val="28"/>
          <w:rtl/>
        </w:rPr>
      </w:pPr>
      <w:r>
        <w:rPr>
          <w:rFonts w:cs="FrankRuehl" w:hint="cs"/>
          <w:sz w:val="28"/>
          <w:szCs w:val="28"/>
          <w:rtl/>
        </w:rPr>
        <w:t xml:space="preserve">בחינת </w:t>
      </w:r>
      <w:r>
        <w:rPr>
          <w:rFonts w:cs="FrankRuehl" w:hint="cs"/>
          <w:b/>
          <w:bCs/>
          <w:sz w:val="28"/>
          <w:szCs w:val="28"/>
          <w:rtl/>
        </w:rPr>
        <w:t>הענישה הנוהגת</w:t>
      </w:r>
      <w:r>
        <w:rPr>
          <w:rFonts w:cs="FrankRuehl" w:hint="cs"/>
          <w:sz w:val="28"/>
          <w:szCs w:val="28"/>
          <w:rtl/>
        </w:rPr>
        <w:t xml:space="preserve"> מעלה כי בגין עבירות של סחר בסמים בנסיבות דומות לאלה שלפניי, נגזרו עונשים הנעים ממספר בודד של חודשי מאסר בפועל (שבמקרים מתאימים ניתנים לריצוי בדרך של עבודות שירות) ועד עונשי מאסר בפועל משמעותיים לריצוי מאחורי סורג ובריח. הכל בהתאם לנסיבות המעשה והעושה. </w:t>
      </w:r>
    </w:p>
    <w:p w14:paraId="004C6C4F" w14:textId="77777777" w:rsidR="001271AC" w:rsidRDefault="001271AC">
      <w:pPr>
        <w:spacing w:after="120" w:line="360" w:lineRule="auto"/>
        <w:jc w:val="both"/>
        <w:rPr>
          <w:rFonts w:cs="FrankRuehl"/>
          <w:sz w:val="28"/>
          <w:szCs w:val="28"/>
          <w:rtl/>
        </w:rPr>
      </w:pPr>
    </w:p>
    <w:p w14:paraId="0EE3B5D8" w14:textId="77777777" w:rsidR="001271AC" w:rsidRDefault="00E96118">
      <w:pPr>
        <w:spacing w:after="120" w:line="360" w:lineRule="auto"/>
        <w:ind w:firstLine="720"/>
        <w:jc w:val="both"/>
        <w:rPr>
          <w:rFonts w:cs="FrankRuehl"/>
          <w:sz w:val="28"/>
          <w:szCs w:val="28"/>
          <w:rtl/>
        </w:rPr>
      </w:pPr>
      <w:r>
        <w:rPr>
          <w:rFonts w:cs="FrankRuehl" w:hint="cs"/>
          <w:sz w:val="28"/>
          <w:szCs w:val="28"/>
          <w:rtl/>
        </w:rPr>
        <w:t xml:space="preserve">בהתחשב בעקרון המנחה של ההלימה; בשים לב לפגיעה בערכים המוגנים; בהתחשב בחומרת המעשים ונסיבות ביצועם; ובהתחשב במדיניות הענישה הנוהגת במקרים דומים; אני סבורה כי </w:t>
      </w:r>
      <w:r>
        <w:rPr>
          <w:rFonts w:cs="FrankRuehl" w:hint="cs"/>
          <w:b/>
          <w:bCs/>
          <w:sz w:val="28"/>
          <w:szCs w:val="28"/>
          <w:rtl/>
        </w:rPr>
        <w:t xml:space="preserve">מתחם העונש ההולם </w:t>
      </w:r>
      <w:r>
        <w:rPr>
          <w:rFonts w:cs="FrankRuehl" w:hint="cs"/>
          <w:b/>
          <w:bCs/>
          <w:sz w:val="28"/>
          <w:szCs w:val="28"/>
          <w:u w:val="single"/>
          <w:rtl/>
        </w:rPr>
        <w:t>לכל אחד</w:t>
      </w:r>
      <w:r>
        <w:rPr>
          <w:rFonts w:cs="FrankRuehl" w:hint="cs"/>
          <w:b/>
          <w:bCs/>
          <w:sz w:val="28"/>
          <w:szCs w:val="28"/>
          <w:rtl/>
        </w:rPr>
        <w:t xml:space="preserve"> מארבעת האישומים נשוא התיק העיקרי</w:t>
      </w:r>
      <w:r>
        <w:rPr>
          <w:rFonts w:cs="FrankRuehl" w:hint="cs"/>
          <w:sz w:val="28"/>
          <w:szCs w:val="28"/>
          <w:rtl/>
        </w:rPr>
        <w:t xml:space="preserve"> נע מעונש מאסר בפועל קצר (שניתן לריצוי בדרך של עבודות שירות), ועד מספר בודד של חודשי מאסר בפועל. </w:t>
      </w:r>
      <w:r>
        <w:rPr>
          <w:rFonts w:cs="FrankRuehl" w:hint="cs"/>
          <w:b/>
          <w:bCs/>
          <w:sz w:val="28"/>
          <w:szCs w:val="28"/>
          <w:rtl/>
        </w:rPr>
        <w:t xml:space="preserve">מתחם העונש ההולם </w:t>
      </w:r>
      <w:r>
        <w:rPr>
          <w:rFonts w:cs="FrankRuehl" w:hint="cs"/>
          <w:b/>
          <w:bCs/>
          <w:sz w:val="28"/>
          <w:szCs w:val="28"/>
          <w:u w:val="single"/>
          <w:rtl/>
        </w:rPr>
        <w:t>לכל ארבעת</w:t>
      </w:r>
      <w:r>
        <w:rPr>
          <w:rFonts w:cs="FrankRuehl" w:hint="cs"/>
          <w:b/>
          <w:bCs/>
          <w:sz w:val="28"/>
          <w:szCs w:val="28"/>
          <w:rtl/>
        </w:rPr>
        <w:t xml:space="preserve"> האישומים נשוא התיק העיקרי</w:t>
      </w:r>
      <w:r>
        <w:rPr>
          <w:rFonts w:cs="FrankRuehl" w:hint="cs"/>
          <w:sz w:val="28"/>
          <w:szCs w:val="28"/>
          <w:rtl/>
        </w:rPr>
        <w:t xml:space="preserve"> נע ממספר בודד של חודשי מאסר בפועל (המצוי ברף העליון הניתן לריצוי בעבודות שירות) ועד 18 חודשי מאסר בפועל. </w:t>
      </w:r>
    </w:p>
    <w:p w14:paraId="50C3DA37" w14:textId="77777777" w:rsidR="001271AC" w:rsidRDefault="001271AC">
      <w:pPr>
        <w:spacing w:after="120" w:line="360" w:lineRule="auto"/>
        <w:jc w:val="both"/>
        <w:rPr>
          <w:rFonts w:cs="FrankRuehl"/>
          <w:sz w:val="28"/>
          <w:szCs w:val="28"/>
          <w:rtl/>
        </w:rPr>
      </w:pPr>
    </w:p>
    <w:p w14:paraId="0497416A" w14:textId="77777777" w:rsidR="001271AC" w:rsidRDefault="00E96118">
      <w:pPr>
        <w:spacing w:after="120" w:line="360" w:lineRule="auto"/>
        <w:jc w:val="both"/>
        <w:rPr>
          <w:rFonts w:ascii="David" w:hAnsi="David" w:cs="FrankRuehl"/>
          <w:sz w:val="28"/>
          <w:szCs w:val="28"/>
          <w:rtl/>
        </w:rPr>
      </w:pPr>
      <w:r>
        <w:rPr>
          <w:rFonts w:cs="FrankRuehl" w:hint="cs"/>
          <w:sz w:val="28"/>
          <w:szCs w:val="28"/>
          <w:rtl/>
        </w:rPr>
        <w:t>11.</w:t>
      </w:r>
      <w:r>
        <w:rPr>
          <w:rFonts w:cs="FrankRuehl" w:hint="cs"/>
          <w:sz w:val="28"/>
          <w:szCs w:val="28"/>
          <w:rtl/>
        </w:rPr>
        <w:tab/>
      </w:r>
      <w:r>
        <w:rPr>
          <w:rFonts w:cs="Miriam" w:hint="cs"/>
          <w:u w:val="single"/>
          <w:rtl/>
        </w:rPr>
        <w:t>בכל הנוגע לתיק המצורף</w:t>
      </w:r>
      <w:r>
        <w:rPr>
          <w:rFonts w:cs="FrankRuehl" w:hint="cs"/>
          <w:sz w:val="28"/>
          <w:szCs w:val="28"/>
          <w:rtl/>
        </w:rPr>
        <w:t xml:space="preserve"> - </w:t>
      </w:r>
      <w:r>
        <w:rPr>
          <w:rFonts w:cs="FrankRuehl" w:hint="cs"/>
          <w:b/>
          <w:bCs/>
          <w:sz w:val="28"/>
          <w:szCs w:val="28"/>
          <w:rtl/>
        </w:rPr>
        <w:t>הערכים החברתיים המוגנים</w:t>
      </w:r>
      <w:r>
        <w:rPr>
          <w:rFonts w:cs="FrankRuehl" w:hint="cs"/>
          <w:sz w:val="28"/>
          <w:szCs w:val="28"/>
          <w:rtl/>
        </w:rPr>
        <w:t xml:space="preserve"> שנפגעו בעקבות העבירה של סיוע לכניסה לישראל שלא כחוק, עניינם בשמירה של המדינה על גבולותיה ועל זכותה לקבוע מי הם הרשאים להיכנס לשטחה, ובתוך כך הגנה על ביטחונה ועל ביטחון תושביה. העבירה של סיוע לכניסה לישראל שלא כחוק טומנת בחובה סיכון ביטחוני, שכן המסייע לא בהכרח יודע מהי מטרת כניסתם של התושבים הבלתי חוקיים לשטח המדינה. לצד זאת, ראוי להזכיר כי עסקינן בסיוע לעבירה, שהעונש המירבי הקבוע בגינה בחוק בצורתה המושלמת הוא שנת מאסר בפועל. אשר לעבירות של הפרת הוראה חוקית, הפרעה לשוטר במילוי תפקידו והתחזות לאחר - עבירות אלה הובילו לפגיעה בערכים חשובים שעניינם שמירה על שלטון החוק, הגנה על מערכת אכיפת החוק ופעילותה התקינה, וכן הגנה על מעמדם וכוחם של צווים שיפוטיים. מדובר בעבירות עוון, שהעונש המירבי הקבוע בחוק לצד כל אחת מהן הוא שנתיים או שלוש שנים. </w:t>
      </w:r>
    </w:p>
    <w:p w14:paraId="39B5257F" w14:textId="77777777" w:rsidR="001271AC" w:rsidRDefault="001271AC">
      <w:pPr>
        <w:spacing w:after="120" w:line="360" w:lineRule="auto"/>
        <w:jc w:val="both"/>
        <w:rPr>
          <w:rFonts w:cs="FrankRuehl"/>
          <w:sz w:val="28"/>
          <w:szCs w:val="28"/>
          <w:rtl/>
        </w:rPr>
      </w:pPr>
    </w:p>
    <w:p w14:paraId="756C567F" w14:textId="77777777" w:rsidR="001271AC" w:rsidRDefault="00E96118">
      <w:pPr>
        <w:spacing w:after="120" w:line="360" w:lineRule="auto"/>
        <w:jc w:val="both"/>
        <w:rPr>
          <w:rFonts w:cs="FrankRuehl"/>
          <w:sz w:val="28"/>
          <w:szCs w:val="28"/>
          <w:rtl/>
        </w:rPr>
      </w:pPr>
      <w:r>
        <w:rPr>
          <w:rFonts w:cs="FrankRuehl" w:hint="cs"/>
          <w:sz w:val="28"/>
          <w:szCs w:val="28"/>
          <w:rtl/>
        </w:rPr>
        <w:tab/>
        <w:t xml:space="preserve">בחינת </w:t>
      </w:r>
      <w:r>
        <w:rPr>
          <w:rFonts w:cs="FrankRuehl" w:hint="cs"/>
          <w:b/>
          <w:bCs/>
          <w:sz w:val="28"/>
          <w:szCs w:val="28"/>
          <w:rtl/>
        </w:rPr>
        <w:t>נסיבות ביצוע העבירות</w:t>
      </w:r>
      <w:r>
        <w:rPr>
          <w:rFonts w:cs="FrankRuehl" w:hint="cs"/>
          <w:sz w:val="28"/>
          <w:szCs w:val="28"/>
          <w:rtl/>
        </w:rPr>
        <w:t xml:space="preserve"> בתיק המצורף מעלה כי הנאשם הפר בשתי הזדמנויות צו שיפוטי שניתן בעניינו, מעל באמון שנתן בו בית-המשפט והפר תנאי מעצר בית מלא בו אמור היה לשהות וזאת לצורך ביצוע עבירות אחרות. בפעם הראשונה, יצא הנאשם מביתו בניגוד להחלטה השיפוטית שניתנה בעניינו בהליך המעצר, ועסק בתכנון עבירות נוספות. יום לאחר מכן, יצא הנאשם שוב מביתו שלא כדין, וסייע לכניסתם לישראל של מספר רב של שוהים בלתי חוקיים (21), כאשר פירק ממקומם את מנעולי שער הכניסה בראס-חמיס. זאת, כדי לזכוֹת בתמורה כספית שהובטחה לו יום קודם לכן. בכך לא תם האירוע, שכן כאשר הגיעו שוטרים למקום, הנאשם הסתתר מפניהם לצד עץ. כאשר נתפס לבסוף, הציג הנאשם תעודה מזהה השייכת לאחיו והזדהה בשמו של אחיו. הנה כי כן, מעשיו של הנאשם לוו בתכנון ובמידה של תחכום. יש בהם כדי להצביע על עזות מצח מצד הנאשם ועל זלזול והעדר מורא מפני החוק. כפי הנראה, המניע לביצוע העבירות היה כספי, שכן לנאשם הובטח כסף תמורת פתיחת מנעולי השער. אינני מקלה ראש בטענת הסנגור בדבר הרצון של הנאשם לפרנס את משפחתו, אולם בוודאי שהדרך לכך אינה ביצוע עבירות פליליות שיש בהן כדי לסכן את שלום הציבור ובטחונו, וכל זאת תוך הפרת תנאי מעצר בית מלא ופגיעה בערכי שלטון החוק.</w:t>
      </w:r>
    </w:p>
    <w:p w14:paraId="583F2C6A" w14:textId="77777777" w:rsidR="001271AC" w:rsidRDefault="001271AC">
      <w:pPr>
        <w:spacing w:after="120" w:line="360" w:lineRule="auto"/>
        <w:jc w:val="both"/>
        <w:rPr>
          <w:rFonts w:cs="FrankRuehl"/>
          <w:sz w:val="28"/>
          <w:szCs w:val="28"/>
          <w:rtl/>
        </w:rPr>
      </w:pPr>
    </w:p>
    <w:p w14:paraId="0A97B61A" w14:textId="77777777" w:rsidR="001271AC" w:rsidRDefault="00E96118">
      <w:pPr>
        <w:spacing w:after="120" w:line="360" w:lineRule="auto"/>
        <w:jc w:val="both"/>
        <w:rPr>
          <w:rFonts w:cs="FrankRuehl"/>
          <w:sz w:val="28"/>
          <w:szCs w:val="28"/>
          <w:rtl/>
        </w:rPr>
      </w:pPr>
      <w:r>
        <w:rPr>
          <w:rFonts w:cs="FrankRuehl" w:hint="cs"/>
          <w:sz w:val="28"/>
          <w:szCs w:val="28"/>
          <w:rtl/>
        </w:rPr>
        <w:tab/>
        <w:t>יוער כי בחינת</w:t>
      </w:r>
      <w:r>
        <w:rPr>
          <w:rFonts w:cs="FrankRuehl" w:hint="cs"/>
          <w:b/>
          <w:bCs/>
          <w:sz w:val="28"/>
          <w:szCs w:val="28"/>
          <w:rtl/>
        </w:rPr>
        <w:t xml:space="preserve"> הענישה הנוהגת</w:t>
      </w:r>
      <w:r>
        <w:rPr>
          <w:rFonts w:cs="FrankRuehl" w:hint="cs"/>
          <w:sz w:val="28"/>
          <w:szCs w:val="28"/>
          <w:rtl/>
        </w:rPr>
        <w:t xml:space="preserve"> מעלה כי קיים קושי לאתר מקרים דומים בנסיבותיהם למקרה שלפניי, הכולל הרשעה בעבירה של סיוע לכניסה לישראל שלא כדין (בנוגע ל- 21 שב"חים), וזאת בצירוף עבירות נלוות ותוך הפרת תנאי מעצר בית. </w:t>
      </w:r>
    </w:p>
    <w:p w14:paraId="7931C3E1" w14:textId="77777777" w:rsidR="001271AC" w:rsidRDefault="00E96118">
      <w:pPr>
        <w:spacing w:after="120" w:line="360" w:lineRule="auto"/>
        <w:jc w:val="both"/>
        <w:rPr>
          <w:rFonts w:cs="FrankRuehl"/>
          <w:sz w:val="28"/>
          <w:szCs w:val="28"/>
          <w:rtl/>
        </w:rPr>
      </w:pPr>
      <w:r>
        <w:rPr>
          <w:rFonts w:cs="FrankRuehl" w:hint="cs"/>
          <w:sz w:val="28"/>
          <w:szCs w:val="28"/>
          <w:rtl/>
        </w:rPr>
        <w:t xml:space="preserve"> </w:t>
      </w:r>
    </w:p>
    <w:p w14:paraId="05349709" w14:textId="77777777" w:rsidR="001271AC" w:rsidRDefault="00E96118">
      <w:pPr>
        <w:spacing w:after="120" w:line="360" w:lineRule="auto"/>
        <w:ind w:firstLine="720"/>
        <w:jc w:val="both"/>
        <w:rPr>
          <w:rFonts w:cs="FrankRuehl"/>
          <w:sz w:val="28"/>
          <w:szCs w:val="28"/>
          <w:rtl/>
        </w:rPr>
      </w:pPr>
      <w:r>
        <w:rPr>
          <w:rFonts w:cs="FrankRuehl" w:hint="cs"/>
          <w:sz w:val="28"/>
          <w:szCs w:val="28"/>
          <w:rtl/>
        </w:rPr>
        <w:t xml:space="preserve">בהתחשב בעקרון המנחה של ההלימה ובשים לב ליתר השיקולים שפורטו, אני סבורה כי </w:t>
      </w:r>
      <w:r>
        <w:rPr>
          <w:rFonts w:cs="FrankRuehl" w:hint="cs"/>
          <w:b/>
          <w:bCs/>
          <w:sz w:val="28"/>
          <w:szCs w:val="28"/>
          <w:rtl/>
        </w:rPr>
        <w:t xml:space="preserve">מתחם העונש ההולם לאירוע נשוא התיק המצורף על מכלול העבירות הנכללות במסגרתו, </w:t>
      </w:r>
      <w:r>
        <w:rPr>
          <w:rFonts w:cs="FrankRuehl" w:hint="cs"/>
          <w:sz w:val="28"/>
          <w:szCs w:val="28"/>
          <w:rtl/>
        </w:rPr>
        <w:t xml:space="preserve">נע ממספר בודד של חודשי מאסר בפועל ועד 18 חודשי מאסר בפועל. </w:t>
      </w:r>
    </w:p>
    <w:p w14:paraId="4D92F754" w14:textId="77777777" w:rsidR="001271AC" w:rsidRDefault="001271AC">
      <w:pPr>
        <w:spacing w:after="120" w:line="360" w:lineRule="auto"/>
        <w:jc w:val="both"/>
        <w:rPr>
          <w:rFonts w:ascii="David" w:hAnsi="David" w:cs="FrankRuehl"/>
          <w:sz w:val="28"/>
          <w:szCs w:val="28"/>
          <w:rtl/>
        </w:rPr>
      </w:pPr>
    </w:p>
    <w:p w14:paraId="1A274129" w14:textId="77777777" w:rsidR="001271AC" w:rsidRDefault="00E96118">
      <w:pPr>
        <w:spacing w:after="120" w:line="360" w:lineRule="auto"/>
        <w:jc w:val="both"/>
        <w:rPr>
          <w:rFonts w:cs="FrankRuehl"/>
          <w:b/>
          <w:bCs/>
          <w:sz w:val="28"/>
          <w:szCs w:val="28"/>
          <w:u w:val="single"/>
          <w:rtl/>
        </w:rPr>
      </w:pPr>
      <w:r>
        <w:rPr>
          <w:rFonts w:cs="FrankRuehl" w:hint="cs"/>
          <w:b/>
          <w:bCs/>
          <w:sz w:val="28"/>
          <w:szCs w:val="28"/>
          <w:u w:val="single"/>
          <w:rtl/>
        </w:rPr>
        <w:t>גזירת העונש המתאים</w:t>
      </w:r>
    </w:p>
    <w:p w14:paraId="6EFB8E18" w14:textId="77777777" w:rsidR="001271AC" w:rsidRDefault="00E96118">
      <w:pPr>
        <w:spacing w:after="120" w:line="360" w:lineRule="auto"/>
        <w:jc w:val="both"/>
        <w:rPr>
          <w:rFonts w:cs="FrankRuehl"/>
          <w:sz w:val="28"/>
          <w:szCs w:val="28"/>
          <w:rtl/>
        </w:rPr>
      </w:pPr>
      <w:r>
        <w:rPr>
          <w:rFonts w:cs="FrankRuehl" w:hint="cs"/>
          <w:sz w:val="28"/>
          <w:szCs w:val="28"/>
          <w:rtl/>
        </w:rPr>
        <w:t>12.</w:t>
      </w:r>
      <w:r>
        <w:rPr>
          <w:rFonts w:cs="FrankRuehl" w:hint="cs"/>
          <w:sz w:val="28"/>
          <w:szCs w:val="28"/>
          <w:rtl/>
        </w:rPr>
        <w:tab/>
        <w:t xml:space="preserve">לזכוּת הנאשם, ראיתי לשקול את העובדה שהוא הודה ונטל אחריות למעשיו בשני התיקים. עוד ראיתי להתחשב בהעדרוֹ של עבר פלילי קודם וכן בגילו של הנאשם בעת ביצוע העבירות (כבן 20) והשתייכותו לקטגוריית "בגיר-צעיר". לא נעלם מעיניי כי עד כה לא ריצה הנאשם מעולם עונש מאסר בפועל, כך שעונש מן הסוג האמור לא יהיה קל עבורו. בנוסף, ניתן משקל לנסיבותיו האישיות של הנאשם כמפורט בתסקיר שירות המבחן, וכן להמלצת שירות המבחן בעניינו. </w:t>
      </w:r>
    </w:p>
    <w:p w14:paraId="43872482" w14:textId="77777777" w:rsidR="001271AC" w:rsidRDefault="001271AC">
      <w:pPr>
        <w:spacing w:after="120" w:line="360" w:lineRule="auto"/>
        <w:jc w:val="both"/>
        <w:rPr>
          <w:rFonts w:cs="FrankRuehl"/>
          <w:sz w:val="28"/>
          <w:szCs w:val="28"/>
          <w:rtl/>
        </w:rPr>
      </w:pPr>
    </w:p>
    <w:p w14:paraId="32905762" w14:textId="77777777" w:rsidR="001271AC" w:rsidRDefault="00E96118">
      <w:pPr>
        <w:spacing w:after="120" w:line="360" w:lineRule="auto"/>
        <w:jc w:val="both"/>
        <w:rPr>
          <w:rFonts w:cs="FrankRuehl"/>
          <w:sz w:val="28"/>
          <w:szCs w:val="28"/>
          <w:rtl/>
        </w:rPr>
      </w:pPr>
      <w:r>
        <w:rPr>
          <w:rFonts w:cs="FrankRuehl" w:hint="cs"/>
          <w:sz w:val="28"/>
          <w:szCs w:val="28"/>
          <w:rtl/>
        </w:rPr>
        <w:t>13.</w:t>
      </w:r>
      <w:r>
        <w:rPr>
          <w:rFonts w:cs="FrankRuehl" w:hint="cs"/>
          <w:sz w:val="28"/>
          <w:szCs w:val="28"/>
          <w:rtl/>
        </w:rPr>
        <w:tab/>
        <w:t>מנגד, נתתי דעתי לצורך בהרתעת היחיד ובהרתעת הרבים - הן בנוגע לעבירות הסחר בסמים (או ניסיון להן); הן בנוגע לעבירה של סיוע לכניסה לישראל שלא כחוק, העלולה להעמיד בסיכון את שלום הציבור ובטחונו כמבואר לעיל; והן בנוגע לעבירות של הפרת הוראה חוקית, הכשלת שוטר והתחזות לאחר, החותרים תחת אינטרס שלטון החוק. חומרה משמעותית אני רואה בכך שהעבירות נשוא התיק המצורף, בוצעו כאשר הנאשם היה אמור להימצא במעצר בית מלא במסגרת התיק העיקרי. הדבר מעיד על העדר הפנמה של הנאשם את חומרת מעשיו ועל זלזול בצווים שיפוטיים והעדר מורא מפני החוק, באופן המחייב אף הוא מתן משקל ממשי לשיקולי הלימה והרתעה. ודוק, קביעתם של תנאי שחרור ממעצר אפשרית רק בשל האיסור להפר אותם. אם הפרה כזו לא תגרור תגובה עונשית הולמת ומרתיעה, עלול הדבר לכרסם ביכולת להורות על שחרור ממעצר בתנאים מגבילים, על מכלול ההשלכות הכרוכות בכך לפרט ולחברה. חובה, אפוא, לשמור היטב על כוח צוויו של בית-המשפט על-דרך של ענישה הולמת בגין זלזול בהוראותיו והפרתן. כך במיוחד, כאשר מעצר הבית הופר לצורך ביצוע עבירות פליליות נוספות, שהיה כרוך בהן סיכון לשלום הציבור ובטחונו וכן חתירה תחת עקרונות אכיפת החוק.</w:t>
      </w:r>
    </w:p>
    <w:p w14:paraId="6675215E" w14:textId="77777777" w:rsidR="001271AC" w:rsidRDefault="001271AC">
      <w:pPr>
        <w:spacing w:after="120" w:line="360" w:lineRule="auto"/>
        <w:jc w:val="both"/>
        <w:rPr>
          <w:rFonts w:cs="FrankRuehl"/>
          <w:sz w:val="28"/>
          <w:szCs w:val="28"/>
          <w:rtl/>
        </w:rPr>
      </w:pPr>
    </w:p>
    <w:p w14:paraId="368DFA07" w14:textId="77777777" w:rsidR="001271AC" w:rsidRDefault="00E96118">
      <w:pPr>
        <w:spacing w:after="120" w:line="360" w:lineRule="auto"/>
        <w:jc w:val="both"/>
        <w:rPr>
          <w:rFonts w:cs="FrankRuehl"/>
          <w:sz w:val="28"/>
          <w:szCs w:val="28"/>
          <w:rtl/>
        </w:rPr>
      </w:pPr>
      <w:r>
        <w:rPr>
          <w:rFonts w:cs="FrankRuehl" w:hint="cs"/>
          <w:sz w:val="28"/>
          <w:szCs w:val="28"/>
          <w:rtl/>
        </w:rPr>
        <w:t>14.</w:t>
      </w:r>
      <w:r>
        <w:rPr>
          <w:rFonts w:cs="FrankRuehl" w:hint="cs"/>
          <w:sz w:val="28"/>
          <w:szCs w:val="28"/>
          <w:rtl/>
        </w:rPr>
        <w:tab/>
      </w:r>
      <w:hyperlink r:id="rId45" w:history="1">
        <w:r w:rsidR="006D4521" w:rsidRPr="006D4521">
          <w:rPr>
            <w:rStyle w:val="Hyperlink"/>
            <w:rFonts w:cs="FrankRuehl" w:hint="eastAsia"/>
            <w:sz w:val="28"/>
            <w:szCs w:val="28"/>
            <w:rtl/>
          </w:rPr>
          <w:t>סעיף</w:t>
        </w:r>
        <w:r w:rsidR="006D4521" w:rsidRPr="006D4521">
          <w:rPr>
            <w:rStyle w:val="Hyperlink"/>
            <w:rFonts w:cs="FrankRuehl"/>
            <w:sz w:val="28"/>
            <w:szCs w:val="28"/>
            <w:rtl/>
          </w:rPr>
          <w:t xml:space="preserve"> 40יג(ב)</w:t>
        </w:r>
      </w:hyperlink>
      <w:r>
        <w:rPr>
          <w:rFonts w:cs="FrankRuehl" w:hint="cs"/>
          <w:sz w:val="28"/>
          <w:szCs w:val="28"/>
          <w:rtl/>
        </w:rPr>
        <w:t xml:space="preserve"> ל</w:t>
      </w:r>
      <w:hyperlink r:id="rId46" w:history="1">
        <w:r w:rsidRPr="00E96118">
          <w:rPr>
            <w:rFonts w:cs="FrankRuehl"/>
            <w:color w:val="0000FF"/>
            <w:sz w:val="28"/>
            <w:szCs w:val="28"/>
            <w:u w:val="single"/>
            <w:rtl/>
          </w:rPr>
          <w:t>חוק העונשין</w:t>
        </w:r>
      </w:hyperlink>
      <w:r>
        <w:rPr>
          <w:rFonts w:cs="FrankRuehl" w:hint="cs"/>
          <w:sz w:val="28"/>
          <w:szCs w:val="28"/>
          <w:rtl/>
        </w:rPr>
        <w:t xml:space="preserve"> מציב שתי אפשרויות לגזירת הדין. דומני כי האפשרות המתאימה במקרה דנן, היא זו של הטלת עונש כולל בגין מכלול העבירות בעטין הורשע הנאשם בשני התיקים שלפניי, באופן שייתן ביטוי הולם להיקף העבירות, למהותן ולמשך הזמן בו בוצעו, וזאת לצד מכלול השיקולים לקוּלא שפורטו לעיל. באיזון בין השיקולים, אני סבורה כי יש מקום לעונש מאסר בפועל מאחורי סורג ובריח לתקופה ממשית, וכן לענישה מותנית הצופה פני עתיד ופסילת רישיון נהיגה (יוער כי נוכח עונש המאסר בפועל והיותו של הנאשם אב לילדה קטנה, הסתפקתי בתקופת פסילה בפועל קצרה). </w:t>
      </w:r>
    </w:p>
    <w:p w14:paraId="7FBDA113" w14:textId="77777777" w:rsidR="001271AC" w:rsidRDefault="001271AC">
      <w:pPr>
        <w:spacing w:after="120" w:line="360" w:lineRule="auto"/>
        <w:jc w:val="both"/>
        <w:rPr>
          <w:rFonts w:cs="FrankRuehl"/>
          <w:sz w:val="28"/>
          <w:szCs w:val="28"/>
          <w:rtl/>
        </w:rPr>
      </w:pPr>
    </w:p>
    <w:p w14:paraId="28D9617F" w14:textId="77777777" w:rsidR="001271AC" w:rsidRDefault="00E96118">
      <w:pPr>
        <w:spacing w:after="120" w:line="360" w:lineRule="auto"/>
        <w:ind w:firstLine="720"/>
        <w:jc w:val="both"/>
        <w:rPr>
          <w:rFonts w:cs="FrankRuehl"/>
          <w:sz w:val="28"/>
          <w:szCs w:val="28"/>
          <w:rtl/>
        </w:rPr>
      </w:pPr>
      <w:r>
        <w:rPr>
          <w:rFonts w:cs="FrankRuehl" w:hint="cs"/>
          <w:sz w:val="28"/>
          <w:szCs w:val="28"/>
          <w:rtl/>
        </w:rPr>
        <w:t>יוער כי העבירות נשוא שני התיקים בוצעו ממניע כלכלי. ברגיל, היה מקום לשקול להוסיף ענישה כספית, כדי להפוך את העבירות לבלתי משתלמות גם במישור הכלכלי. יחד עם זאת, נוכח מצבה הכלכלי של המשפחה כמפורט בתסקיר שירות המבחן, ובשים לב לכך שהמאשימה נמנעה מלעתור לרכיב כספי, נמנעתי מלהטיל קנס על הנאשם.</w:t>
      </w:r>
    </w:p>
    <w:p w14:paraId="367E07E6" w14:textId="77777777" w:rsidR="001271AC" w:rsidRDefault="00E96118">
      <w:pPr>
        <w:spacing w:after="120" w:line="360" w:lineRule="auto"/>
        <w:jc w:val="both"/>
        <w:rPr>
          <w:rFonts w:cs="FrankRuehl"/>
          <w:sz w:val="28"/>
          <w:szCs w:val="28"/>
          <w:rtl/>
        </w:rPr>
      </w:pPr>
      <w:r>
        <w:rPr>
          <w:rFonts w:cs="FrankRuehl" w:hint="cs"/>
          <w:sz w:val="28"/>
          <w:szCs w:val="28"/>
          <w:rtl/>
        </w:rPr>
        <w:tab/>
      </w:r>
    </w:p>
    <w:p w14:paraId="1C01D654" w14:textId="77777777" w:rsidR="001271AC" w:rsidRDefault="00E96118">
      <w:pPr>
        <w:spacing w:after="120" w:line="360" w:lineRule="auto"/>
        <w:jc w:val="both"/>
        <w:rPr>
          <w:rFonts w:cs="FrankRuehl"/>
          <w:b/>
          <w:bCs/>
          <w:sz w:val="28"/>
          <w:szCs w:val="28"/>
          <w:u w:val="single"/>
          <w:rtl/>
        </w:rPr>
      </w:pPr>
      <w:r>
        <w:rPr>
          <w:rFonts w:cs="FrankRuehl" w:hint="cs"/>
          <w:b/>
          <w:bCs/>
          <w:sz w:val="28"/>
          <w:szCs w:val="28"/>
          <w:u w:val="single"/>
          <w:rtl/>
        </w:rPr>
        <w:t>סוף דבר</w:t>
      </w:r>
    </w:p>
    <w:p w14:paraId="0D880AD8" w14:textId="77777777" w:rsidR="001271AC" w:rsidRDefault="00E96118">
      <w:pPr>
        <w:spacing w:line="360" w:lineRule="auto"/>
        <w:jc w:val="both"/>
        <w:rPr>
          <w:rFonts w:cs="FrankRuehl"/>
          <w:sz w:val="28"/>
          <w:szCs w:val="28"/>
          <w:rtl/>
        </w:rPr>
      </w:pPr>
      <w:r>
        <w:rPr>
          <w:rFonts w:cs="FrankRuehl" w:hint="cs"/>
          <w:sz w:val="28"/>
          <w:szCs w:val="28"/>
          <w:rtl/>
        </w:rPr>
        <w:t>15.</w:t>
      </w:r>
      <w:r>
        <w:rPr>
          <w:rFonts w:cs="FrankRuehl" w:hint="cs"/>
          <w:sz w:val="28"/>
          <w:szCs w:val="28"/>
          <w:rtl/>
        </w:rPr>
        <w:tab/>
        <w:t xml:space="preserve">נוכח מכלול הטעמים שפורטו, אני רואה לגזור על הנאשם בגין </w:t>
      </w:r>
      <w:hyperlink r:id="rId47" w:history="1">
        <w:r w:rsidRPr="00E96118">
          <w:rPr>
            <w:rFonts w:cs="FrankRuehl"/>
            <w:color w:val="0000FF"/>
            <w:sz w:val="28"/>
            <w:szCs w:val="28"/>
            <w:u w:val="single"/>
            <w:rtl/>
          </w:rPr>
          <w:t>ת"פ 23836-05-13</w:t>
        </w:r>
      </w:hyperlink>
      <w:r>
        <w:rPr>
          <w:rFonts w:cs="FrankRuehl" w:hint="cs"/>
          <w:sz w:val="28"/>
          <w:szCs w:val="28"/>
          <w:rtl/>
        </w:rPr>
        <w:t xml:space="preserve"> ובגין </w:t>
      </w:r>
      <w:hyperlink r:id="rId48" w:history="1">
        <w:r w:rsidRPr="00E96118">
          <w:rPr>
            <w:rFonts w:cs="FrankRuehl"/>
            <w:color w:val="0000FF"/>
            <w:sz w:val="28"/>
            <w:szCs w:val="28"/>
            <w:u w:val="single"/>
            <w:rtl/>
          </w:rPr>
          <w:t>ת"פ 44395-01-14</w:t>
        </w:r>
      </w:hyperlink>
      <w:r>
        <w:rPr>
          <w:rFonts w:cs="FrankRuehl" w:hint="cs"/>
          <w:sz w:val="28"/>
          <w:szCs w:val="28"/>
          <w:rtl/>
        </w:rPr>
        <w:t xml:space="preserve"> עונש כולל כדלקמן:</w:t>
      </w:r>
    </w:p>
    <w:p w14:paraId="3714A808" w14:textId="77777777" w:rsidR="001271AC" w:rsidRDefault="00E96118">
      <w:pPr>
        <w:spacing w:after="120" w:line="360" w:lineRule="auto"/>
        <w:jc w:val="both"/>
        <w:rPr>
          <w:rFonts w:cs="FrankRuehl"/>
          <w:sz w:val="28"/>
          <w:szCs w:val="28"/>
          <w:rtl/>
        </w:rPr>
      </w:pPr>
      <w:r>
        <w:rPr>
          <w:rFonts w:cs="FrankRuehl" w:hint="cs"/>
          <w:sz w:val="28"/>
          <w:szCs w:val="28"/>
          <w:rtl/>
        </w:rPr>
        <w:t>א.</w:t>
      </w:r>
      <w:r>
        <w:rPr>
          <w:rFonts w:cs="FrankRuehl" w:hint="cs"/>
          <w:sz w:val="28"/>
          <w:szCs w:val="28"/>
          <w:rtl/>
        </w:rPr>
        <w:tab/>
        <w:t>12 חודשי מאסר בפועל, בניכוי ימי מעצרו בשני התיקים (מיום 7.5.2013 ועד 30.5.2013 וכן מיום 13.1.2014 ואילך).</w:t>
      </w:r>
    </w:p>
    <w:p w14:paraId="2E7F1126" w14:textId="77777777" w:rsidR="001271AC" w:rsidRDefault="00E96118">
      <w:pPr>
        <w:spacing w:after="120" w:line="360" w:lineRule="auto"/>
        <w:jc w:val="both"/>
        <w:rPr>
          <w:rFonts w:cs="FrankRuehl"/>
          <w:sz w:val="28"/>
          <w:szCs w:val="28"/>
          <w:rtl/>
        </w:rPr>
      </w:pPr>
      <w:r>
        <w:rPr>
          <w:rFonts w:cs="FrankRuehl" w:hint="cs"/>
          <w:sz w:val="28"/>
          <w:szCs w:val="28"/>
          <w:rtl/>
        </w:rPr>
        <w:t>ב.</w:t>
      </w:r>
      <w:r>
        <w:rPr>
          <w:rFonts w:cs="FrankRuehl" w:hint="cs"/>
          <w:sz w:val="28"/>
          <w:szCs w:val="28"/>
          <w:rtl/>
        </w:rPr>
        <w:tab/>
        <w:t>מאסר על תנאי לתקופה של 6 חודשים למשך שנתיים מיום שחרורו של הנאשם ממאסר. התנאי הוא שהנאשם לא יעבור כל עבירת סמים מסוג פשע.</w:t>
      </w:r>
    </w:p>
    <w:p w14:paraId="5BC1BB44" w14:textId="77777777" w:rsidR="001271AC" w:rsidRDefault="00E96118">
      <w:pPr>
        <w:spacing w:after="120" w:line="360" w:lineRule="auto"/>
        <w:jc w:val="both"/>
        <w:rPr>
          <w:rFonts w:cs="FrankRuehl"/>
          <w:sz w:val="28"/>
          <w:szCs w:val="28"/>
          <w:rtl/>
        </w:rPr>
      </w:pPr>
      <w:r>
        <w:rPr>
          <w:rFonts w:cs="FrankRuehl" w:hint="cs"/>
          <w:sz w:val="28"/>
          <w:szCs w:val="28"/>
          <w:rtl/>
        </w:rPr>
        <w:t>ג.</w:t>
      </w:r>
      <w:r>
        <w:rPr>
          <w:rFonts w:cs="FrankRuehl" w:hint="cs"/>
          <w:sz w:val="28"/>
          <w:szCs w:val="28"/>
          <w:rtl/>
        </w:rPr>
        <w:tab/>
        <w:t xml:space="preserve">מאסר על תנאי לתקופה של 3 חודשים למשך שנתיים מיום שחרורו של הנאשם ממאסר. התנאי הוא שהנאשם לא יעבור כל עבירת סמים מסוג עוון. </w:t>
      </w:r>
    </w:p>
    <w:p w14:paraId="3239FF17" w14:textId="77777777" w:rsidR="001271AC" w:rsidRDefault="00E96118">
      <w:pPr>
        <w:spacing w:after="120" w:line="360" w:lineRule="auto"/>
        <w:jc w:val="both"/>
        <w:rPr>
          <w:rFonts w:cs="FrankRuehl"/>
          <w:sz w:val="28"/>
          <w:szCs w:val="28"/>
          <w:rtl/>
        </w:rPr>
      </w:pPr>
      <w:r>
        <w:rPr>
          <w:rFonts w:cs="FrankRuehl" w:hint="cs"/>
          <w:sz w:val="28"/>
          <w:szCs w:val="28"/>
          <w:rtl/>
        </w:rPr>
        <w:t>ד.</w:t>
      </w:r>
      <w:r>
        <w:rPr>
          <w:rFonts w:cs="FrankRuehl" w:hint="cs"/>
          <w:sz w:val="28"/>
          <w:szCs w:val="28"/>
          <w:rtl/>
        </w:rPr>
        <w:tab/>
        <w:t xml:space="preserve">מאסר על תנאי למשך 3 חודשים למשך שנתיים מיום שחרורו של הנאשם ממאסר. התנאי הוא שהנאשם לא יעבור כל עבירה לפי </w:t>
      </w:r>
      <w:hyperlink r:id="rId49" w:history="1">
        <w:r w:rsidRPr="00E96118">
          <w:rPr>
            <w:rFonts w:cs="FrankRuehl"/>
            <w:color w:val="0000FF"/>
            <w:sz w:val="28"/>
            <w:szCs w:val="28"/>
            <w:u w:val="single"/>
            <w:rtl/>
          </w:rPr>
          <w:t>חוק הכניסה לישראל</w:t>
        </w:r>
      </w:hyperlink>
      <w:r>
        <w:rPr>
          <w:rFonts w:cs="FrankRuehl" w:hint="cs"/>
          <w:sz w:val="28"/>
          <w:szCs w:val="28"/>
          <w:rtl/>
        </w:rPr>
        <w:t xml:space="preserve"> (לרבות סיוע להן); או עבירה של תקיפת שוטרים; או עבירות לפי </w:t>
      </w:r>
      <w:hyperlink r:id="rId50" w:history="1">
        <w:r w:rsidR="006D4521" w:rsidRPr="006D4521">
          <w:rPr>
            <w:rStyle w:val="Hyperlink"/>
            <w:rFonts w:cs="FrankRuehl" w:hint="eastAsia"/>
            <w:sz w:val="28"/>
            <w:szCs w:val="28"/>
            <w:rtl/>
          </w:rPr>
          <w:t>סעיפים</w:t>
        </w:r>
        <w:r w:rsidR="006D4521" w:rsidRPr="006D4521">
          <w:rPr>
            <w:rStyle w:val="Hyperlink"/>
            <w:rFonts w:cs="FrankRuehl"/>
            <w:sz w:val="28"/>
            <w:szCs w:val="28"/>
            <w:rtl/>
          </w:rPr>
          <w:t xml:space="preserve"> 441</w:t>
        </w:r>
      </w:hyperlink>
      <w:r>
        <w:rPr>
          <w:rFonts w:cs="FrankRuehl" w:hint="cs"/>
          <w:sz w:val="28"/>
          <w:szCs w:val="28"/>
          <w:rtl/>
        </w:rPr>
        <w:t xml:space="preserve"> או </w:t>
      </w:r>
      <w:hyperlink r:id="rId51" w:history="1">
        <w:r w:rsidR="006D4521" w:rsidRPr="006D4521">
          <w:rPr>
            <w:rStyle w:val="Hyperlink"/>
            <w:rFonts w:cs="FrankRuehl"/>
            <w:sz w:val="28"/>
            <w:szCs w:val="28"/>
            <w:rtl/>
          </w:rPr>
          <w:t>287(א)</w:t>
        </w:r>
      </w:hyperlink>
      <w:r>
        <w:rPr>
          <w:rFonts w:cs="FrankRuehl" w:hint="cs"/>
          <w:sz w:val="28"/>
          <w:szCs w:val="28"/>
          <w:rtl/>
        </w:rPr>
        <w:t xml:space="preserve"> ל</w:t>
      </w:r>
      <w:hyperlink r:id="rId52" w:history="1">
        <w:r w:rsidRPr="00E96118">
          <w:rPr>
            <w:rFonts w:cs="FrankRuehl"/>
            <w:color w:val="0000FF"/>
            <w:sz w:val="28"/>
            <w:szCs w:val="28"/>
            <w:u w:val="single"/>
            <w:rtl/>
          </w:rPr>
          <w:t>חוק העונשין</w:t>
        </w:r>
      </w:hyperlink>
      <w:r>
        <w:rPr>
          <w:rFonts w:cs="FrankRuehl" w:hint="cs"/>
          <w:sz w:val="28"/>
          <w:szCs w:val="28"/>
          <w:rtl/>
        </w:rPr>
        <w:t xml:space="preserve">. </w:t>
      </w:r>
    </w:p>
    <w:p w14:paraId="75FBD198" w14:textId="77777777" w:rsidR="001271AC" w:rsidRDefault="00E96118">
      <w:pPr>
        <w:spacing w:after="120" w:line="360" w:lineRule="auto"/>
        <w:jc w:val="both"/>
        <w:rPr>
          <w:rFonts w:cs="FrankRuehl"/>
          <w:sz w:val="28"/>
          <w:szCs w:val="28"/>
          <w:rtl/>
        </w:rPr>
      </w:pPr>
      <w:r>
        <w:rPr>
          <w:rFonts w:cs="FrankRuehl" w:hint="cs"/>
          <w:sz w:val="28"/>
          <w:szCs w:val="28"/>
          <w:rtl/>
        </w:rPr>
        <w:t>ה.</w:t>
      </w:r>
      <w:r>
        <w:rPr>
          <w:rFonts w:cs="FrankRuehl" w:hint="cs"/>
          <w:sz w:val="28"/>
          <w:szCs w:val="28"/>
          <w:rtl/>
        </w:rPr>
        <w:tab/>
        <w:t xml:space="preserve">4 חודשי פסילה בפועל מלקבל או מלהחזיק רישיון נהיגה החל מיום שחרורו ממאסר. הודעה על כך נמסרת כעת לנאשם. </w:t>
      </w:r>
    </w:p>
    <w:p w14:paraId="58A4B5EB" w14:textId="77777777" w:rsidR="001271AC" w:rsidRDefault="00E96118">
      <w:pPr>
        <w:spacing w:after="120" w:line="360" w:lineRule="auto"/>
        <w:jc w:val="both"/>
        <w:rPr>
          <w:rFonts w:cs="FrankRuehl"/>
          <w:sz w:val="28"/>
          <w:szCs w:val="28"/>
          <w:rtl/>
        </w:rPr>
      </w:pPr>
      <w:r>
        <w:rPr>
          <w:rFonts w:cs="FrankRuehl" w:hint="cs"/>
          <w:sz w:val="28"/>
          <w:szCs w:val="28"/>
          <w:rtl/>
        </w:rPr>
        <w:t>ו.</w:t>
      </w:r>
      <w:r>
        <w:rPr>
          <w:rFonts w:cs="FrankRuehl" w:hint="cs"/>
          <w:sz w:val="28"/>
          <w:szCs w:val="28"/>
          <w:rtl/>
        </w:rPr>
        <w:tab/>
        <w:t xml:space="preserve">8 חודשי פסילה על-תנאי מלקבל או מלהחזיק רישיון נהיגה, לבל יעבור הנאשם כל עבירה לפי פקודת הסמים במשך שנתיים מיום שחרורו ממאסר. </w:t>
      </w:r>
    </w:p>
    <w:p w14:paraId="41E3E265" w14:textId="77777777" w:rsidR="001271AC" w:rsidRDefault="00E96118">
      <w:pPr>
        <w:spacing w:after="120" w:line="360" w:lineRule="auto"/>
        <w:jc w:val="both"/>
        <w:rPr>
          <w:rFonts w:cs="FrankRuehl"/>
          <w:sz w:val="28"/>
          <w:szCs w:val="28"/>
          <w:rtl/>
        </w:rPr>
      </w:pPr>
      <w:r>
        <w:rPr>
          <w:rFonts w:cs="FrankRuehl" w:hint="cs"/>
          <w:sz w:val="28"/>
          <w:szCs w:val="28"/>
          <w:rtl/>
        </w:rPr>
        <w:t>ז.</w:t>
      </w:r>
      <w:r>
        <w:rPr>
          <w:rFonts w:cs="FrankRuehl" w:hint="cs"/>
          <w:sz w:val="28"/>
          <w:szCs w:val="28"/>
          <w:rtl/>
        </w:rPr>
        <w:tab/>
        <w:t>מכשיר הטלפון הנייד של הנאשם שנתפס במסגרת התיק העיקרי, יחולט.</w:t>
      </w:r>
    </w:p>
    <w:p w14:paraId="5E71175A" w14:textId="77777777" w:rsidR="001271AC" w:rsidRDefault="00E96118">
      <w:pPr>
        <w:spacing w:after="120" w:line="360" w:lineRule="auto"/>
        <w:jc w:val="both"/>
        <w:rPr>
          <w:rFonts w:cs="FrankRuehl"/>
          <w:sz w:val="28"/>
          <w:szCs w:val="28"/>
          <w:rtl/>
        </w:rPr>
      </w:pPr>
      <w:r>
        <w:rPr>
          <w:rFonts w:cs="FrankRuehl" w:hint="cs"/>
          <w:sz w:val="28"/>
          <w:szCs w:val="28"/>
          <w:rtl/>
        </w:rPr>
        <w:t>ח.</w:t>
      </w:r>
      <w:r>
        <w:rPr>
          <w:rFonts w:cs="FrankRuehl" w:hint="cs"/>
          <w:sz w:val="28"/>
          <w:szCs w:val="28"/>
          <w:rtl/>
        </w:rPr>
        <w:tab/>
        <w:t>ככל שנתפסו סמים, יש להשמידם.</w:t>
      </w:r>
    </w:p>
    <w:p w14:paraId="3399CFA8" w14:textId="77777777" w:rsidR="001271AC" w:rsidRDefault="00E96118">
      <w:pPr>
        <w:spacing w:after="120" w:line="360" w:lineRule="auto"/>
        <w:jc w:val="both"/>
        <w:rPr>
          <w:rFonts w:cs="FrankRuehl"/>
          <w:sz w:val="28"/>
          <w:szCs w:val="28"/>
          <w:rtl/>
        </w:rPr>
      </w:pPr>
      <w:r>
        <w:rPr>
          <w:rFonts w:cs="FrankRuehl" w:hint="cs"/>
          <w:sz w:val="28"/>
          <w:szCs w:val="28"/>
          <w:rtl/>
        </w:rPr>
        <w:tab/>
      </w:r>
    </w:p>
    <w:p w14:paraId="2EC03274" w14:textId="77777777" w:rsidR="001271AC" w:rsidRDefault="00E96118">
      <w:pPr>
        <w:spacing w:after="120" w:line="360" w:lineRule="auto"/>
        <w:ind w:firstLine="720"/>
        <w:jc w:val="both"/>
        <w:rPr>
          <w:rFonts w:cs="FrankRuehl"/>
          <w:b/>
          <w:bCs/>
          <w:sz w:val="28"/>
          <w:szCs w:val="28"/>
          <w:rtl/>
        </w:rPr>
      </w:pPr>
      <w:r>
        <w:rPr>
          <w:rFonts w:cs="FrankRuehl" w:hint="cs"/>
          <w:b/>
          <w:bCs/>
          <w:sz w:val="28"/>
          <w:szCs w:val="28"/>
          <w:rtl/>
        </w:rPr>
        <w:t>המזכירות תמציא העתק פרוטוקול זה לשירות המבחן למבוגרים.</w:t>
      </w:r>
    </w:p>
    <w:p w14:paraId="1E5C5E7D" w14:textId="77777777" w:rsidR="001271AC" w:rsidRDefault="001271AC">
      <w:pPr>
        <w:ind w:firstLine="720"/>
        <w:rPr>
          <w:rFonts w:cs="FrankRuehl"/>
          <w:b/>
          <w:bCs/>
          <w:sz w:val="28"/>
          <w:szCs w:val="28"/>
          <w:rtl/>
        </w:rPr>
      </w:pPr>
    </w:p>
    <w:p w14:paraId="58A1ACC9" w14:textId="77777777" w:rsidR="001271AC" w:rsidRDefault="00E96118">
      <w:pPr>
        <w:ind w:firstLine="720"/>
        <w:rPr>
          <w:rFonts w:ascii="David" w:hAnsi="David"/>
          <w:rtl/>
        </w:rPr>
      </w:pPr>
      <w:r>
        <w:rPr>
          <w:rFonts w:cs="FrankRuehl" w:hint="cs"/>
          <w:b/>
          <w:bCs/>
          <w:sz w:val="28"/>
          <w:szCs w:val="28"/>
          <w:rtl/>
        </w:rPr>
        <w:t>זכות ערעור לבית המשפט המחוזי תוך 45 ימים מהיום.</w:t>
      </w:r>
    </w:p>
    <w:p w14:paraId="4D6E90E2" w14:textId="77777777" w:rsidR="001271AC" w:rsidRDefault="001271AC">
      <w:pPr>
        <w:rPr>
          <w:rFonts w:cs="FrankRuehl"/>
          <w:sz w:val="28"/>
          <w:szCs w:val="28"/>
          <w:rtl/>
        </w:rPr>
      </w:pPr>
    </w:p>
    <w:p w14:paraId="25B8FD3A" w14:textId="77777777" w:rsidR="001271AC" w:rsidRPr="00E96118" w:rsidRDefault="00E96118">
      <w:pPr>
        <w:rPr>
          <w:rFonts w:cs="FrankRuehl"/>
          <w:color w:val="FFFFFF"/>
          <w:sz w:val="2"/>
          <w:szCs w:val="2"/>
          <w:rtl/>
        </w:rPr>
      </w:pPr>
      <w:r w:rsidRPr="00E96118">
        <w:rPr>
          <w:rFonts w:cs="FrankRuehl"/>
          <w:color w:val="FFFFFF"/>
          <w:sz w:val="2"/>
          <w:szCs w:val="2"/>
          <w:rtl/>
        </w:rPr>
        <w:t>5129371</w:t>
      </w:r>
    </w:p>
    <w:p w14:paraId="44D76CB7" w14:textId="77777777" w:rsidR="001271AC" w:rsidRDefault="00E96118">
      <w:pPr>
        <w:rPr>
          <w:rFonts w:cs="FrankRuehl"/>
          <w:sz w:val="28"/>
          <w:szCs w:val="28"/>
          <w:rtl/>
        </w:rPr>
      </w:pPr>
      <w:r w:rsidRPr="00E96118">
        <w:rPr>
          <w:rFonts w:ascii="Arial" w:hAnsi="Arial" w:cs="FrankRuehl"/>
          <w:color w:val="FFFFFF"/>
          <w:sz w:val="2"/>
          <w:szCs w:val="2"/>
          <w:rtl/>
        </w:rPr>
        <w:t>54678313</w:t>
      </w:r>
      <w:r>
        <w:rPr>
          <w:rFonts w:ascii="Arial" w:hAnsi="Arial" w:cs="FrankRuehl"/>
          <w:sz w:val="28"/>
          <w:szCs w:val="28"/>
          <w:rtl/>
        </w:rPr>
        <w:t xml:space="preserve">ניתן היום,  י"ד סיוון תשע"ד, 12 יוני 2014, במעמד הצדדים. </w:t>
      </w:r>
    </w:p>
    <w:p w14:paraId="17728FBC" w14:textId="77777777" w:rsidR="001271AC" w:rsidRDefault="001271AC">
      <w:pPr>
        <w:jc w:val="right"/>
        <w:rPr>
          <w:rtl/>
        </w:rPr>
      </w:pPr>
    </w:p>
    <w:p w14:paraId="2100DE50" w14:textId="77777777" w:rsidR="001271AC" w:rsidRDefault="001271AC">
      <w:pPr>
        <w:jc w:val="right"/>
        <w:rPr>
          <w:rFonts w:ascii="Arial" w:hAnsi="Arial" w:cs="FrankRuehl"/>
          <w:sz w:val="28"/>
          <w:szCs w:val="28"/>
          <w:rtl/>
        </w:rPr>
      </w:pPr>
    </w:p>
    <w:p w14:paraId="395D73B0" w14:textId="77777777" w:rsidR="001271AC" w:rsidRDefault="001271AC">
      <w:pPr>
        <w:rPr>
          <w:rFonts w:cs="FrankRuehl"/>
          <w:sz w:val="28"/>
          <w:szCs w:val="28"/>
          <w:rtl/>
        </w:rPr>
      </w:pPr>
    </w:p>
    <w:p w14:paraId="512BEB7F" w14:textId="77777777" w:rsidR="001271AC" w:rsidRDefault="001271AC">
      <w:pPr>
        <w:pStyle w:val="a3"/>
        <w:jc w:val="center"/>
        <w:rPr>
          <w:rtl/>
        </w:rPr>
      </w:pPr>
    </w:p>
    <w:p w14:paraId="1CF648B2" w14:textId="77777777" w:rsidR="00E96118" w:rsidRPr="00E96118" w:rsidRDefault="00E96118" w:rsidP="00E96118">
      <w:pPr>
        <w:keepNext/>
        <w:rPr>
          <w:rFonts w:ascii="David" w:hAnsi="David"/>
          <w:color w:val="000000"/>
          <w:sz w:val="22"/>
          <w:szCs w:val="22"/>
          <w:rtl/>
        </w:rPr>
      </w:pPr>
    </w:p>
    <w:p w14:paraId="2F4F9B2C" w14:textId="77777777" w:rsidR="00E96118" w:rsidRPr="00E96118" w:rsidRDefault="00E96118" w:rsidP="00E96118">
      <w:pPr>
        <w:keepNext/>
        <w:rPr>
          <w:rFonts w:ascii="David" w:hAnsi="David"/>
          <w:color w:val="000000"/>
          <w:sz w:val="22"/>
          <w:szCs w:val="22"/>
          <w:rtl/>
        </w:rPr>
      </w:pPr>
      <w:r w:rsidRPr="00E96118">
        <w:rPr>
          <w:rFonts w:ascii="David" w:hAnsi="David"/>
          <w:color w:val="000000"/>
          <w:sz w:val="22"/>
          <w:szCs w:val="22"/>
          <w:rtl/>
        </w:rPr>
        <w:t>דנה כהן לקח 54678313</w:t>
      </w:r>
    </w:p>
    <w:p w14:paraId="1C00BDE7" w14:textId="77777777" w:rsidR="00E96118" w:rsidRDefault="00E96118" w:rsidP="00E96118">
      <w:r w:rsidRPr="00E96118">
        <w:rPr>
          <w:color w:val="000000"/>
          <w:rtl/>
        </w:rPr>
        <w:t>נוסח מסמך זה כפוף לשינויי ניסוח ועריכה</w:t>
      </w:r>
    </w:p>
    <w:p w14:paraId="6382155E" w14:textId="77777777" w:rsidR="00E96118" w:rsidRDefault="00E96118" w:rsidP="00E96118">
      <w:pPr>
        <w:rPr>
          <w:rtl/>
        </w:rPr>
      </w:pPr>
    </w:p>
    <w:p w14:paraId="107A97CF" w14:textId="77777777" w:rsidR="00E96118" w:rsidRDefault="00E96118" w:rsidP="00E96118">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4A1E9FD0" w14:textId="77777777" w:rsidR="001271AC" w:rsidRPr="00E96118" w:rsidRDefault="001271AC" w:rsidP="00E96118">
      <w:pPr>
        <w:jc w:val="center"/>
        <w:rPr>
          <w:color w:val="0000FF"/>
          <w:u w:val="single"/>
        </w:rPr>
      </w:pPr>
    </w:p>
    <w:sectPr w:rsidR="001271AC" w:rsidRPr="00E96118" w:rsidSect="00E96118">
      <w:headerReference w:type="even" r:id="rId54"/>
      <w:headerReference w:type="default" r:id="rId55"/>
      <w:footerReference w:type="even" r:id="rId56"/>
      <w:footerReference w:type="default" r:id="rId57"/>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B70F2" w14:textId="77777777" w:rsidR="00BF461C" w:rsidRPr="003E2D30" w:rsidRDefault="00BF461C">
      <w:pPr>
        <w:rPr>
          <w:rFonts w:cs="Arial"/>
          <w:szCs w:val="20"/>
        </w:rPr>
      </w:pPr>
      <w:r>
        <w:separator/>
      </w:r>
    </w:p>
  </w:endnote>
  <w:endnote w:type="continuationSeparator" w:id="0">
    <w:p w14:paraId="1A0FB637" w14:textId="77777777" w:rsidR="00BF461C" w:rsidRPr="003E2D30" w:rsidRDefault="00BF461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CBBD5" w14:textId="77777777" w:rsidR="00E96118" w:rsidRDefault="00E96118" w:rsidP="00E9611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32EA217" w14:textId="77777777" w:rsidR="001271AC" w:rsidRPr="00E96118" w:rsidRDefault="00E96118" w:rsidP="00E96118">
    <w:pPr>
      <w:pStyle w:val="a4"/>
      <w:pBdr>
        <w:top w:val="single" w:sz="4" w:space="1" w:color="auto"/>
        <w:between w:val="single" w:sz="4" w:space="0" w:color="auto"/>
      </w:pBdr>
      <w:spacing w:after="60"/>
      <w:jc w:val="center"/>
      <w:rPr>
        <w:rFonts w:ascii="FrankRuehl" w:hAnsi="FrankRuehl" w:cs="FrankRuehl"/>
        <w:color w:val="000000"/>
      </w:rPr>
    </w:pPr>
    <w:r w:rsidRPr="00E9611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54B4E" w14:textId="77777777" w:rsidR="00E96118" w:rsidRDefault="00E96118" w:rsidP="00E9611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5FC7">
      <w:rPr>
        <w:rFonts w:ascii="FrankRuehl" w:hAnsi="FrankRuehl" w:cs="FrankRuehl"/>
        <w:noProof/>
        <w:rtl/>
      </w:rPr>
      <w:t>1</w:t>
    </w:r>
    <w:r>
      <w:rPr>
        <w:rFonts w:ascii="FrankRuehl" w:hAnsi="FrankRuehl" w:cs="FrankRuehl"/>
        <w:rtl/>
      </w:rPr>
      <w:fldChar w:fldCharType="end"/>
    </w:r>
  </w:p>
  <w:p w14:paraId="3EE6AFB3" w14:textId="77777777" w:rsidR="001271AC" w:rsidRPr="00E96118" w:rsidRDefault="00E96118" w:rsidP="00E96118">
    <w:pPr>
      <w:pStyle w:val="a4"/>
      <w:pBdr>
        <w:top w:val="single" w:sz="4" w:space="1" w:color="auto"/>
        <w:between w:val="single" w:sz="4" w:space="0" w:color="auto"/>
      </w:pBdr>
      <w:spacing w:after="60"/>
      <w:jc w:val="center"/>
      <w:rPr>
        <w:rFonts w:ascii="FrankRuehl" w:hAnsi="FrankRuehl" w:cs="FrankRuehl"/>
        <w:color w:val="000000"/>
      </w:rPr>
    </w:pPr>
    <w:r w:rsidRPr="00E96118">
      <w:rPr>
        <w:rFonts w:ascii="FrankRuehl" w:hAnsi="FrankRuehl" w:cs="FrankRuehl"/>
        <w:color w:val="000000"/>
      </w:rPr>
      <w:pict w14:anchorId="6896C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F3AFE" w14:textId="77777777" w:rsidR="00BF461C" w:rsidRPr="003E2D30" w:rsidRDefault="00BF461C">
      <w:pPr>
        <w:rPr>
          <w:rFonts w:cs="Arial"/>
          <w:szCs w:val="20"/>
        </w:rPr>
      </w:pPr>
      <w:r>
        <w:separator/>
      </w:r>
    </w:p>
  </w:footnote>
  <w:footnote w:type="continuationSeparator" w:id="0">
    <w:p w14:paraId="269DC3DD" w14:textId="77777777" w:rsidR="00BF461C" w:rsidRPr="003E2D30" w:rsidRDefault="00BF461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DC6F7" w14:textId="77777777" w:rsidR="00E96118" w:rsidRPr="00E96118" w:rsidRDefault="00E96118" w:rsidP="00E961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23836-05-13</w:t>
    </w:r>
    <w:r>
      <w:rPr>
        <w:rFonts w:ascii="David" w:hAnsi="David"/>
        <w:color w:val="000000"/>
        <w:sz w:val="22"/>
        <w:szCs w:val="22"/>
        <w:rtl/>
      </w:rPr>
      <w:tab/>
      <w:t xml:space="preserve"> מדינת ישראל נ' חסן אל שער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4FA9F" w14:textId="77777777" w:rsidR="00E96118" w:rsidRPr="00E96118" w:rsidRDefault="00E96118" w:rsidP="00E961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23836-05-13</w:t>
    </w:r>
    <w:r>
      <w:rPr>
        <w:rFonts w:ascii="David" w:hAnsi="David"/>
        <w:color w:val="000000"/>
        <w:sz w:val="22"/>
        <w:szCs w:val="22"/>
        <w:rtl/>
      </w:rPr>
      <w:tab/>
      <w:t xml:space="preserve"> מדינת ישראל נ' חסן אל שער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71AC"/>
    <w:rsid w:val="001271AC"/>
    <w:rsid w:val="001B6390"/>
    <w:rsid w:val="006D4521"/>
    <w:rsid w:val="00715FC7"/>
    <w:rsid w:val="00BF461C"/>
    <w:rsid w:val="00D33B31"/>
    <w:rsid w:val="00E961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686637A"/>
  <w15:chartTrackingRefBased/>
  <w15:docId w15:val="{A6B5D85C-81F8-4CFE-97F1-94F7D3A4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71A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271AC"/>
    <w:pPr>
      <w:tabs>
        <w:tab w:val="center" w:pos="4153"/>
        <w:tab w:val="right" w:pos="8306"/>
      </w:tabs>
    </w:pPr>
  </w:style>
  <w:style w:type="paragraph" w:styleId="a4">
    <w:name w:val="footer"/>
    <w:basedOn w:val="a"/>
    <w:rsid w:val="001271AC"/>
    <w:pPr>
      <w:tabs>
        <w:tab w:val="center" w:pos="4153"/>
        <w:tab w:val="right" w:pos="8306"/>
      </w:tabs>
    </w:pPr>
  </w:style>
  <w:style w:type="character" w:styleId="a5">
    <w:name w:val="page number"/>
    <w:basedOn w:val="a0"/>
    <w:rsid w:val="001271AC"/>
  </w:style>
  <w:style w:type="character" w:styleId="Hyperlink">
    <w:name w:val="Hyperlink"/>
    <w:basedOn w:val="a0"/>
    <w:rsid w:val="001271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441" TargetMode="External"/><Relationship Id="rId26" Type="http://schemas.openxmlformats.org/officeDocument/2006/relationships/hyperlink" Target="http://www.nevo.co.il/law/4216/19a" TargetMode="External"/><Relationship Id="rId39" Type="http://schemas.openxmlformats.org/officeDocument/2006/relationships/hyperlink" Target="http://www.nevo.co.il/law/70301/40jc" TargetMode="External"/><Relationship Id="rId21" Type="http://schemas.openxmlformats.org/officeDocument/2006/relationships/hyperlink" Target="http://www.nevo.co.il/case/7832787" TargetMode="External"/><Relationship Id="rId34" Type="http://schemas.openxmlformats.org/officeDocument/2006/relationships/hyperlink" Target="http://www.nevo.co.il/law/90721"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7832787" TargetMode="External"/><Relationship Id="rId50" Type="http://schemas.openxmlformats.org/officeDocument/2006/relationships/hyperlink" Target="http://www.nevo.co.il/law/70301/441" TargetMode="External"/><Relationship Id="rId55" Type="http://schemas.openxmlformats.org/officeDocument/2006/relationships/header" Target="header2.xml"/><Relationship Id="rId7" Type="http://schemas.openxmlformats.org/officeDocument/2006/relationships/hyperlink" Target="http://www.nevo.co.il/law/4216/13" TargetMode="External"/><Relationship Id="rId2" Type="http://schemas.openxmlformats.org/officeDocument/2006/relationships/settings" Target="settings.xml"/><Relationship Id="rId16" Type="http://schemas.openxmlformats.org/officeDocument/2006/relationships/hyperlink" Target="http://www.nevo.co.il/law/70301/40jc.a" TargetMode="External"/><Relationship Id="rId29" Type="http://schemas.openxmlformats.org/officeDocument/2006/relationships/hyperlink" Target="http://www.nevo.co.il/case/11264251" TargetMode="External"/><Relationship Id="rId11" Type="http://schemas.openxmlformats.org/officeDocument/2006/relationships/hyperlink" Target="http://www.nevo.co.il/law/70301/31" TargetMode="External"/><Relationship Id="rId24" Type="http://schemas.openxmlformats.org/officeDocument/2006/relationships/hyperlink" Target="http://www.nevo.co.il/law/4216"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4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jc.b"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nevo.co.il/law/90721"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287.a"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70301/25" TargetMode="External"/><Relationship Id="rId30" Type="http://schemas.openxmlformats.org/officeDocument/2006/relationships/hyperlink" Target="http://www.nevo.co.il/case/7832786" TargetMode="External"/><Relationship Id="rId35" Type="http://schemas.openxmlformats.org/officeDocument/2006/relationships/hyperlink" Target="http://www.nevo.co.il/law/70301/31" TargetMode="External"/><Relationship Id="rId43" Type="http://schemas.openxmlformats.org/officeDocument/2006/relationships/hyperlink" Target="http://www.nevo.co.il/law/70301/40c.a" TargetMode="External"/><Relationship Id="rId48" Type="http://schemas.openxmlformats.org/officeDocument/2006/relationships/hyperlink" Target="http://www.nevo.co.il/case/11264251" TargetMode="External"/><Relationship Id="rId56" Type="http://schemas.openxmlformats.org/officeDocument/2006/relationships/footer" Target="footer1.xml"/><Relationship Id="rId8" Type="http://schemas.openxmlformats.org/officeDocument/2006/relationships/hyperlink" Target="http://www.nevo.co.il/law/4216/19a" TargetMode="External"/><Relationship Id="rId51" Type="http://schemas.openxmlformats.org/officeDocument/2006/relationships/hyperlink" Target="http://www.nevo.co.il/law/70301/287.a" TargetMode="External"/><Relationship Id="rId3" Type="http://schemas.openxmlformats.org/officeDocument/2006/relationships/webSettings" Target="web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4216/13" TargetMode="External"/><Relationship Id="rId33" Type="http://schemas.openxmlformats.org/officeDocument/2006/relationships/hyperlink" Target="http://www.nevo.co.il/law/90721/12.1" TargetMode="External"/><Relationship Id="rId38" Type="http://schemas.openxmlformats.org/officeDocument/2006/relationships/hyperlink" Target="http://www.nevo.co.il/case/13090102" TargetMode="External"/><Relationship Id="rId46" Type="http://schemas.openxmlformats.org/officeDocument/2006/relationships/hyperlink" Target="http://www.nevo.co.il/law/70301" TargetMode="External"/><Relationship Id="rId59" Type="http://schemas.openxmlformats.org/officeDocument/2006/relationships/theme" Target="theme/theme1.xml"/><Relationship Id="rId20" Type="http://schemas.openxmlformats.org/officeDocument/2006/relationships/hyperlink" Target="http://www.nevo.co.il/law/90721/12.1" TargetMode="External"/><Relationship Id="rId41" Type="http://schemas.openxmlformats.org/officeDocument/2006/relationships/hyperlink" Target="http://www.nevo.co.il/law/70301/40jc.a"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jc"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275" TargetMode="External"/><Relationship Id="rId49" Type="http://schemas.openxmlformats.org/officeDocument/2006/relationships/hyperlink" Target="http://www.nevo.co.il/law/90721" TargetMode="External"/><Relationship Id="rId57" Type="http://schemas.openxmlformats.org/officeDocument/2006/relationships/footer" Target="footer2.xml"/><Relationship Id="rId10" Type="http://schemas.openxmlformats.org/officeDocument/2006/relationships/hyperlink" Target="http://www.nevo.co.il/law/70301/25" TargetMode="External"/><Relationship Id="rId31" Type="http://schemas.openxmlformats.org/officeDocument/2006/relationships/hyperlink" Target="http://www.nevo.co.il/law/70301/287.a"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3174</Words>
  <Characters>15871</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19007</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7995492</vt:i4>
      </vt:variant>
      <vt:variant>
        <vt:i4>138</vt:i4>
      </vt:variant>
      <vt:variant>
        <vt:i4>0</vt:i4>
      </vt:variant>
      <vt:variant>
        <vt:i4>5</vt:i4>
      </vt:variant>
      <vt:variant>
        <vt:lpwstr>http://www.nevo.co.il/law/70301</vt:lpwstr>
      </vt:variant>
      <vt:variant>
        <vt:lpwstr/>
      </vt:variant>
      <vt:variant>
        <vt:i4>4390992</vt:i4>
      </vt:variant>
      <vt:variant>
        <vt:i4>135</vt:i4>
      </vt:variant>
      <vt:variant>
        <vt:i4>0</vt:i4>
      </vt:variant>
      <vt:variant>
        <vt:i4>5</vt:i4>
      </vt:variant>
      <vt:variant>
        <vt:lpwstr>http://www.nevo.co.il/law/70301/287.a</vt:lpwstr>
      </vt:variant>
      <vt:variant>
        <vt:lpwstr/>
      </vt:variant>
      <vt:variant>
        <vt:i4>6357089</vt:i4>
      </vt:variant>
      <vt:variant>
        <vt:i4>132</vt:i4>
      </vt:variant>
      <vt:variant>
        <vt:i4>0</vt:i4>
      </vt:variant>
      <vt:variant>
        <vt:i4>5</vt:i4>
      </vt:variant>
      <vt:variant>
        <vt:lpwstr>http://www.nevo.co.il/law/70301/441</vt:lpwstr>
      </vt:variant>
      <vt:variant>
        <vt:lpwstr/>
      </vt:variant>
      <vt:variant>
        <vt:i4>7864430</vt:i4>
      </vt:variant>
      <vt:variant>
        <vt:i4>129</vt:i4>
      </vt:variant>
      <vt:variant>
        <vt:i4>0</vt:i4>
      </vt:variant>
      <vt:variant>
        <vt:i4>5</vt:i4>
      </vt:variant>
      <vt:variant>
        <vt:lpwstr>http://www.nevo.co.il/law/90721</vt:lpwstr>
      </vt:variant>
      <vt:variant>
        <vt:lpwstr/>
      </vt:variant>
      <vt:variant>
        <vt:i4>3276913</vt:i4>
      </vt:variant>
      <vt:variant>
        <vt:i4>126</vt:i4>
      </vt:variant>
      <vt:variant>
        <vt:i4>0</vt:i4>
      </vt:variant>
      <vt:variant>
        <vt:i4>5</vt:i4>
      </vt:variant>
      <vt:variant>
        <vt:lpwstr>http://www.nevo.co.il/case/11264251</vt:lpwstr>
      </vt:variant>
      <vt:variant>
        <vt:lpwstr/>
      </vt:variant>
      <vt:variant>
        <vt:i4>3407990</vt:i4>
      </vt:variant>
      <vt:variant>
        <vt:i4>123</vt:i4>
      </vt:variant>
      <vt:variant>
        <vt:i4>0</vt:i4>
      </vt:variant>
      <vt:variant>
        <vt:i4>5</vt:i4>
      </vt:variant>
      <vt:variant>
        <vt:lpwstr>http://www.nevo.co.il/case/7832787</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6553637</vt:i4>
      </vt:variant>
      <vt:variant>
        <vt:i4>117</vt:i4>
      </vt:variant>
      <vt:variant>
        <vt:i4>0</vt:i4>
      </vt:variant>
      <vt:variant>
        <vt:i4>5</vt:i4>
      </vt:variant>
      <vt:variant>
        <vt:lpwstr>http://www.nevo.co.il/law/70301/40jc.b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4915202</vt:i4>
      </vt:variant>
      <vt:variant>
        <vt:i4>111</vt:i4>
      </vt:variant>
      <vt:variant>
        <vt:i4>0</vt:i4>
      </vt:variant>
      <vt:variant>
        <vt:i4>5</vt:i4>
      </vt:variant>
      <vt:variant>
        <vt:lpwstr>http://www.nevo.co.il/law/70301/40c.a</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6750245</vt:i4>
      </vt:variant>
      <vt:variant>
        <vt:i4>105</vt:i4>
      </vt:variant>
      <vt:variant>
        <vt:i4>0</vt:i4>
      </vt:variant>
      <vt:variant>
        <vt:i4>5</vt:i4>
      </vt:variant>
      <vt:variant>
        <vt:lpwstr>http://www.nevo.co.il/law/70301/40jc.a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3211391</vt:i4>
      </vt:variant>
      <vt:variant>
        <vt:i4>96</vt:i4>
      </vt:variant>
      <vt:variant>
        <vt:i4>0</vt:i4>
      </vt:variant>
      <vt:variant>
        <vt:i4>5</vt:i4>
      </vt:variant>
      <vt:variant>
        <vt:lpwstr>http://www.nevo.co.il/case/13090102</vt:lpwstr>
      </vt:variant>
      <vt:variant>
        <vt:lpwstr/>
      </vt:variant>
      <vt:variant>
        <vt:i4>6357089</vt:i4>
      </vt:variant>
      <vt:variant>
        <vt:i4>93</vt:i4>
      </vt:variant>
      <vt:variant>
        <vt:i4>0</vt:i4>
      </vt:variant>
      <vt:variant>
        <vt:i4>5</vt:i4>
      </vt:variant>
      <vt:variant>
        <vt:lpwstr>http://www.nevo.co.il/law/70301/441</vt:lpwstr>
      </vt:variant>
      <vt:variant>
        <vt:lpwstr/>
      </vt:variant>
      <vt:variant>
        <vt:i4>6422631</vt:i4>
      </vt:variant>
      <vt:variant>
        <vt:i4>90</vt:i4>
      </vt:variant>
      <vt:variant>
        <vt:i4>0</vt:i4>
      </vt:variant>
      <vt:variant>
        <vt:i4>5</vt:i4>
      </vt:variant>
      <vt:variant>
        <vt:lpwstr>http://www.nevo.co.il/law/70301/275</vt:lpwstr>
      </vt:variant>
      <vt:variant>
        <vt:lpwstr/>
      </vt:variant>
      <vt:variant>
        <vt:i4>6553702</vt:i4>
      </vt:variant>
      <vt:variant>
        <vt:i4>87</vt:i4>
      </vt:variant>
      <vt:variant>
        <vt:i4>0</vt:i4>
      </vt:variant>
      <vt:variant>
        <vt:i4>5</vt:i4>
      </vt:variant>
      <vt:variant>
        <vt:lpwstr>http://www.nevo.co.il/law/70301/31</vt:lpwstr>
      </vt:variant>
      <vt:variant>
        <vt:lpwstr/>
      </vt:variant>
      <vt:variant>
        <vt:i4>7864430</vt:i4>
      </vt:variant>
      <vt:variant>
        <vt:i4>84</vt:i4>
      </vt:variant>
      <vt:variant>
        <vt:i4>0</vt:i4>
      </vt:variant>
      <vt:variant>
        <vt:i4>5</vt:i4>
      </vt:variant>
      <vt:variant>
        <vt:lpwstr>http://www.nevo.co.il/law/90721</vt:lpwstr>
      </vt:variant>
      <vt:variant>
        <vt:lpwstr/>
      </vt:variant>
      <vt:variant>
        <vt:i4>5505088</vt:i4>
      </vt:variant>
      <vt:variant>
        <vt:i4>81</vt:i4>
      </vt:variant>
      <vt:variant>
        <vt:i4>0</vt:i4>
      </vt:variant>
      <vt:variant>
        <vt:i4>5</vt:i4>
      </vt:variant>
      <vt:variant>
        <vt:lpwstr>http://www.nevo.co.il/law/90721/12.1</vt:lpwstr>
      </vt:variant>
      <vt:variant>
        <vt:lpwstr/>
      </vt:variant>
      <vt:variant>
        <vt:i4>7995492</vt:i4>
      </vt:variant>
      <vt:variant>
        <vt:i4>78</vt:i4>
      </vt:variant>
      <vt:variant>
        <vt:i4>0</vt:i4>
      </vt:variant>
      <vt:variant>
        <vt:i4>5</vt:i4>
      </vt:variant>
      <vt:variant>
        <vt:lpwstr>http://www.nevo.co.il/law/70301</vt:lpwstr>
      </vt:variant>
      <vt:variant>
        <vt:lpwstr/>
      </vt:variant>
      <vt:variant>
        <vt:i4>4390992</vt:i4>
      </vt:variant>
      <vt:variant>
        <vt:i4>75</vt:i4>
      </vt:variant>
      <vt:variant>
        <vt:i4>0</vt:i4>
      </vt:variant>
      <vt:variant>
        <vt:i4>5</vt:i4>
      </vt:variant>
      <vt:variant>
        <vt:lpwstr>http://www.nevo.co.il/law/70301/287.a</vt:lpwstr>
      </vt:variant>
      <vt:variant>
        <vt:lpwstr/>
      </vt:variant>
      <vt:variant>
        <vt:i4>3473526</vt:i4>
      </vt:variant>
      <vt:variant>
        <vt:i4>72</vt:i4>
      </vt:variant>
      <vt:variant>
        <vt:i4>0</vt:i4>
      </vt:variant>
      <vt:variant>
        <vt:i4>5</vt:i4>
      </vt:variant>
      <vt:variant>
        <vt:lpwstr>http://www.nevo.co.il/case/7832786</vt:lpwstr>
      </vt:variant>
      <vt:variant>
        <vt:lpwstr/>
      </vt:variant>
      <vt:variant>
        <vt:i4>3276913</vt:i4>
      </vt:variant>
      <vt:variant>
        <vt:i4>69</vt:i4>
      </vt:variant>
      <vt:variant>
        <vt:i4>0</vt:i4>
      </vt:variant>
      <vt:variant>
        <vt:i4>5</vt:i4>
      </vt:variant>
      <vt:variant>
        <vt:lpwstr>http://www.nevo.co.il/case/11264251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8257637</vt:i4>
      </vt:variant>
      <vt:variant>
        <vt:i4>54</vt:i4>
      </vt:variant>
      <vt:variant>
        <vt:i4>0</vt:i4>
      </vt:variant>
      <vt:variant>
        <vt:i4>5</vt:i4>
      </vt:variant>
      <vt:variant>
        <vt:lpwstr>http://www.nevo.co.il/law/4216</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3407990</vt:i4>
      </vt:variant>
      <vt:variant>
        <vt:i4>45</vt:i4>
      </vt:variant>
      <vt:variant>
        <vt:i4>0</vt:i4>
      </vt:variant>
      <vt:variant>
        <vt:i4>5</vt:i4>
      </vt:variant>
      <vt:variant>
        <vt:lpwstr>http://www.nevo.co.il/case/7832787</vt:lpwstr>
      </vt:variant>
      <vt:variant>
        <vt:lpwstr/>
      </vt:variant>
      <vt:variant>
        <vt:i4>5505088</vt:i4>
      </vt:variant>
      <vt:variant>
        <vt:i4>42</vt:i4>
      </vt:variant>
      <vt:variant>
        <vt:i4>0</vt:i4>
      </vt:variant>
      <vt:variant>
        <vt:i4>5</vt:i4>
      </vt:variant>
      <vt:variant>
        <vt:lpwstr>http://www.nevo.co.il/law/90721/12.1</vt:lpwstr>
      </vt:variant>
      <vt:variant>
        <vt:lpwstr/>
      </vt:variant>
      <vt:variant>
        <vt:i4>7864430</vt:i4>
      </vt:variant>
      <vt:variant>
        <vt:i4>39</vt:i4>
      </vt:variant>
      <vt:variant>
        <vt:i4>0</vt:i4>
      </vt:variant>
      <vt:variant>
        <vt:i4>5</vt:i4>
      </vt:variant>
      <vt:variant>
        <vt:lpwstr>http://www.nevo.co.il/law/90721</vt:lpwstr>
      </vt:variant>
      <vt:variant>
        <vt:lpwstr/>
      </vt:variant>
      <vt:variant>
        <vt:i4>6357089</vt:i4>
      </vt:variant>
      <vt:variant>
        <vt:i4>36</vt:i4>
      </vt:variant>
      <vt:variant>
        <vt:i4>0</vt:i4>
      </vt:variant>
      <vt:variant>
        <vt:i4>5</vt:i4>
      </vt:variant>
      <vt:variant>
        <vt:lpwstr>http://www.nevo.co.il/law/70301/441</vt:lpwstr>
      </vt:variant>
      <vt:variant>
        <vt:lpwstr/>
      </vt:variant>
      <vt:variant>
        <vt:i4>6553637</vt:i4>
      </vt:variant>
      <vt:variant>
        <vt:i4>33</vt:i4>
      </vt:variant>
      <vt:variant>
        <vt:i4>0</vt:i4>
      </vt:variant>
      <vt:variant>
        <vt:i4>5</vt:i4>
      </vt:variant>
      <vt:variant>
        <vt:lpwstr>http://www.nevo.co.il/law/70301/40jc.b</vt:lpwstr>
      </vt:variant>
      <vt:variant>
        <vt:lpwstr/>
      </vt:variant>
      <vt:variant>
        <vt:i4>6750245</vt:i4>
      </vt:variant>
      <vt:variant>
        <vt:i4>30</vt:i4>
      </vt:variant>
      <vt:variant>
        <vt:i4>0</vt:i4>
      </vt:variant>
      <vt:variant>
        <vt:i4>5</vt:i4>
      </vt:variant>
      <vt:variant>
        <vt:lpwstr>http://www.nevo.co.il/law/70301/40jc.a</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4390992</vt:i4>
      </vt:variant>
      <vt:variant>
        <vt:i4>24</vt:i4>
      </vt:variant>
      <vt:variant>
        <vt:i4>0</vt:i4>
      </vt:variant>
      <vt:variant>
        <vt:i4>5</vt:i4>
      </vt:variant>
      <vt:variant>
        <vt:lpwstr>http://www.nevo.co.il/law/70301/287.a</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2025-04-22T22:01:00Z</dcterms:created>
  <dcterms:modified xsi:type="dcterms:W3CDTF">2025-04-22T22:01:00Z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23836;44395</vt:lpwstr>
  </property>
  <property fmtid="{D5CDD505-2E9C-101B-9397-08002B2CF9AE}" pid="6" name="NEWPARTB">
    <vt:lpwstr>05;01</vt:lpwstr>
  </property>
  <property fmtid="{D5CDD505-2E9C-101B-9397-08002B2CF9AE}" pid="7" name="NEWPARTC">
    <vt:lpwstr>13;14</vt:lpwstr>
  </property>
  <property fmtid="{D5CDD505-2E9C-101B-9397-08002B2CF9AE}" pid="8" name="APPELLANT">
    <vt:lpwstr>מדינת ישראל</vt:lpwstr>
  </property>
  <property fmtid="{D5CDD505-2E9C-101B-9397-08002B2CF9AE}" pid="9" name="APPELLEE">
    <vt:lpwstr>חסן אל שער</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20140612</vt:lpwstr>
  </property>
  <property fmtid="{D5CDD505-2E9C-101B-9397-08002B2CF9AE}" pid="13" name="TYPE_N_DATE">
    <vt:lpwstr>38020140612</vt:lpwstr>
  </property>
  <property fmtid="{D5CDD505-2E9C-101B-9397-08002B2CF9AE}" pid="14" name="CASESLISTTMP1">
    <vt:lpwstr>7832787:2;11264251:2;7832786;13090102</vt:lpwstr>
  </property>
  <property fmtid="{D5CDD505-2E9C-101B-9397-08002B2CF9AE}" pid="15" name="ISABSTRACT">
    <vt:lpwstr>Y</vt:lpwstr>
  </property>
  <property fmtid="{D5CDD505-2E9C-101B-9397-08002B2CF9AE}" pid="16" name="WORDNUMPAGES">
    <vt:lpwstr>10</vt:lpwstr>
  </property>
  <property fmtid="{D5CDD505-2E9C-101B-9397-08002B2CF9AE}" pid="17" name="TYPE_ABS_DATE">
    <vt:lpwstr>380020140612</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4216/013:2;019a:2</vt:lpwstr>
  </property>
  <property fmtid="{D5CDD505-2E9C-101B-9397-08002B2CF9AE}" pid="37" name="LAWLISTTMP2">
    <vt:lpwstr>70301/025;287.a:2;031;275;441:2;40jc;40jc.a;040c.a;40jc.b</vt:lpwstr>
  </property>
  <property fmtid="{D5CDD505-2E9C-101B-9397-08002B2CF9AE}" pid="38" name="LAWLISTTMP3">
    <vt:lpwstr>90721/012.1</vt:lpwstr>
  </property>
</Properties>
</file>