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5"/>
        <w:gridCol w:w="3666"/>
      </w:tblGrid>
      <w:tr w:rsidR="00937923" w:rsidRPr="007B79E7" w14:paraId="6BE590FA" w14:textId="77777777">
        <w:trPr>
          <w:trHeight w:hRule="exact" w:val="418"/>
          <w:jc w:val="center"/>
        </w:trPr>
        <w:tc>
          <w:tcPr>
            <w:tcW w:w="8721" w:type="dxa"/>
            <w:gridSpan w:val="2"/>
          </w:tcPr>
          <w:p w14:paraId="2952E345" w14:textId="77777777" w:rsidR="00937923" w:rsidRPr="007B79E7" w:rsidRDefault="007B79E7">
            <w:pPr>
              <w:pStyle w:val="a3"/>
              <w:jc w:val="center"/>
              <w:rPr>
                <w:rFonts w:ascii="Tahoma" w:hAnsi="Tahoma" w:cs="Tahoma"/>
                <w:color w:val="000080"/>
                <w:rtl/>
              </w:rPr>
            </w:pPr>
            <w:bookmarkStart w:id="0" w:name="LastJudge"/>
            <w:r w:rsidRPr="007B79E7">
              <w:rPr>
                <w:rFonts w:ascii="Tahoma" w:hAnsi="Tahoma" w:cs="Tahoma"/>
                <w:b/>
                <w:bCs/>
                <w:color w:val="000080"/>
                <w:rtl/>
              </w:rPr>
              <w:t>בית משפט השלום בתל אביב - יפו</w:t>
            </w:r>
          </w:p>
        </w:tc>
      </w:tr>
      <w:tr w:rsidR="00937923" w:rsidRPr="007B79E7" w14:paraId="621F4C31" w14:textId="77777777">
        <w:trPr>
          <w:trHeight w:val="337"/>
          <w:jc w:val="center"/>
        </w:trPr>
        <w:tc>
          <w:tcPr>
            <w:tcW w:w="5055" w:type="dxa"/>
          </w:tcPr>
          <w:p w14:paraId="60F7A886" w14:textId="77777777" w:rsidR="00937923" w:rsidRPr="007B79E7" w:rsidRDefault="007B79E7">
            <w:pPr>
              <w:rPr>
                <w:rFonts w:cs="FrankRuehl"/>
                <w:sz w:val="28"/>
                <w:szCs w:val="28"/>
                <w:rtl/>
              </w:rPr>
            </w:pPr>
            <w:r w:rsidRPr="007B79E7">
              <w:rPr>
                <w:rFonts w:cs="FrankRuehl"/>
                <w:sz w:val="28"/>
                <w:szCs w:val="28"/>
                <w:rtl/>
              </w:rPr>
              <w:t>ת"פ</w:t>
            </w:r>
            <w:r w:rsidRPr="007B79E7">
              <w:rPr>
                <w:rFonts w:cs="FrankRuehl" w:hint="cs"/>
                <w:sz w:val="28"/>
                <w:szCs w:val="28"/>
                <w:rtl/>
              </w:rPr>
              <w:t xml:space="preserve"> </w:t>
            </w:r>
            <w:r w:rsidRPr="007B79E7">
              <w:rPr>
                <w:rFonts w:cs="FrankRuehl"/>
                <w:sz w:val="28"/>
                <w:szCs w:val="28"/>
                <w:rtl/>
              </w:rPr>
              <w:t>4413-05-13</w:t>
            </w:r>
            <w:r w:rsidRPr="007B79E7">
              <w:rPr>
                <w:rFonts w:cs="FrankRuehl" w:hint="cs"/>
                <w:sz w:val="28"/>
                <w:szCs w:val="28"/>
                <w:rtl/>
              </w:rPr>
              <w:t xml:space="preserve"> </w:t>
            </w:r>
            <w:r w:rsidRPr="007B79E7">
              <w:rPr>
                <w:rFonts w:cs="FrankRuehl"/>
                <w:sz w:val="28"/>
                <w:szCs w:val="28"/>
                <w:rtl/>
              </w:rPr>
              <w:t>מדינת ישראל נ' יעקוביאן</w:t>
            </w:r>
          </w:p>
          <w:p w14:paraId="1809177D" w14:textId="77777777" w:rsidR="00937923" w:rsidRPr="007B79E7" w:rsidRDefault="00937923">
            <w:pPr>
              <w:pStyle w:val="a3"/>
              <w:rPr>
                <w:rFonts w:cs="FrankRuehl"/>
                <w:sz w:val="28"/>
                <w:szCs w:val="28"/>
                <w:rtl/>
              </w:rPr>
            </w:pPr>
          </w:p>
        </w:tc>
        <w:tc>
          <w:tcPr>
            <w:tcW w:w="3666" w:type="dxa"/>
          </w:tcPr>
          <w:p w14:paraId="2FD6E516" w14:textId="77777777" w:rsidR="00937923" w:rsidRPr="007B79E7" w:rsidRDefault="00937923">
            <w:pPr>
              <w:pStyle w:val="a3"/>
              <w:jc w:val="right"/>
              <w:rPr>
                <w:rFonts w:cs="FrankRuehl"/>
                <w:sz w:val="28"/>
                <w:szCs w:val="28"/>
                <w:rtl/>
              </w:rPr>
            </w:pPr>
          </w:p>
        </w:tc>
      </w:tr>
    </w:tbl>
    <w:p w14:paraId="65BACD6A" w14:textId="77777777" w:rsidR="00937923" w:rsidRPr="007B79E7" w:rsidRDefault="007B79E7">
      <w:pPr>
        <w:pStyle w:val="a3"/>
        <w:rPr>
          <w:rtl/>
        </w:rPr>
      </w:pPr>
      <w:r w:rsidRPr="007B79E7">
        <w:rPr>
          <w:rFonts w:hint="cs"/>
          <w:rtl/>
        </w:rPr>
        <w:t xml:space="preserve"> </w:t>
      </w:r>
    </w:p>
    <w:p w14:paraId="4A673EA3" w14:textId="77777777" w:rsidR="00937923" w:rsidRPr="007B79E7" w:rsidRDefault="00937923">
      <w:pPr>
        <w:rPr>
          <w:b/>
          <w:bCs/>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937923" w:rsidRPr="007B79E7" w14:paraId="656286B0" w14:textId="77777777">
        <w:trPr>
          <w:trHeight w:val="295"/>
          <w:jc w:val="center"/>
        </w:trPr>
        <w:tc>
          <w:tcPr>
            <w:tcW w:w="923" w:type="dxa"/>
            <w:tcBorders>
              <w:top w:val="nil"/>
              <w:left w:val="nil"/>
              <w:bottom w:val="nil"/>
              <w:right w:val="nil"/>
            </w:tcBorders>
          </w:tcPr>
          <w:p w14:paraId="75DAD8F7" w14:textId="77777777" w:rsidR="00937923" w:rsidRPr="007B79E7" w:rsidRDefault="007B79E7">
            <w:pPr>
              <w:jc w:val="both"/>
              <w:rPr>
                <w:rFonts w:ascii="Arial" w:hAnsi="Arial"/>
                <w:b/>
                <w:bCs/>
              </w:rPr>
            </w:pPr>
            <w:r w:rsidRPr="007B79E7">
              <w:rPr>
                <w:rFonts w:ascii="Arial" w:hAnsi="Arial" w:hint="cs"/>
                <w:b/>
                <w:bCs/>
                <w:rtl/>
              </w:rPr>
              <w:t>ב</w:t>
            </w:r>
            <w:r w:rsidRPr="007B79E7">
              <w:rPr>
                <w:rFonts w:ascii="Arial" w:hAnsi="Arial"/>
                <w:b/>
                <w:bCs/>
                <w:rtl/>
              </w:rPr>
              <w:t xml:space="preserve">פני </w:t>
            </w:r>
          </w:p>
        </w:tc>
        <w:tc>
          <w:tcPr>
            <w:tcW w:w="7897" w:type="dxa"/>
            <w:gridSpan w:val="2"/>
            <w:tcBorders>
              <w:top w:val="nil"/>
              <w:left w:val="nil"/>
              <w:bottom w:val="nil"/>
              <w:right w:val="nil"/>
            </w:tcBorders>
          </w:tcPr>
          <w:p w14:paraId="67C26F31" w14:textId="77777777" w:rsidR="00937923" w:rsidRPr="007B79E7" w:rsidRDefault="007B79E7">
            <w:pPr>
              <w:rPr>
                <w:rFonts w:ascii="Arial" w:hAnsi="Arial"/>
                <w:b/>
                <w:bCs/>
                <w:rtl/>
              </w:rPr>
            </w:pPr>
            <w:r w:rsidRPr="007B79E7">
              <w:rPr>
                <w:rFonts w:ascii="Arial" w:hAnsi="Arial" w:hint="cs"/>
                <w:b/>
                <w:bCs/>
                <w:rtl/>
              </w:rPr>
              <w:t>כב' ה</w:t>
            </w:r>
            <w:r w:rsidRPr="007B79E7">
              <w:rPr>
                <w:rFonts w:hint="cs"/>
                <w:b/>
                <w:bCs/>
                <w:rtl/>
              </w:rPr>
              <w:t>שופט</w:t>
            </w:r>
            <w:r w:rsidRPr="007B79E7">
              <w:rPr>
                <w:rFonts w:ascii="Arial" w:hAnsi="Arial" w:hint="cs"/>
                <w:b/>
                <w:bCs/>
                <w:rtl/>
              </w:rPr>
              <w:t xml:space="preserve">  </w:t>
            </w:r>
            <w:r w:rsidRPr="007B79E7">
              <w:rPr>
                <w:rFonts w:hint="cs"/>
                <w:b/>
                <w:bCs/>
                <w:rtl/>
              </w:rPr>
              <w:t>עידו דרויאן</w:t>
            </w:r>
          </w:p>
          <w:p w14:paraId="2930A78F" w14:textId="77777777" w:rsidR="00937923" w:rsidRPr="007B79E7" w:rsidRDefault="00937923">
            <w:pPr>
              <w:rPr>
                <w:b/>
                <w:bCs/>
                <w:rtl/>
              </w:rPr>
            </w:pPr>
          </w:p>
          <w:p w14:paraId="4A98DCFC" w14:textId="77777777" w:rsidR="00937923" w:rsidRPr="007B79E7" w:rsidRDefault="00937923">
            <w:pPr>
              <w:jc w:val="both"/>
              <w:rPr>
                <w:rFonts w:ascii="Arial" w:hAnsi="Arial"/>
                <w:b/>
                <w:bCs/>
              </w:rPr>
            </w:pPr>
          </w:p>
        </w:tc>
      </w:tr>
      <w:tr w:rsidR="00937923" w:rsidRPr="007B79E7" w14:paraId="424F043D" w14:textId="77777777">
        <w:trPr>
          <w:trHeight w:val="355"/>
          <w:jc w:val="center"/>
        </w:trPr>
        <w:tc>
          <w:tcPr>
            <w:tcW w:w="923" w:type="dxa"/>
            <w:tcBorders>
              <w:top w:val="nil"/>
              <w:left w:val="nil"/>
              <w:bottom w:val="nil"/>
              <w:right w:val="nil"/>
            </w:tcBorders>
          </w:tcPr>
          <w:p w14:paraId="0FD5F14C" w14:textId="77777777" w:rsidR="00937923" w:rsidRPr="007B79E7" w:rsidRDefault="00937923">
            <w:pPr>
              <w:jc w:val="both"/>
              <w:rPr>
                <w:rFonts w:ascii="Arial" w:hAnsi="Arial"/>
                <w:b/>
                <w:bCs/>
              </w:rPr>
            </w:pPr>
          </w:p>
        </w:tc>
        <w:tc>
          <w:tcPr>
            <w:tcW w:w="4126" w:type="dxa"/>
            <w:tcBorders>
              <w:top w:val="nil"/>
              <w:left w:val="nil"/>
              <w:bottom w:val="nil"/>
              <w:right w:val="nil"/>
            </w:tcBorders>
          </w:tcPr>
          <w:p w14:paraId="1D969E8B" w14:textId="77777777" w:rsidR="00937923" w:rsidRPr="007B79E7" w:rsidRDefault="007B79E7">
            <w:pPr>
              <w:rPr>
                <w:b/>
                <w:bCs/>
              </w:rPr>
            </w:pPr>
            <w:r w:rsidRPr="007B79E7">
              <w:rPr>
                <w:rFonts w:hint="cs"/>
                <w:b/>
                <w:bCs/>
                <w:rtl/>
              </w:rPr>
              <w:t>מדינת ישראל</w:t>
            </w:r>
          </w:p>
        </w:tc>
        <w:tc>
          <w:tcPr>
            <w:tcW w:w="3771" w:type="dxa"/>
            <w:tcBorders>
              <w:top w:val="nil"/>
              <w:left w:val="nil"/>
              <w:bottom w:val="nil"/>
              <w:right w:val="nil"/>
            </w:tcBorders>
          </w:tcPr>
          <w:p w14:paraId="364CFB3C" w14:textId="77777777" w:rsidR="00937923" w:rsidRPr="007B79E7" w:rsidRDefault="00937923">
            <w:pPr>
              <w:jc w:val="both"/>
              <w:rPr>
                <w:rFonts w:ascii="Arial" w:hAnsi="Arial"/>
                <w:b/>
                <w:bCs/>
              </w:rPr>
            </w:pPr>
          </w:p>
        </w:tc>
      </w:tr>
      <w:tr w:rsidR="00937923" w:rsidRPr="007B79E7" w14:paraId="284C42D6" w14:textId="77777777">
        <w:trPr>
          <w:trHeight w:val="355"/>
          <w:jc w:val="center"/>
        </w:trPr>
        <w:tc>
          <w:tcPr>
            <w:tcW w:w="923" w:type="dxa"/>
            <w:tcBorders>
              <w:top w:val="nil"/>
              <w:left w:val="nil"/>
              <w:bottom w:val="nil"/>
              <w:right w:val="nil"/>
            </w:tcBorders>
          </w:tcPr>
          <w:p w14:paraId="6C627106" w14:textId="77777777" w:rsidR="00937923" w:rsidRPr="007B79E7" w:rsidRDefault="00937923">
            <w:pPr>
              <w:jc w:val="both"/>
              <w:rPr>
                <w:rFonts w:ascii="Arial" w:hAnsi="Arial"/>
                <w:b/>
                <w:bCs/>
                <w:rtl/>
              </w:rPr>
            </w:pPr>
            <w:bookmarkStart w:id="1" w:name="FirstAppellant" w:colFirst="0" w:colLast="1"/>
            <w:bookmarkStart w:id="2" w:name="FirstLawyer"/>
          </w:p>
        </w:tc>
        <w:tc>
          <w:tcPr>
            <w:tcW w:w="4126" w:type="dxa"/>
            <w:tcBorders>
              <w:top w:val="nil"/>
              <w:left w:val="nil"/>
              <w:bottom w:val="nil"/>
              <w:right w:val="nil"/>
            </w:tcBorders>
          </w:tcPr>
          <w:p w14:paraId="1796DD5B" w14:textId="77777777" w:rsidR="00937923" w:rsidRPr="007B79E7" w:rsidRDefault="007B79E7">
            <w:pPr>
              <w:jc w:val="both"/>
              <w:rPr>
                <w:rtl/>
              </w:rPr>
            </w:pPr>
            <w:r w:rsidRPr="007B79E7">
              <w:rPr>
                <w:rFonts w:hint="cs"/>
                <w:rtl/>
              </w:rPr>
              <w:t>ע"י ב"כ עו"ד אסולין</w:t>
            </w:r>
          </w:p>
        </w:tc>
        <w:tc>
          <w:tcPr>
            <w:tcW w:w="3771" w:type="dxa"/>
            <w:tcBorders>
              <w:top w:val="nil"/>
              <w:left w:val="nil"/>
              <w:bottom w:val="nil"/>
              <w:right w:val="nil"/>
            </w:tcBorders>
          </w:tcPr>
          <w:p w14:paraId="11B6AE60" w14:textId="77777777" w:rsidR="00937923" w:rsidRPr="007B79E7" w:rsidRDefault="007B79E7">
            <w:pPr>
              <w:jc w:val="right"/>
              <w:rPr>
                <w:rFonts w:ascii="Arial" w:hAnsi="Arial"/>
                <w:b/>
                <w:bCs/>
                <w:rtl/>
              </w:rPr>
            </w:pPr>
            <w:r w:rsidRPr="007B79E7">
              <w:rPr>
                <w:rFonts w:ascii="Arial" w:hAnsi="Arial" w:hint="cs"/>
                <w:b/>
                <w:bCs/>
                <w:rtl/>
              </w:rPr>
              <w:t>ה</w:t>
            </w:r>
            <w:r w:rsidRPr="007B79E7">
              <w:rPr>
                <w:rFonts w:hint="cs"/>
                <w:b/>
                <w:bCs/>
                <w:rtl/>
              </w:rPr>
              <w:t>מאשימה</w:t>
            </w:r>
          </w:p>
        </w:tc>
      </w:tr>
      <w:bookmarkEnd w:id="2"/>
      <w:tr w:rsidR="00937923" w:rsidRPr="007B79E7" w14:paraId="08818B36" w14:textId="77777777">
        <w:trPr>
          <w:trHeight w:val="355"/>
          <w:jc w:val="center"/>
        </w:trPr>
        <w:tc>
          <w:tcPr>
            <w:tcW w:w="923" w:type="dxa"/>
            <w:tcBorders>
              <w:top w:val="nil"/>
              <w:left w:val="nil"/>
              <w:bottom w:val="nil"/>
              <w:right w:val="nil"/>
            </w:tcBorders>
          </w:tcPr>
          <w:p w14:paraId="10ACDACB" w14:textId="77777777" w:rsidR="00937923" w:rsidRPr="007B79E7" w:rsidRDefault="00937923">
            <w:pPr>
              <w:jc w:val="both"/>
              <w:rPr>
                <w:rFonts w:ascii="Arial" w:hAnsi="Arial"/>
                <w:b/>
                <w:bCs/>
                <w:rtl/>
              </w:rPr>
            </w:pPr>
          </w:p>
        </w:tc>
        <w:tc>
          <w:tcPr>
            <w:tcW w:w="7897" w:type="dxa"/>
            <w:gridSpan w:val="2"/>
            <w:tcBorders>
              <w:top w:val="nil"/>
              <w:left w:val="nil"/>
              <w:bottom w:val="nil"/>
              <w:right w:val="nil"/>
            </w:tcBorders>
          </w:tcPr>
          <w:p w14:paraId="5252696C" w14:textId="77777777" w:rsidR="00937923" w:rsidRPr="007B79E7" w:rsidRDefault="00937923">
            <w:pPr>
              <w:jc w:val="center"/>
              <w:rPr>
                <w:rFonts w:ascii="Arial" w:hAnsi="Arial"/>
                <w:b/>
                <w:bCs/>
                <w:rtl/>
              </w:rPr>
            </w:pPr>
          </w:p>
          <w:p w14:paraId="3EA33F9B" w14:textId="77777777" w:rsidR="00937923" w:rsidRPr="007B79E7" w:rsidRDefault="007B79E7">
            <w:pPr>
              <w:jc w:val="center"/>
              <w:rPr>
                <w:rFonts w:ascii="Arial" w:hAnsi="Arial"/>
                <w:b/>
                <w:bCs/>
                <w:rtl/>
              </w:rPr>
            </w:pPr>
            <w:r w:rsidRPr="007B79E7">
              <w:rPr>
                <w:rFonts w:ascii="Arial" w:hAnsi="Arial"/>
                <w:b/>
                <w:bCs/>
                <w:rtl/>
              </w:rPr>
              <w:t>נגד</w:t>
            </w:r>
          </w:p>
          <w:p w14:paraId="17CC0251" w14:textId="77777777" w:rsidR="00937923" w:rsidRPr="007B79E7" w:rsidRDefault="00937923">
            <w:pPr>
              <w:jc w:val="both"/>
              <w:rPr>
                <w:rFonts w:ascii="Arial" w:hAnsi="Arial"/>
                <w:b/>
                <w:bCs/>
              </w:rPr>
            </w:pPr>
          </w:p>
        </w:tc>
      </w:tr>
      <w:bookmarkEnd w:id="1"/>
      <w:tr w:rsidR="00937923" w:rsidRPr="007B79E7" w14:paraId="740B7C1D" w14:textId="77777777">
        <w:trPr>
          <w:trHeight w:val="355"/>
          <w:jc w:val="center"/>
        </w:trPr>
        <w:tc>
          <w:tcPr>
            <w:tcW w:w="923" w:type="dxa"/>
            <w:tcBorders>
              <w:top w:val="nil"/>
              <w:left w:val="nil"/>
              <w:bottom w:val="nil"/>
              <w:right w:val="nil"/>
            </w:tcBorders>
          </w:tcPr>
          <w:p w14:paraId="6CC6496B" w14:textId="77777777" w:rsidR="00937923" w:rsidRPr="007B79E7" w:rsidRDefault="00937923">
            <w:pPr>
              <w:rPr>
                <w:rFonts w:ascii="Arial" w:hAnsi="Arial"/>
                <w:b/>
                <w:bCs/>
                <w:rtl/>
              </w:rPr>
            </w:pPr>
          </w:p>
        </w:tc>
        <w:tc>
          <w:tcPr>
            <w:tcW w:w="4126" w:type="dxa"/>
            <w:tcBorders>
              <w:top w:val="nil"/>
              <w:left w:val="nil"/>
              <w:bottom w:val="nil"/>
              <w:right w:val="nil"/>
            </w:tcBorders>
          </w:tcPr>
          <w:p w14:paraId="0DFB6D8F" w14:textId="77777777" w:rsidR="00937923" w:rsidRPr="007B79E7" w:rsidRDefault="007B79E7">
            <w:pPr>
              <w:rPr>
                <w:b/>
                <w:bCs/>
                <w:rtl/>
              </w:rPr>
            </w:pPr>
            <w:r w:rsidRPr="007B79E7">
              <w:rPr>
                <w:rFonts w:hint="cs"/>
                <w:b/>
                <w:bCs/>
                <w:rtl/>
              </w:rPr>
              <w:t>עיוב יעקוביאן</w:t>
            </w:r>
          </w:p>
        </w:tc>
        <w:tc>
          <w:tcPr>
            <w:tcW w:w="3771" w:type="dxa"/>
            <w:tcBorders>
              <w:top w:val="nil"/>
              <w:left w:val="nil"/>
              <w:bottom w:val="nil"/>
              <w:right w:val="nil"/>
            </w:tcBorders>
          </w:tcPr>
          <w:p w14:paraId="01A6B8C8" w14:textId="77777777" w:rsidR="00937923" w:rsidRPr="007B79E7" w:rsidRDefault="00937923">
            <w:pPr>
              <w:jc w:val="right"/>
              <w:rPr>
                <w:rFonts w:ascii="Arial" w:hAnsi="Arial"/>
                <w:b/>
                <w:bCs/>
              </w:rPr>
            </w:pPr>
          </w:p>
        </w:tc>
      </w:tr>
      <w:tr w:rsidR="00937923" w:rsidRPr="007B79E7" w14:paraId="448FD4E6" w14:textId="77777777">
        <w:trPr>
          <w:trHeight w:val="355"/>
          <w:jc w:val="center"/>
        </w:trPr>
        <w:tc>
          <w:tcPr>
            <w:tcW w:w="923" w:type="dxa"/>
            <w:tcBorders>
              <w:top w:val="nil"/>
              <w:left w:val="nil"/>
              <w:bottom w:val="nil"/>
              <w:right w:val="nil"/>
            </w:tcBorders>
          </w:tcPr>
          <w:p w14:paraId="77A54BDC" w14:textId="77777777" w:rsidR="00937923" w:rsidRPr="007B79E7" w:rsidRDefault="00937923">
            <w:pPr>
              <w:jc w:val="both"/>
              <w:rPr>
                <w:rFonts w:ascii="Arial" w:hAnsi="Arial"/>
                <w:b/>
                <w:bCs/>
                <w:rtl/>
              </w:rPr>
            </w:pPr>
          </w:p>
        </w:tc>
        <w:tc>
          <w:tcPr>
            <w:tcW w:w="4126" w:type="dxa"/>
            <w:tcBorders>
              <w:top w:val="nil"/>
              <w:left w:val="nil"/>
              <w:bottom w:val="nil"/>
              <w:right w:val="nil"/>
            </w:tcBorders>
          </w:tcPr>
          <w:p w14:paraId="1B5C2EE2" w14:textId="77777777" w:rsidR="00937923" w:rsidRPr="007B79E7" w:rsidRDefault="007B79E7">
            <w:pPr>
              <w:jc w:val="both"/>
              <w:rPr>
                <w:rtl/>
              </w:rPr>
            </w:pPr>
            <w:r w:rsidRPr="007B79E7">
              <w:rPr>
                <w:rFonts w:hint="cs"/>
                <w:rtl/>
              </w:rPr>
              <w:t>ע"י ב"כ עו"ד גלאון</w:t>
            </w:r>
          </w:p>
        </w:tc>
        <w:tc>
          <w:tcPr>
            <w:tcW w:w="3771" w:type="dxa"/>
            <w:tcBorders>
              <w:top w:val="nil"/>
              <w:left w:val="nil"/>
              <w:bottom w:val="nil"/>
              <w:right w:val="nil"/>
            </w:tcBorders>
          </w:tcPr>
          <w:p w14:paraId="3A7F6699" w14:textId="77777777" w:rsidR="00937923" w:rsidRPr="007B79E7" w:rsidRDefault="007B79E7">
            <w:pPr>
              <w:jc w:val="right"/>
              <w:rPr>
                <w:rFonts w:ascii="Arial" w:hAnsi="Arial"/>
                <w:b/>
                <w:bCs/>
              </w:rPr>
            </w:pPr>
            <w:r w:rsidRPr="007B79E7">
              <w:rPr>
                <w:rFonts w:ascii="Arial" w:hAnsi="Arial" w:hint="cs"/>
                <w:b/>
                <w:bCs/>
                <w:rtl/>
              </w:rPr>
              <w:t>ה</w:t>
            </w:r>
            <w:r w:rsidRPr="007B79E7">
              <w:rPr>
                <w:rFonts w:hint="cs"/>
                <w:b/>
                <w:bCs/>
                <w:rtl/>
              </w:rPr>
              <w:t>נאשם</w:t>
            </w:r>
          </w:p>
        </w:tc>
      </w:tr>
    </w:tbl>
    <w:p w14:paraId="5CE742CF" w14:textId="77777777" w:rsidR="00B075B3" w:rsidRDefault="00B075B3">
      <w:pPr>
        <w:rPr>
          <w:rtl/>
        </w:rPr>
      </w:pPr>
      <w:bookmarkStart w:id="3" w:name="LawTable"/>
      <w:bookmarkEnd w:id="3"/>
    </w:p>
    <w:p w14:paraId="2EFAF570" w14:textId="77777777" w:rsidR="00B075B3" w:rsidRPr="00B075B3" w:rsidRDefault="00B075B3" w:rsidP="00B075B3">
      <w:pPr>
        <w:spacing w:after="120" w:line="240" w:lineRule="exact"/>
        <w:ind w:left="283" w:hanging="283"/>
        <w:jc w:val="both"/>
        <w:rPr>
          <w:rFonts w:ascii="FrankRuehl" w:hAnsi="FrankRuehl" w:cs="FrankRuehl"/>
          <w:rtl/>
        </w:rPr>
      </w:pPr>
      <w:r w:rsidRPr="00B075B3">
        <w:rPr>
          <w:rFonts w:ascii="FrankRuehl" w:hAnsi="FrankRuehl" w:cs="FrankRuehl"/>
          <w:rtl/>
        </w:rPr>
        <w:t xml:space="preserve">חקיקה שאוזכרה: </w:t>
      </w:r>
    </w:p>
    <w:p w14:paraId="6CA6954A" w14:textId="77777777" w:rsidR="00B075B3" w:rsidRPr="00B075B3" w:rsidRDefault="00B075B3" w:rsidP="00B075B3">
      <w:pPr>
        <w:spacing w:after="120" w:line="240" w:lineRule="exact"/>
        <w:ind w:left="283" w:hanging="283"/>
        <w:jc w:val="both"/>
        <w:rPr>
          <w:rFonts w:ascii="FrankRuehl" w:hAnsi="FrankRuehl" w:cs="FrankRuehl"/>
          <w:color w:val="0000FF"/>
          <w:u w:val="single"/>
          <w:rtl/>
        </w:rPr>
      </w:pPr>
      <w:hyperlink r:id="rId6" w:history="1">
        <w:r w:rsidRPr="00B075B3">
          <w:rPr>
            <w:rStyle w:val="Hyperlink"/>
            <w:rFonts w:ascii="FrankRuehl" w:hAnsi="FrankRuehl" w:cs="FrankRuehl"/>
            <w:rtl/>
          </w:rPr>
          <w:t>פקודת הסמים המסוכנים [נוסח חדש], תשל"ג-1973</w:t>
        </w:r>
      </w:hyperlink>
      <w:r w:rsidRPr="00B075B3">
        <w:rPr>
          <w:rFonts w:ascii="FrankRuehl" w:hAnsi="FrankRuehl" w:cs="FrankRuehl"/>
          <w:color w:val="0000FF"/>
          <w:u w:val="single"/>
          <w:rtl/>
        </w:rPr>
        <w:t xml:space="preserve">: סע'  </w:t>
      </w:r>
      <w:hyperlink r:id="rId7" w:history="1">
        <w:r w:rsidRPr="00B075B3">
          <w:rPr>
            <w:rStyle w:val="Hyperlink"/>
            <w:rFonts w:ascii="FrankRuehl" w:hAnsi="FrankRuehl" w:cs="FrankRuehl"/>
          </w:rPr>
          <w:t>13</w:t>
        </w:r>
      </w:hyperlink>
      <w:r w:rsidRPr="00B075B3">
        <w:rPr>
          <w:rFonts w:ascii="FrankRuehl" w:hAnsi="FrankRuehl" w:cs="FrankRuehl"/>
          <w:color w:val="0000FF"/>
          <w:u w:val="single"/>
          <w:rtl/>
        </w:rPr>
        <w:t xml:space="preserve">, </w:t>
      </w:r>
      <w:hyperlink r:id="rId8" w:history="1">
        <w:r w:rsidRPr="00B075B3">
          <w:rPr>
            <w:rStyle w:val="Hyperlink"/>
            <w:rFonts w:ascii="FrankRuehl" w:hAnsi="FrankRuehl" w:cs="FrankRuehl"/>
          </w:rPr>
          <w:t>19</w:t>
        </w:r>
        <w:r w:rsidRPr="00B075B3">
          <w:rPr>
            <w:rStyle w:val="Hyperlink"/>
            <w:rFonts w:ascii="FrankRuehl" w:hAnsi="FrankRuehl" w:cs="FrankRuehl"/>
            <w:rtl/>
          </w:rPr>
          <w:t>א</w:t>
        </w:r>
      </w:hyperlink>
    </w:p>
    <w:p w14:paraId="4DBA1C49" w14:textId="77777777" w:rsidR="00937923" w:rsidRPr="00B075B3" w:rsidRDefault="00937923">
      <w:pPr>
        <w:rPr>
          <w:b/>
          <w:bCs/>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937923" w14:paraId="512B48F4" w14:textId="77777777">
        <w:trPr>
          <w:trHeight w:val="355"/>
          <w:jc w:val="center"/>
        </w:trPr>
        <w:tc>
          <w:tcPr>
            <w:tcW w:w="8820" w:type="dxa"/>
            <w:tcBorders>
              <w:top w:val="nil"/>
              <w:left w:val="nil"/>
              <w:bottom w:val="nil"/>
              <w:right w:val="nil"/>
            </w:tcBorders>
          </w:tcPr>
          <w:p w14:paraId="77DC05A4" w14:textId="77777777" w:rsidR="007B79E7" w:rsidRPr="007B79E7" w:rsidRDefault="007B79E7" w:rsidP="007B79E7">
            <w:pPr>
              <w:jc w:val="center"/>
              <w:rPr>
                <w:rFonts w:ascii="Arial" w:hAnsi="Arial"/>
                <w:b/>
                <w:bCs/>
                <w:sz w:val="28"/>
                <w:szCs w:val="28"/>
                <w:u w:val="single"/>
                <w:rtl/>
              </w:rPr>
            </w:pPr>
            <w:bookmarkStart w:id="4" w:name="PsakDin" w:colFirst="0" w:colLast="0"/>
            <w:bookmarkEnd w:id="0"/>
            <w:r w:rsidRPr="007B79E7">
              <w:rPr>
                <w:rFonts w:ascii="Arial" w:hAnsi="Arial"/>
                <w:b/>
                <w:bCs/>
                <w:sz w:val="28"/>
                <w:szCs w:val="28"/>
                <w:u w:val="single"/>
                <w:rtl/>
              </w:rPr>
              <w:t>גזר דין</w:t>
            </w:r>
          </w:p>
          <w:p w14:paraId="4ED15EB6" w14:textId="77777777" w:rsidR="00937923" w:rsidRPr="007B79E7" w:rsidRDefault="00937923" w:rsidP="007B79E7">
            <w:pPr>
              <w:jc w:val="center"/>
              <w:rPr>
                <w:rFonts w:ascii="Arial" w:hAnsi="Arial"/>
                <w:b/>
                <w:bCs/>
                <w:u w:val="single"/>
                <w:rtl/>
              </w:rPr>
            </w:pPr>
          </w:p>
        </w:tc>
      </w:tr>
      <w:bookmarkEnd w:id="4"/>
    </w:tbl>
    <w:p w14:paraId="049A9482" w14:textId="77777777" w:rsidR="00937923" w:rsidRDefault="00937923">
      <w:pPr>
        <w:spacing w:line="360" w:lineRule="auto"/>
        <w:jc w:val="both"/>
        <w:rPr>
          <w:rFonts w:ascii="Arial" w:hAnsi="Arial"/>
          <w:rtl/>
        </w:rPr>
      </w:pPr>
    </w:p>
    <w:p w14:paraId="393FE6DD" w14:textId="77777777" w:rsidR="00937923" w:rsidRDefault="007B79E7">
      <w:pPr>
        <w:spacing w:line="360" w:lineRule="auto"/>
        <w:jc w:val="both"/>
        <w:rPr>
          <w:rFonts w:ascii="Arial" w:hAnsi="Arial"/>
          <w:rtl/>
        </w:rPr>
      </w:pPr>
      <w:bookmarkStart w:id="5" w:name="ABSTRACT_START"/>
      <w:bookmarkEnd w:id="5"/>
      <w:r>
        <w:rPr>
          <w:rFonts w:ascii="Arial" w:hAnsi="Arial" w:hint="cs"/>
          <w:rtl/>
        </w:rPr>
        <w:t xml:space="preserve">במסגרת הסדר דיוני, ללא הסכמה לעונש, הודה הנאשם והורשע בביצוען של שתי עבירות של סחר בסם מסוכן, לפי </w:t>
      </w:r>
      <w:hyperlink r:id="rId9" w:history="1">
        <w:r w:rsidR="00B075B3" w:rsidRPr="00B075B3">
          <w:rPr>
            <w:rStyle w:val="Hyperlink"/>
            <w:rFonts w:ascii="Arial" w:hAnsi="Arial" w:hint="eastAsia"/>
            <w:rtl/>
          </w:rPr>
          <w:t>סעיפים</w:t>
        </w:r>
        <w:r w:rsidR="00B075B3" w:rsidRPr="00B075B3">
          <w:rPr>
            <w:rStyle w:val="Hyperlink"/>
            <w:rFonts w:ascii="Arial" w:hAnsi="Arial"/>
            <w:rtl/>
          </w:rPr>
          <w:t xml:space="preserve"> 13</w:t>
        </w:r>
      </w:hyperlink>
      <w:r>
        <w:rPr>
          <w:rFonts w:ascii="Arial" w:hAnsi="Arial" w:hint="cs"/>
          <w:rtl/>
        </w:rPr>
        <w:t xml:space="preserve"> ו-</w:t>
      </w:r>
      <w:hyperlink r:id="rId10" w:history="1">
        <w:r w:rsidR="00B075B3" w:rsidRPr="00B075B3">
          <w:rPr>
            <w:rStyle w:val="Hyperlink"/>
            <w:rFonts w:ascii="Arial" w:hAnsi="Arial"/>
            <w:rtl/>
          </w:rPr>
          <w:t>19א</w:t>
        </w:r>
      </w:hyperlink>
      <w:r>
        <w:rPr>
          <w:rFonts w:ascii="Arial" w:hAnsi="Arial" w:hint="cs"/>
          <w:rtl/>
        </w:rPr>
        <w:t xml:space="preserve"> ל</w:t>
      </w:r>
      <w:hyperlink r:id="rId11" w:history="1">
        <w:r w:rsidRPr="007B79E7">
          <w:rPr>
            <w:rFonts w:ascii="Arial" w:hAnsi="Arial"/>
            <w:color w:val="0000FF"/>
            <w:u w:val="single"/>
            <w:rtl/>
          </w:rPr>
          <w:t>פקודת הסמים המסוכנים</w:t>
        </w:r>
      </w:hyperlink>
      <w:r>
        <w:rPr>
          <w:rFonts w:ascii="Arial" w:hAnsi="Arial" w:hint="cs"/>
          <w:rtl/>
        </w:rPr>
        <w:t>.</w:t>
      </w:r>
    </w:p>
    <w:p w14:paraId="6388897E" w14:textId="77777777" w:rsidR="00937923" w:rsidRDefault="00937923">
      <w:pPr>
        <w:spacing w:line="360" w:lineRule="auto"/>
        <w:jc w:val="both"/>
        <w:rPr>
          <w:rFonts w:ascii="Arial" w:hAnsi="Arial"/>
          <w:rtl/>
        </w:rPr>
      </w:pPr>
      <w:bookmarkStart w:id="6" w:name="ABSTRACT_END"/>
      <w:bookmarkEnd w:id="6"/>
    </w:p>
    <w:p w14:paraId="080FA57B" w14:textId="77777777" w:rsidR="00937923" w:rsidRDefault="007B79E7">
      <w:pPr>
        <w:spacing w:line="360" w:lineRule="auto"/>
        <w:jc w:val="both"/>
        <w:rPr>
          <w:rFonts w:ascii="Arial" w:hAnsi="Arial"/>
          <w:rtl/>
        </w:rPr>
      </w:pPr>
      <w:r>
        <w:rPr>
          <w:rFonts w:ascii="Arial" w:hAnsi="Arial" w:hint="cs"/>
          <w:rtl/>
        </w:rPr>
        <w:t xml:space="preserve">במסגרת ההסדר, הופנה הנאשם לשירות המבחן והתקבל בעניינו תסקיר. </w:t>
      </w:r>
    </w:p>
    <w:p w14:paraId="5B4C1914" w14:textId="77777777" w:rsidR="00937923" w:rsidRDefault="007B79E7">
      <w:pPr>
        <w:spacing w:line="360" w:lineRule="auto"/>
        <w:jc w:val="both"/>
        <w:rPr>
          <w:rFonts w:ascii="Arial" w:hAnsi="Arial"/>
          <w:rtl/>
        </w:rPr>
      </w:pPr>
      <w:r>
        <w:rPr>
          <w:rFonts w:ascii="Arial" w:hAnsi="Arial" w:hint="cs"/>
          <w:rtl/>
        </w:rPr>
        <w:t>כמו-כן הופנה הנאשם לממונה על עבודות השירות שלוש פעמים, ונמצא לא-כשיר לביצוע עבודות שירות.</w:t>
      </w:r>
    </w:p>
    <w:p w14:paraId="116AF35A" w14:textId="77777777" w:rsidR="00937923" w:rsidRDefault="00937923">
      <w:pPr>
        <w:spacing w:line="360" w:lineRule="auto"/>
        <w:jc w:val="both"/>
        <w:rPr>
          <w:rFonts w:ascii="Arial" w:hAnsi="Arial"/>
          <w:rtl/>
        </w:rPr>
      </w:pPr>
    </w:p>
    <w:p w14:paraId="4F068A6D" w14:textId="77777777" w:rsidR="00937923" w:rsidRDefault="007B79E7">
      <w:pPr>
        <w:spacing w:line="360" w:lineRule="auto"/>
        <w:jc w:val="both"/>
        <w:rPr>
          <w:rFonts w:ascii="Arial" w:hAnsi="Arial"/>
          <w:rtl/>
        </w:rPr>
      </w:pPr>
      <w:r>
        <w:rPr>
          <w:rFonts w:ascii="Arial" w:hAnsi="Arial" w:hint="cs"/>
          <w:rtl/>
        </w:rPr>
        <w:t xml:space="preserve">אפתח ואומר שהנאשם אינו מסוג הדמויות השכיחות בענף עיסוק זה: </w:t>
      </w:r>
    </w:p>
    <w:p w14:paraId="48F9636B" w14:textId="77777777" w:rsidR="00937923" w:rsidRDefault="007B79E7">
      <w:pPr>
        <w:spacing w:line="360" w:lineRule="auto"/>
        <w:jc w:val="both"/>
        <w:rPr>
          <w:rFonts w:ascii="Arial" w:hAnsi="Arial"/>
          <w:rtl/>
        </w:rPr>
      </w:pPr>
      <w:r>
        <w:rPr>
          <w:rFonts w:ascii="Arial" w:hAnsi="Arial" w:hint="cs"/>
          <w:rtl/>
        </w:rPr>
        <w:t>איש חולני כבן 64, בודד, הסובל מנכות נפשית, נטול עבר פלילי, הממלא את זמנו ומחסורו במכירה בקיוסק קטן שבבעלותו, המשמש לו במצוקתו גם בית.</w:t>
      </w:r>
    </w:p>
    <w:p w14:paraId="2267E853" w14:textId="77777777" w:rsidR="00937923" w:rsidRDefault="00937923">
      <w:pPr>
        <w:spacing w:line="360" w:lineRule="auto"/>
        <w:jc w:val="both"/>
        <w:rPr>
          <w:rFonts w:ascii="Arial" w:hAnsi="Arial"/>
          <w:rtl/>
        </w:rPr>
      </w:pPr>
    </w:p>
    <w:p w14:paraId="07487393" w14:textId="77777777" w:rsidR="00937923" w:rsidRDefault="007B79E7">
      <w:pPr>
        <w:spacing w:line="360" w:lineRule="auto"/>
        <w:jc w:val="both"/>
        <w:rPr>
          <w:rFonts w:ascii="Arial" w:hAnsi="Arial"/>
          <w:b/>
          <w:bCs/>
          <w:u w:val="single"/>
          <w:rtl/>
        </w:rPr>
      </w:pPr>
      <w:r>
        <w:rPr>
          <w:rFonts w:ascii="Arial" w:hAnsi="Arial" w:hint="cs"/>
          <w:b/>
          <w:bCs/>
          <w:u w:val="single"/>
          <w:rtl/>
        </w:rPr>
        <w:t xml:space="preserve">ובאשר למעשים: </w:t>
      </w:r>
    </w:p>
    <w:p w14:paraId="01868375" w14:textId="77777777" w:rsidR="00937923" w:rsidRDefault="00937923">
      <w:pPr>
        <w:spacing w:line="360" w:lineRule="auto"/>
        <w:jc w:val="both"/>
        <w:rPr>
          <w:rFonts w:ascii="Arial" w:hAnsi="Arial"/>
          <w:rtl/>
        </w:rPr>
      </w:pPr>
    </w:p>
    <w:p w14:paraId="206DC3B2" w14:textId="77777777" w:rsidR="00937923" w:rsidRDefault="007B79E7">
      <w:pPr>
        <w:spacing w:line="360" w:lineRule="auto"/>
        <w:jc w:val="both"/>
        <w:rPr>
          <w:rFonts w:ascii="Arial" w:hAnsi="Arial"/>
          <w:rtl/>
        </w:rPr>
      </w:pPr>
      <w:r>
        <w:rPr>
          <w:rFonts w:ascii="Arial" w:hAnsi="Arial" w:hint="cs"/>
          <w:rtl/>
        </w:rPr>
        <w:t xml:space="preserve">ביום 25.10.12 מכר הנאשם בקיוסק הנ"ל חשיש במשקל של </w:t>
      </w:r>
      <w:smartTag w:uri="urn:schemas-microsoft-com:office:smarttags" w:element="metricconverter">
        <w:smartTagPr>
          <w:attr w:name="ProductID" w:val="6.95 גרם"/>
        </w:smartTagPr>
        <w:r>
          <w:rPr>
            <w:rFonts w:ascii="Arial" w:hAnsi="Arial" w:hint="cs"/>
            <w:rtl/>
          </w:rPr>
          <w:t>6.95 גרם</w:t>
        </w:r>
      </w:smartTag>
      <w:r>
        <w:rPr>
          <w:rFonts w:ascii="Arial" w:hAnsi="Arial" w:hint="cs"/>
          <w:rtl/>
        </w:rPr>
        <w:t xml:space="preserve"> נטו תמורת 200 ₪ לאישה צעירה שלא היתה אלא סוכנת משטרתית, וביום 23.12.12 חזר על המעשה אך במשקל של </w:t>
      </w:r>
      <w:smartTag w:uri="urn:schemas-microsoft-com:office:smarttags" w:element="metricconverter">
        <w:smartTagPr>
          <w:attr w:name="ProductID" w:val="96.94 גרם"/>
        </w:smartTagPr>
        <w:r>
          <w:rPr>
            <w:rFonts w:ascii="Arial" w:hAnsi="Arial" w:hint="cs"/>
            <w:rtl/>
          </w:rPr>
          <w:t>96.94 גרם</w:t>
        </w:r>
      </w:smartTag>
      <w:r>
        <w:rPr>
          <w:rFonts w:ascii="Arial" w:hAnsi="Arial" w:hint="cs"/>
          <w:rtl/>
        </w:rPr>
        <w:t xml:space="preserve"> נטו תמורת 1,900 ₪.</w:t>
      </w:r>
    </w:p>
    <w:p w14:paraId="2DF9533E" w14:textId="77777777" w:rsidR="00937923" w:rsidRDefault="00937923">
      <w:pPr>
        <w:spacing w:line="360" w:lineRule="auto"/>
        <w:jc w:val="both"/>
        <w:rPr>
          <w:rFonts w:ascii="Arial" w:hAnsi="Arial"/>
          <w:rtl/>
        </w:rPr>
      </w:pPr>
    </w:p>
    <w:p w14:paraId="50FB2CC1" w14:textId="77777777" w:rsidR="00937923" w:rsidRDefault="007B79E7">
      <w:pPr>
        <w:spacing w:line="360" w:lineRule="auto"/>
        <w:jc w:val="both"/>
        <w:rPr>
          <w:rFonts w:ascii="Arial" w:hAnsi="Arial"/>
          <w:rtl/>
        </w:rPr>
      </w:pPr>
      <w:r>
        <w:rPr>
          <w:rFonts w:ascii="Arial" w:hAnsi="Arial" w:hint="cs"/>
          <w:b/>
          <w:bCs/>
          <w:u w:val="single"/>
          <w:rtl/>
        </w:rPr>
        <w:lastRenderedPageBreak/>
        <w:t xml:space="preserve">נסיבות המעשים </w:t>
      </w:r>
      <w:r>
        <w:rPr>
          <w:rFonts w:ascii="Arial" w:hAnsi="Arial"/>
          <w:b/>
          <w:bCs/>
          <w:u w:val="single"/>
          <w:rtl/>
        </w:rPr>
        <w:t>–</w:t>
      </w:r>
      <w:r>
        <w:rPr>
          <w:rFonts w:ascii="Arial" w:hAnsi="Arial" w:hint="cs"/>
          <w:b/>
          <w:bCs/>
          <w:u w:val="single"/>
          <w:rtl/>
        </w:rPr>
        <w:t xml:space="preserve"> קביעת מתחם העונש ההולם:</w:t>
      </w:r>
    </w:p>
    <w:p w14:paraId="4EF0C549" w14:textId="77777777" w:rsidR="00937923" w:rsidRDefault="00937923">
      <w:pPr>
        <w:spacing w:line="360" w:lineRule="auto"/>
        <w:jc w:val="both"/>
        <w:rPr>
          <w:rFonts w:ascii="Arial" w:hAnsi="Arial"/>
          <w:rtl/>
        </w:rPr>
      </w:pPr>
    </w:p>
    <w:p w14:paraId="05CD6986" w14:textId="77777777" w:rsidR="00937923" w:rsidRDefault="007B79E7">
      <w:pPr>
        <w:spacing w:line="360" w:lineRule="auto"/>
        <w:jc w:val="both"/>
        <w:rPr>
          <w:rFonts w:ascii="Arial" w:hAnsi="Arial"/>
          <w:rtl/>
        </w:rPr>
      </w:pPr>
      <w:r>
        <w:rPr>
          <w:rFonts w:ascii="Arial" w:hAnsi="Arial"/>
          <w:rtl/>
        </w:rPr>
        <w:t>הפסיקה חזרה וקבעה, בכל דרגות בתי המשפט, את כובד משקלם של הערכים החברתיים המוגנים בעבירות הסמים ואת חומרת הפגיעה בהם על ידי עברייני הסמים. מדובר בנגע האוכל בחברה בכל פה, משחית את הגוף ואת הנפש, ושולח גרורות בדמות עבירות אלימות ורכוש חמורות גם לאלו שאינם מעורבים בסחר בסם ובצריכתו. זאת, עוד טרם שנזכיר את האומללות הפוקדת את משפחות הצרכנים ואת השימוש ברווחי הסמים למימונם של ארגוני פשיעה ושל כל סוגי העבריינות הקשה.</w:t>
      </w:r>
      <w:r>
        <w:rPr>
          <w:rFonts w:ascii="Arial" w:hAnsi="Arial" w:hint="cs"/>
          <w:rtl/>
        </w:rPr>
        <w:t xml:space="preserve"> אלא, שהפגיעה בערכים אלו שונה ופחותה בהרבה כאשר מדובר בסם "קל" מסוג הקנאביס לסוגיו, והפסיקה </w:t>
      </w:r>
      <w:r>
        <w:rPr>
          <w:rFonts w:ascii="Arial" w:hAnsi="Arial"/>
          <w:rtl/>
        </w:rPr>
        <w:t>–</w:t>
      </w:r>
      <w:r>
        <w:rPr>
          <w:rFonts w:ascii="Arial" w:hAnsi="Arial" w:hint="cs"/>
          <w:rtl/>
        </w:rPr>
        <w:t xml:space="preserve"> הן המנחה והן הנוהגת </w:t>
      </w:r>
      <w:r>
        <w:rPr>
          <w:rFonts w:ascii="Arial" w:hAnsi="Arial"/>
          <w:rtl/>
        </w:rPr>
        <w:t>–</w:t>
      </w:r>
      <w:r>
        <w:rPr>
          <w:rFonts w:ascii="Arial" w:hAnsi="Arial" w:hint="cs"/>
          <w:rtl/>
        </w:rPr>
        <w:t xml:space="preserve"> מקפידה לאבחן בין הענישה הנלווית לעיסוק בסמים "קשים" לבין הענישה הנלווית לעיסוק בסמים "קלים", שהיא אכן קלה בהרבה.</w:t>
      </w:r>
    </w:p>
    <w:p w14:paraId="3455F1A7" w14:textId="77777777" w:rsidR="00937923" w:rsidRDefault="00937923">
      <w:pPr>
        <w:spacing w:line="360" w:lineRule="auto"/>
        <w:jc w:val="both"/>
        <w:rPr>
          <w:rFonts w:ascii="Arial" w:hAnsi="Arial"/>
          <w:rtl/>
        </w:rPr>
      </w:pPr>
    </w:p>
    <w:p w14:paraId="60246171" w14:textId="77777777" w:rsidR="00937923" w:rsidRDefault="007B79E7">
      <w:pPr>
        <w:spacing w:line="360" w:lineRule="auto"/>
        <w:jc w:val="both"/>
        <w:rPr>
          <w:rFonts w:ascii="Arial" w:hAnsi="Arial"/>
          <w:rtl/>
        </w:rPr>
      </w:pPr>
      <w:r>
        <w:rPr>
          <w:rFonts w:ascii="Arial" w:hAnsi="Arial" w:hint="cs"/>
          <w:rtl/>
        </w:rPr>
        <w:t>במקרה דנן, עולה מהראיות שהוגשו לעונש תמונה של אדם המעורה בסחר בסמים "קלים":</w:t>
      </w:r>
    </w:p>
    <w:p w14:paraId="6EBB1AB8" w14:textId="77777777" w:rsidR="00937923" w:rsidRDefault="007B79E7">
      <w:pPr>
        <w:spacing w:line="360" w:lineRule="auto"/>
        <w:jc w:val="both"/>
        <w:rPr>
          <w:rFonts w:ascii="Arial" w:hAnsi="Arial"/>
          <w:rtl/>
        </w:rPr>
      </w:pPr>
      <w:r>
        <w:rPr>
          <w:rFonts w:ascii="Arial" w:hAnsi="Arial" w:hint="cs"/>
          <w:rtl/>
        </w:rPr>
        <w:t xml:space="preserve">כשפנתה אליו הסוכנת והתעניינה בסמים, נכון היה הנאשם לספק לה את מבוקשה וזימן למקום אדם אחר, שהביא עמו 'דוגמיות' של "נייס גיא" וחומרים דומים. בשיחת טלפון שלאחר מכן, הנאשם הנחה את הסוכנת שלא להשתמש בקוד המוכר-לזרא "חוּם" אלא לדבר על "בייגלה". הנאשם שאל את הסוכנת לגבי כמות והם סיכמו לדבר בהמשך [דו"ח נע/1]. לאחר מספר ימים תאמו הנאשם והסוכנת את הגעתה של הסוכנת לקיוסק ושם פרס לה הנאשם חשיש מחתיכה ומכר לה במאתיים ₪. הנאשם סרב תחילה לקחת כסף מהסוכנת, אך 'התרצה', וגם נתן לה ניירות גלגול [דו"ח נע/2]. במועד אחר נכחה הסוכנת כשהנאשם דן עם אחרת על סם שיספק לה ב-250 ₪ ואז הסכים לבדוק אפשרות למכור לסוכנת כמות גדולה [דו"ח נע/3]. בהמשך הבין הנאשם שהסוכנת קונה על-מנת למכור הלאה, ולכן ביקש לקשר אותה ישירות עם הספק ולצאת מהתמונה [דו"ח נע/4]. הנאשם הזמין את הסוכנת להגיע עם 1,900 ₪ כדי לקבל את החשיש שקיבל הוא מהספק, מסר לה אותו מוסלק בעיתון מגולגל שהטיל לתוך רכבה של הסוכנת מבעד לחלון, ונטל את הכסף [דו"ח נע/6]. </w:t>
      </w:r>
    </w:p>
    <w:p w14:paraId="1AFCE98D" w14:textId="77777777" w:rsidR="00937923" w:rsidRDefault="007B79E7">
      <w:pPr>
        <w:spacing w:line="360" w:lineRule="auto"/>
        <w:jc w:val="both"/>
        <w:rPr>
          <w:rFonts w:ascii="Arial" w:hAnsi="Arial"/>
          <w:rtl/>
        </w:rPr>
      </w:pPr>
      <w:r>
        <w:rPr>
          <w:rFonts w:ascii="Arial" w:hAnsi="Arial" w:hint="cs"/>
          <w:rtl/>
        </w:rPr>
        <w:t>לנוכח האמור, יש לדחות כל טענה בדבר היות הסוכנת המשטרתית 'סוכנת מדיחה', וראו לעניין זה דיון ב</w:t>
      </w:r>
      <w:hyperlink r:id="rId12" w:history="1">
        <w:r w:rsidRPr="007B79E7">
          <w:rPr>
            <w:rFonts w:ascii="Arial" w:hAnsi="Arial"/>
            <w:color w:val="0000FF"/>
            <w:u w:val="single"/>
            <w:rtl/>
          </w:rPr>
          <w:t>עפ"ג 22938-07-12</w:t>
        </w:r>
      </w:hyperlink>
      <w:r>
        <w:rPr>
          <w:rFonts w:ascii="Arial" w:hAnsi="Arial" w:hint="cs"/>
          <w:rtl/>
        </w:rPr>
        <w:t xml:space="preserve"> </w:t>
      </w:r>
      <w:r>
        <w:rPr>
          <w:rFonts w:ascii="Arial" w:hAnsi="Arial" w:hint="cs"/>
          <w:b/>
          <w:bCs/>
          <w:rtl/>
        </w:rPr>
        <w:t>מ.י. נ' סויסה</w:t>
      </w:r>
      <w:r>
        <w:rPr>
          <w:rFonts w:ascii="Arial" w:hAnsi="Arial" w:hint="cs"/>
          <w:rtl/>
        </w:rPr>
        <w:t xml:space="preserve"> (2013).</w:t>
      </w:r>
    </w:p>
    <w:p w14:paraId="73987E7E" w14:textId="77777777" w:rsidR="00937923" w:rsidRDefault="00937923">
      <w:pPr>
        <w:spacing w:line="360" w:lineRule="auto"/>
        <w:jc w:val="both"/>
        <w:rPr>
          <w:rFonts w:ascii="Arial" w:hAnsi="Arial"/>
          <w:rtl/>
        </w:rPr>
      </w:pPr>
    </w:p>
    <w:p w14:paraId="3C39916C" w14:textId="77777777" w:rsidR="00937923" w:rsidRDefault="007B79E7">
      <w:pPr>
        <w:spacing w:line="360" w:lineRule="auto"/>
        <w:jc w:val="both"/>
        <w:rPr>
          <w:rFonts w:ascii="Arial" w:hAnsi="Arial"/>
          <w:rtl/>
        </w:rPr>
      </w:pPr>
      <w:r>
        <w:rPr>
          <w:rFonts w:ascii="Arial" w:hAnsi="Arial" w:hint="cs"/>
          <w:rtl/>
        </w:rPr>
        <w:t xml:space="preserve">הפגיעה בערכים המוגנים והנזק הפוטנציאלי לציבור משמעותיים אפוא, על-אף היות הסם "קל" מסוגו. מדובר בעבירות מתוכננות וחוזרות, שנעשו למטרת רווח </w:t>
      </w:r>
      <w:r>
        <w:rPr>
          <w:rFonts w:ascii="Arial" w:hAnsi="Arial"/>
          <w:rtl/>
        </w:rPr>
        <w:t>–</w:t>
      </w:r>
      <w:r>
        <w:rPr>
          <w:rFonts w:ascii="Arial" w:hAnsi="Arial" w:hint="cs"/>
          <w:rtl/>
        </w:rPr>
        <w:t xml:space="preserve"> אמנם, את הכמות הראשונית הקטנה-ביחס רצה הנאשם לתת 'חינם' (פרקטיקה שאיננה נדירה בין העוסקים בתחום) אך כלל המעשים המתוארים לעיל מעיד היטב על המטרה במסחר זה.</w:t>
      </w:r>
    </w:p>
    <w:p w14:paraId="078CBA93" w14:textId="77777777" w:rsidR="00937923" w:rsidRDefault="00937923">
      <w:pPr>
        <w:spacing w:line="360" w:lineRule="auto"/>
        <w:jc w:val="both"/>
        <w:rPr>
          <w:rFonts w:ascii="Arial" w:hAnsi="Arial"/>
          <w:rtl/>
        </w:rPr>
      </w:pPr>
    </w:p>
    <w:p w14:paraId="3CDE40D1" w14:textId="77777777" w:rsidR="00937923" w:rsidRDefault="007B79E7">
      <w:pPr>
        <w:spacing w:line="360" w:lineRule="auto"/>
        <w:jc w:val="both"/>
        <w:rPr>
          <w:rFonts w:ascii="Arial" w:hAnsi="Arial"/>
          <w:rtl/>
        </w:rPr>
      </w:pPr>
      <w:r>
        <w:rPr>
          <w:rFonts w:ascii="Arial" w:hAnsi="Arial" w:hint="cs"/>
          <w:rtl/>
        </w:rPr>
        <w:t xml:space="preserve">מדיניות הענישה הנוהגת במקרי סחר חוזרים בחשיש בכמויות דומות, של </w:t>
      </w:r>
      <w:smartTag w:uri="urn:schemas-microsoft-com:office:smarttags" w:element="metricconverter">
        <w:smartTagPr>
          <w:attr w:name="ProductID" w:val="100 גרם"/>
        </w:smartTagPr>
        <w:r>
          <w:rPr>
            <w:rFonts w:ascii="Arial" w:hAnsi="Arial" w:hint="cs"/>
            <w:rtl/>
          </w:rPr>
          <w:t>100 גרם</w:t>
        </w:r>
      </w:smartTag>
      <w:r>
        <w:rPr>
          <w:rFonts w:ascii="Arial" w:hAnsi="Arial" w:hint="cs"/>
          <w:rtl/>
        </w:rPr>
        <w:t xml:space="preserve"> או אף פחות, בנסיבות סחר ולא "חברתיות", מכוונת בעיקרה לעונשי כליאה-ממש למספר חודשים, או למצער </w:t>
      </w:r>
      <w:r>
        <w:rPr>
          <w:rFonts w:ascii="Arial" w:hAnsi="Arial"/>
          <w:rtl/>
        </w:rPr>
        <w:t>–</w:t>
      </w:r>
      <w:r>
        <w:rPr>
          <w:rFonts w:ascii="Arial" w:hAnsi="Arial" w:hint="cs"/>
          <w:rtl/>
        </w:rPr>
        <w:t xml:space="preserve"> למתחמי ענישה הנעים בין מספר חודשים הניתנים לריצוי בעבודות שירות ועד שמונה או עשרה </w:t>
      </w:r>
      <w:r>
        <w:rPr>
          <w:rFonts w:ascii="Arial" w:hAnsi="Arial" w:hint="cs"/>
          <w:rtl/>
        </w:rPr>
        <w:lastRenderedPageBreak/>
        <w:t xml:space="preserve">חודשי מאסר בפועל. לענישה במקרים מסוג זה ראו </w:t>
      </w:r>
      <w:hyperlink r:id="rId13" w:history="1">
        <w:r w:rsidRPr="007B79E7">
          <w:rPr>
            <w:rFonts w:ascii="Arial" w:hAnsi="Arial"/>
            <w:color w:val="0000FF"/>
            <w:u w:val="single"/>
            <w:rtl/>
          </w:rPr>
          <w:t>רע"פ 1271/13</w:t>
        </w:r>
      </w:hyperlink>
      <w:r>
        <w:rPr>
          <w:rFonts w:ascii="Arial" w:hAnsi="Arial" w:hint="cs"/>
          <w:rtl/>
        </w:rPr>
        <w:t xml:space="preserve"> </w:t>
      </w:r>
      <w:r>
        <w:rPr>
          <w:rFonts w:ascii="Arial" w:hAnsi="Arial" w:hint="cs"/>
          <w:b/>
          <w:bCs/>
          <w:rtl/>
        </w:rPr>
        <w:t>סויסה נ' מ.י.</w:t>
      </w:r>
      <w:r>
        <w:rPr>
          <w:rFonts w:ascii="Arial" w:hAnsi="Arial" w:hint="cs"/>
          <w:rtl/>
        </w:rPr>
        <w:t xml:space="preserve"> (2013); </w:t>
      </w:r>
      <w:hyperlink r:id="rId14" w:history="1">
        <w:r w:rsidRPr="007B79E7">
          <w:rPr>
            <w:rFonts w:ascii="Arial" w:hAnsi="Arial"/>
            <w:color w:val="0000FF"/>
            <w:u w:val="single"/>
            <w:rtl/>
          </w:rPr>
          <w:t>רע"פ 7996/12</w:t>
        </w:r>
      </w:hyperlink>
      <w:r>
        <w:rPr>
          <w:rFonts w:ascii="Arial" w:hAnsi="Arial" w:hint="cs"/>
          <w:rtl/>
        </w:rPr>
        <w:t xml:space="preserve"> </w:t>
      </w:r>
      <w:r>
        <w:rPr>
          <w:rFonts w:ascii="Arial" w:hAnsi="Arial" w:hint="cs"/>
          <w:b/>
          <w:bCs/>
          <w:rtl/>
        </w:rPr>
        <w:t>יוסף נ' מ.י.</w:t>
      </w:r>
      <w:r>
        <w:rPr>
          <w:rFonts w:ascii="Arial" w:hAnsi="Arial" w:hint="cs"/>
          <w:rtl/>
        </w:rPr>
        <w:t xml:space="preserve"> (2013) </w:t>
      </w:r>
      <w:r>
        <w:rPr>
          <w:rFonts w:ascii="Arial" w:hAnsi="Arial"/>
          <w:rtl/>
        </w:rPr>
        <w:t>–</w:t>
      </w:r>
      <w:r>
        <w:rPr>
          <w:rFonts w:ascii="Arial" w:hAnsi="Arial" w:hint="cs"/>
          <w:rtl/>
        </w:rPr>
        <w:t xml:space="preserve"> שם נמצא התייחסות מפורשת לצורך בענישה מחמירה גם כשמדובר על כמויות קטנות של חשיש; </w:t>
      </w:r>
      <w:hyperlink r:id="rId15" w:history="1">
        <w:r w:rsidRPr="007B79E7">
          <w:rPr>
            <w:rFonts w:ascii="Arial" w:hAnsi="Arial"/>
            <w:color w:val="0000FF"/>
            <w:u w:val="single"/>
            <w:rtl/>
          </w:rPr>
          <w:t>רע"פ 545/09</w:t>
        </w:r>
      </w:hyperlink>
      <w:r>
        <w:rPr>
          <w:rFonts w:ascii="Arial" w:hAnsi="Arial" w:hint="cs"/>
          <w:rtl/>
        </w:rPr>
        <w:t xml:space="preserve"> </w:t>
      </w:r>
      <w:r>
        <w:rPr>
          <w:rFonts w:ascii="Arial" w:hAnsi="Arial" w:hint="cs"/>
          <w:b/>
          <w:bCs/>
          <w:rtl/>
        </w:rPr>
        <w:t>פינגל נ' מ.י.</w:t>
      </w:r>
      <w:r>
        <w:rPr>
          <w:rFonts w:ascii="Arial" w:hAnsi="Arial" w:hint="cs"/>
          <w:rtl/>
        </w:rPr>
        <w:t xml:space="preserve"> (2009); מתחמים שנקבעו ב</w:t>
      </w:r>
      <w:hyperlink r:id="rId16" w:history="1">
        <w:r w:rsidRPr="007B79E7">
          <w:rPr>
            <w:rFonts w:ascii="Arial" w:hAnsi="Arial"/>
            <w:color w:val="0000FF"/>
            <w:u w:val="single"/>
            <w:rtl/>
          </w:rPr>
          <w:t>ת"פ 16723-07-14</w:t>
        </w:r>
      </w:hyperlink>
      <w:r>
        <w:rPr>
          <w:rFonts w:ascii="Arial" w:hAnsi="Arial" w:hint="cs"/>
          <w:rtl/>
        </w:rPr>
        <w:t xml:space="preserve"> </w:t>
      </w:r>
      <w:r>
        <w:rPr>
          <w:rFonts w:ascii="Arial" w:hAnsi="Arial" w:hint="cs"/>
          <w:b/>
          <w:bCs/>
          <w:rtl/>
        </w:rPr>
        <w:t xml:space="preserve">מ.י. נ' אדסון </w:t>
      </w:r>
      <w:r>
        <w:rPr>
          <w:rFonts w:ascii="Arial" w:hAnsi="Arial" w:hint="cs"/>
          <w:rtl/>
        </w:rPr>
        <w:t>(2014); מתחמים שנקבעו ב</w:t>
      </w:r>
      <w:hyperlink r:id="rId17" w:history="1">
        <w:r w:rsidRPr="007B79E7">
          <w:rPr>
            <w:rFonts w:ascii="Arial" w:hAnsi="Arial"/>
            <w:color w:val="0000FF"/>
            <w:u w:val="single"/>
            <w:rtl/>
          </w:rPr>
          <w:t>ת"פ 34974-01-12</w:t>
        </w:r>
      </w:hyperlink>
      <w:r>
        <w:rPr>
          <w:rFonts w:ascii="Arial" w:hAnsi="Arial" w:hint="cs"/>
          <w:rtl/>
        </w:rPr>
        <w:t xml:space="preserve"> </w:t>
      </w:r>
      <w:r>
        <w:rPr>
          <w:rFonts w:ascii="Arial" w:hAnsi="Arial" w:hint="cs"/>
          <w:b/>
          <w:bCs/>
          <w:rtl/>
        </w:rPr>
        <w:t>מ.י. נ' מזרחי</w:t>
      </w:r>
      <w:r>
        <w:rPr>
          <w:rFonts w:ascii="Arial" w:hAnsi="Arial" w:hint="cs"/>
          <w:rtl/>
        </w:rPr>
        <w:t xml:space="preserve"> (2013); </w:t>
      </w:r>
      <w:hyperlink r:id="rId18" w:history="1">
        <w:r w:rsidRPr="007B79E7">
          <w:rPr>
            <w:rFonts w:ascii="Arial" w:hAnsi="Arial"/>
            <w:color w:val="0000FF"/>
            <w:u w:val="single"/>
            <w:rtl/>
          </w:rPr>
          <w:t>ת"פ 33125-01-14</w:t>
        </w:r>
      </w:hyperlink>
      <w:r>
        <w:rPr>
          <w:rFonts w:ascii="Arial" w:hAnsi="Arial" w:hint="cs"/>
          <w:rtl/>
        </w:rPr>
        <w:t xml:space="preserve"> </w:t>
      </w:r>
      <w:r>
        <w:rPr>
          <w:rFonts w:ascii="Arial" w:hAnsi="Arial" w:hint="cs"/>
          <w:b/>
          <w:bCs/>
          <w:rtl/>
        </w:rPr>
        <w:t>מ.י. נ' אבו לבן</w:t>
      </w:r>
      <w:r>
        <w:rPr>
          <w:rFonts w:ascii="Arial" w:hAnsi="Arial" w:hint="cs"/>
          <w:rtl/>
        </w:rPr>
        <w:t xml:space="preserve"> (2014), מתחם שנקבע וסקירת עונשים בכמויות דומות; מקל וחומר, ראו מתחם שנקבע בגין החזקת </w:t>
      </w:r>
      <w:smartTag w:uri="urn:schemas-microsoft-com:office:smarttags" w:element="metricconverter">
        <w:smartTagPr>
          <w:attr w:name="ProductID" w:val="92 גרם"/>
        </w:smartTagPr>
        <w:r>
          <w:rPr>
            <w:rFonts w:ascii="Arial" w:hAnsi="Arial" w:hint="cs"/>
            <w:rtl/>
          </w:rPr>
          <w:t>92 גרם</w:t>
        </w:r>
      </w:smartTag>
      <w:r>
        <w:rPr>
          <w:rFonts w:ascii="Arial" w:hAnsi="Arial" w:hint="cs"/>
          <w:rtl/>
        </w:rPr>
        <w:t xml:space="preserve"> חשיש ב</w:t>
      </w:r>
      <w:hyperlink r:id="rId19" w:history="1">
        <w:r w:rsidRPr="007B79E7">
          <w:rPr>
            <w:rFonts w:ascii="Arial" w:hAnsi="Arial"/>
            <w:color w:val="0000FF"/>
            <w:u w:val="single"/>
            <w:rtl/>
          </w:rPr>
          <w:t>ת"פ 48198-02-13</w:t>
        </w:r>
      </w:hyperlink>
      <w:r>
        <w:rPr>
          <w:rFonts w:ascii="Arial" w:hAnsi="Arial" w:hint="cs"/>
          <w:rtl/>
        </w:rPr>
        <w:t xml:space="preserve"> </w:t>
      </w:r>
      <w:r>
        <w:rPr>
          <w:rFonts w:ascii="Arial" w:hAnsi="Arial" w:hint="cs"/>
          <w:b/>
          <w:bCs/>
          <w:rtl/>
        </w:rPr>
        <w:t>מ.י. נ' כהן</w:t>
      </w:r>
      <w:r>
        <w:rPr>
          <w:rFonts w:ascii="Arial" w:hAnsi="Arial" w:hint="cs"/>
          <w:rtl/>
        </w:rPr>
        <w:t xml:space="preserve"> (2014) ואושר ב</w:t>
      </w:r>
      <w:hyperlink r:id="rId20" w:history="1">
        <w:r w:rsidRPr="007B79E7">
          <w:rPr>
            <w:rFonts w:ascii="Arial" w:hAnsi="Arial"/>
            <w:color w:val="0000FF"/>
            <w:u w:val="single"/>
            <w:rtl/>
          </w:rPr>
          <w:t>עפ"ג 53148-07-14</w:t>
        </w:r>
      </w:hyperlink>
      <w:r>
        <w:rPr>
          <w:rFonts w:ascii="Arial" w:hAnsi="Arial" w:hint="cs"/>
          <w:rtl/>
        </w:rPr>
        <w:t xml:space="preserve"> </w:t>
      </w:r>
      <w:r>
        <w:rPr>
          <w:rFonts w:ascii="Arial" w:hAnsi="Arial" w:hint="cs"/>
          <w:b/>
          <w:bCs/>
          <w:rtl/>
        </w:rPr>
        <w:t>כהן נ' מ.י.</w:t>
      </w:r>
      <w:r>
        <w:rPr>
          <w:rFonts w:ascii="Arial" w:hAnsi="Arial" w:hint="cs"/>
          <w:rtl/>
        </w:rPr>
        <w:t xml:space="preserve"> (2014) וב</w:t>
      </w:r>
      <w:hyperlink r:id="rId21" w:history="1">
        <w:r w:rsidRPr="007B79E7">
          <w:rPr>
            <w:rFonts w:ascii="Arial" w:hAnsi="Arial"/>
            <w:color w:val="0000FF"/>
            <w:u w:val="single"/>
            <w:rtl/>
          </w:rPr>
          <w:t>רע"פ 189/15</w:t>
        </w:r>
      </w:hyperlink>
      <w:r>
        <w:rPr>
          <w:rFonts w:ascii="Arial" w:hAnsi="Arial" w:hint="cs"/>
          <w:rtl/>
        </w:rPr>
        <w:t xml:space="preserve"> </w:t>
      </w:r>
      <w:r>
        <w:rPr>
          <w:rFonts w:ascii="Arial" w:hAnsi="Arial" w:hint="cs"/>
          <w:b/>
          <w:bCs/>
          <w:rtl/>
        </w:rPr>
        <w:t>כהן נ' מ.י.</w:t>
      </w:r>
      <w:r>
        <w:rPr>
          <w:rFonts w:ascii="Arial" w:hAnsi="Arial" w:hint="cs"/>
          <w:rtl/>
        </w:rPr>
        <w:t xml:space="preserve"> (2015).</w:t>
      </w:r>
    </w:p>
    <w:p w14:paraId="35695A3C" w14:textId="77777777" w:rsidR="00937923" w:rsidRDefault="00937923">
      <w:pPr>
        <w:spacing w:line="360" w:lineRule="auto"/>
        <w:jc w:val="both"/>
        <w:rPr>
          <w:rFonts w:ascii="Arial" w:hAnsi="Arial"/>
          <w:rtl/>
        </w:rPr>
      </w:pPr>
    </w:p>
    <w:p w14:paraId="25B76E24" w14:textId="77777777" w:rsidR="00937923" w:rsidRDefault="007B79E7">
      <w:pPr>
        <w:spacing w:line="360" w:lineRule="auto"/>
        <w:jc w:val="both"/>
        <w:rPr>
          <w:rFonts w:ascii="Arial" w:hAnsi="Arial"/>
          <w:rtl/>
        </w:rPr>
      </w:pPr>
      <w:r>
        <w:rPr>
          <w:rFonts w:ascii="Arial" w:hAnsi="Arial" w:hint="cs"/>
          <w:rtl/>
        </w:rPr>
        <w:t>המעשים הנבדלים בזמן מצדיקים קביעת מתחם עונשי לכל אחד מהם, שייקבע בהתחשב בהפרש הגדול במשקל, המגלם פוטנציאל נזק. עם-זאת החזרתיות והעיסוק בסחר ישפיעו על קביעת המתחמים לחומרה:</w:t>
      </w:r>
    </w:p>
    <w:p w14:paraId="0909135A" w14:textId="77777777" w:rsidR="00937923" w:rsidRDefault="007B79E7">
      <w:pPr>
        <w:spacing w:line="360" w:lineRule="auto"/>
        <w:jc w:val="both"/>
        <w:rPr>
          <w:rFonts w:ascii="Arial" w:hAnsi="Arial"/>
          <w:rtl/>
        </w:rPr>
      </w:pPr>
      <w:r>
        <w:rPr>
          <w:rFonts w:ascii="Arial" w:hAnsi="Arial" w:hint="cs"/>
          <w:rtl/>
        </w:rPr>
        <w:t xml:space="preserve">בגין מכירת </w:t>
      </w:r>
      <w:smartTag w:uri="urn:schemas-microsoft-com:office:smarttags" w:element="metricconverter">
        <w:smartTagPr>
          <w:attr w:name="ProductID" w:val="6.95 גרם"/>
        </w:smartTagPr>
        <w:r>
          <w:rPr>
            <w:rFonts w:ascii="Arial" w:hAnsi="Arial" w:hint="cs"/>
            <w:rtl/>
          </w:rPr>
          <w:t>6.95 גרם</w:t>
        </w:r>
      </w:smartTag>
      <w:r>
        <w:rPr>
          <w:rFonts w:ascii="Arial" w:hAnsi="Arial" w:hint="cs"/>
          <w:rtl/>
        </w:rPr>
        <w:t xml:space="preserve"> נטו חשיש, ייקבע מתחם שבין שלושה לבין שישה חודשי מאסר, הניתנים לריצוי גם בעבודות שירות, כעונש עיקרי;</w:t>
      </w:r>
    </w:p>
    <w:p w14:paraId="3C3826FB" w14:textId="77777777" w:rsidR="00937923" w:rsidRDefault="007B79E7">
      <w:pPr>
        <w:spacing w:line="360" w:lineRule="auto"/>
        <w:jc w:val="both"/>
        <w:rPr>
          <w:rFonts w:ascii="Arial" w:hAnsi="Arial"/>
          <w:rtl/>
        </w:rPr>
      </w:pPr>
      <w:r>
        <w:rPr>
          <w:rFonts w:ascii="Arial" w:hAnsi="Arial" w:hint="cs"/>
          <w:rtl/>
        </w:rPr>
        <w:t xml:space="preserve">בגין מכירת </w:t>
      </w:r>
      <w:smartTag w:uri="urn:schemas-microsoft-com:office:smarttags" w:element="metricconverter">
        <w:smartTagPr>
          <w:attr w:name="ProductID" w:val="96.94 גרם"/>
        </w:smartTagPr>
        <w:r>
          <w:rPr>
            <w:rFonts w:ascii="Arial" w:hAnsi="Arial" w:hint="cs"/>
            <w:rtl/>
          </w:rPr>
          <w:t>96.94 גרם</w:t>
        </w:r>
      </w:smartTag>
      <w:r>
        <w:rPr>
          <w:rFonts w:ascii="Arial" w:hAnsi="Arial" w:hint="cs"/>
          <w:rtl/>
        </w:rPr>
        <w:t xml:space="preserve"> נטו חשיש, ייקבע מתחם שבין שישה לבין 18 חודשי מאסר, כעונש עיקרי;</w:t>
      </w:r>
    </w:p>
    <w:p w14:paraId="513C495E" w14:textId="77777777" w:rsidR="00937923" w:rsidRDefault="00937923">
      <w:pPr>
        <w:spacing w:line="360" w:lineRule="auto"/>
        <w:jc w:val="both"/>
        <w:rPr>
          <w:rFonts w:ascii="Arial" w:hAnsi="Arial"/>
          <w:rtl/>
        </w:rPr>
      </w:pPr>
    </w:p>
    <w:p w14:paraId="10D7815B" w14:textId="77777777" w:rsidR="00937923" w:rsidRDefault="007B79E7">
      <w:pPr>
        <w:spacing w:line="360" w:lineRule="auto"/>
        <w:jc w:val="both"/>
        <w:rPr>
          <w:rFonts w:ascii="Arial" w:hAnsi="Arial"/>
          <w:b/>
          <w:bCs/>
          <w:u w:val="single"/>
          <w:rtl/>
        </w:rPr>
      </w:pPr>
      <w:r>
        <w:rPr>
          <w:rFonts w:ascii="Arial" w:hAnsi="Arial" w:hint="cs"/>
          <w:b/>
          <w:bCs/>
          <w:u w:val="single"/>
          <w:rtl/>
        </w:rPr>
        <w:t>נסיבות שאינן קשורות בעבירות - קביעת העונש במתחמים:</w:t>
      </w:r>
    </w:p>
    <w:p w14:paraId="368A2A3E" w14:textId="77777777" w:rsidR="00937923" w:rsidRDefault="00937923">
      <w:pPr>
        <w:spacing w:line="360" w:lineRule="auto"/>
        <w:jc w:val="both"/>
        <w:rPr>
          <w:rtl/>
        </w:rPr>
      </w:pPr>
    </w:p>
    <w:p w14:paraId="6D83707A" w14:textId="77777777" w:rsidR="00937923" w:rsidRDefault="007B79E7">
      <w:pPr>
        <w:spacing w:line="360" w:lineRule="auto"/>
        <w:jc w:val="both"/>
        <w:rPr>
          <w:rtl/>
        </w:rPr>
      </w:pPr>
      <w:r>
        <w:rPr>
          <w:rFonts w:hint="cs"/>
          <w:rtl/>
        </w:rPr>
        <w:t>הנאשם יליד 1951, כבן 64, אב לארבעה ילדים בוגרים. הנאשם פרוד מאשתו ומתגורר כיום בקיוסק הקטן אותו הוא מחזיק לפרנסתו. בעקבות שני מעשי שוד להם נפל קורבן, בשנת 1994 ובשנת 2003, אובחן הנאשם כסובל מהפרעת אישיות ומהפרעה פוסט-טראומטית, והוא אף מוכר על-ידי הביטוח הלאומי כנכה נפשית. בנוסף, הנאשם סובל מליקויים פיזיים שונים. חייו של הנאשם, כמצטייר מהתסקיר והראיות, מוגבלים ובודדים, ונראה כי הם מצטמצמים במלואם לקיוסק, שהוא גם המקום בו מקיים הנאשם אינטראקציות אנושיות ואיננו רק מקור פרנסה. אין לנאשם עבר פלילי ואף אין נגדו תיקים פתוחים. מפאת מאפייניו הדלים, הנאשם אינו יכול להיתרם מטיפול, לו הוא מסרב.</w:t>
      </w:r>
    </w:p>
    <w:p w14:paraId="667EDDFF" w14:textId="77777777" w:rsidR="00937923" w:rsidRDefault="007B79E7">
      <w:pPr>
        <w:spacing w:line="360" w:lineRule="auto"/>
        <w:jc w:val="both"/>
        <w:rPr>
          <w:rtl/>
        </w:rPr>
      </w:pPr>
      <w:r>
        <w:rPr>
          <w:rFonts w:hint="cs"/>
          <w:rtl/>
        </w:rPr>
        <w:t>הנאשם נמצא כלא כשיר לביצוע עבודות שירות.</w:t>
      </w:r>
    </w:p>
    <w:p w14:paraId="2C176C36" w14:textId="77777777" w:rsidR="00937923" w:rsidRDefault="00937923">
      <w:pPr>
        <w:spacing w:line="360" w:lineRule="auto"/>
        <w:jc w:val="both"/>
        <w:rPr>
          <w:rtl/>
        </w:rPr>
      </w:pPr>
    </w:p>
    <w:p w14:paraId="199F0EAA" w14:textId="77777777" w:rsidR="00937923" w:rsidRDefault="007B79E7">
      <w:pPr>
        <w:spacing w:line="360" w:lineRule="auto"/>
        <w:jc w:val="both"/>
        <w:rPr>
          <w:rtl/>
        </w:rPr>
      </w:pPr>
      <w:r>
        <w:rPr>
          <w:rFonts w:hint="cs"/>
          <w:rtl/>
        </w:rPr>
        <w:t>ברור, שבנסיבות אלו יהיה המאסר קשה מנשוא עבור הנאשם, הן מפאת מאפייני אישיותו והעדרם של כישורים חברתיים, הן מפאת כריתתו של מטה לחמו הדל, והן מפאת חסרונה של מערכת תומכת. יש לתת משקל נכבד לנסיבות חייו הקשות של הנאשם, להודייתו המבטאת נטילת אחריות (ככל שמאפשרות אישיותו ויכולת-תפיסתו הדלות), ולהעדר עבר פלילי.</w:t>
      </w:r>
    </w:p>
    <w:p w14:paraId="06024855" w14:textId="77777777" w:rsidR="00937923" w:rsidRDefault="00937923">
      <w:pPr>
        <w:spacing w:line="360" w:lineRule="auto"/>
        <w:jc w:val="both"/>
        <w:rPr>
          <w:rtl/>
        </w:rPr>
      </w:pPr>
    </w:p>
    <w:p w14:paraId="209D9DAD" w14:textId="77777777" w:rsidR="00937923" w:rsidRDefault="007B79E7">
      <w:pPr>
        <w:spacing w:line="360" w:lineRule="auto"/>
        <w:jc w:val="both"/>
        <w:rPr>
          <w:rtl/>
        </w:rPr>
      </w:pPr>
      <w:r>
        <w:rPr>
          <w:rFonts w:hint="cs"/>
          <w:rtl/>
        </w:rPr>
        <w:t xml:space="preserve">כיון שכך, ייקבע העונש העיקרי בחלקם התחתון של המתחמים, כשהעונש ייקבע כאחד תוך חפיפה בין העונשים, לנוכח הנסיבות שנימנו לעיל, ולנוכח הזיקה הברורה בין המעשים. מאותם נימוקים שבמצבו של הנאשם אמנע מעיצום כספי בעין. </w:t>
      </w:r>
    </w:p>
    <w:p w14:paraId="59B6C38C" w14:textId="77777777" w:rsidR="00937923" w:rsidRDefault="00937923">
      <w:pPr>
        <w:spacing w:line="360" w:lineRule="auto"/>
        <w:jc w:val="both"/>
        <w:rPr>
          <w:rtl/>
        </w:rPr>
      </w:pPr>
    </w:p>
    <w:p w14:paraId="5378B98F" w14:textId="77777777" w:rsidR="00B075B3" w:rsidRDefault="007B79E7" w:rsidP="00B075B3">
      <w:pPr>
        <w:spacing w:line="360" w:lineRule="auto"/>
        <w:jc w:val="both"/>
        <w:rPr>
          <w:rFonts w:hint="cs"/>
          <w:rtl/>
        </w:rPr>
      </w:pPr>
      <w:r>
        <w:rPr>
          <w:rFonts w:hint="cs"/>
          <w:rtl/>
        </w:rPr>
        <w:t>אין מנוס אפוא מהטלת מאסר, ולו בחלקו התחתון של המתחם החמור-יותר, על-אף מצבו של הנאשם. כפי שנקבע ב</w:t>
      </w:r>
      <w:hyperlink r:id="rId22" w:history="1">
        <w:r w:rsidRPr="007B79E7">
          <w:rPr>
            <w:color w:val="0000FF"/>
            <w:u w:val="single"/>
            <w:rtl/>
          </w:rPr>
          <w:t>ע"פ 5956/13</w:t>
        </w:r>
      </w:hyperlink>
      <w:r>
        <w:rPr>
          <w:rtl/>
        </w:rPr>
        <w:t xml:space="preserve"> </w:t>
      </w:r>
      <w:r>
        <w:rPr>
          <w:b/>
          <w:bCs/>
          <w:rtl/>
        </w:rPr>
        <w:t>מ.י. נ' אבו נגמה</w:t>
      </w:r>
      <w:r>
        <w:rPr>
          <w:rtl/>
        </w:rPr>
        <w:t xml:space="preserve"> (2013)</w:t>
      </w:r>
      <w:r>
        <w:rPr>
          <w:rFonts w:hint="cs"/>
          <w:rtl/>
        </w:rPr>
        <w:t>, מצבו הרפואי של נאשם אינו נסיבה המאפשרת חריגה ממתחם העונש ויש להבהיר, כי גם נסיבותיו האחרות אינן מאפשרות זאת.</w:t>
      </w:r>
    </w:p>
    <w:p w14:paraId="59738BC6" w14:textId="77777777" w:rsidR="00937923" w:rsidRDefault="007B79E7" w:rsidP="00B075B3">
      <w:pPr>
        <w:spacing w:line="360" w:lineRule="auto"/>
        <w:jc w:val="both"/>
        <w:rPr>
          <w:b/>
          <w:bCs/>
          <w:u w:val="single"/>
          <w:rtl/>
        </w:rPr>
      </w:pPr>
      <w:r>
        <w:rPr>
          <w:rFonts w:hint="cs"/>
          <w:b/>
          <w:bCs/>
          <w:u w:val="single"/>
          <w:rtl/>
        </w:rPr>
        <w:t>סוף-דבר, אני גוזר על הנאשם את העונשים הבאים:</w:t>
      </w:r>
    </w:p>
    <w:p w14:paraId="40C60931" w14:textId="77777777" w:rsidR="00937923" w:rsidRDefault="00937923">
      <w:pPr>
        <w:spacing w:line="360" w:lineRule="auto"/>
        <w:ind w:left="720" w:hanging="720"/>
        <w:jc w:val="both"/>
        <w:rPr>
          <w:rtl/>
        </w:rPr>
      </w:pPr>
    </w:p>
    <w:p w14:paraId="085B639D" w14:textId="77777777" w:rsidR="00937923" w:rsidRDefault="007B79E7">
      <w:pPr>
        <w:spacing w:line="360" w:lineRule="auto"/>
        <w:ind w:left="720" w:hanging="720"/>
        <w:jc w:val="both"/>
        <w:rPr>
          <w:rtl/>
        </w:rPr>
      </w:pPr>
      <w:r>
        <w:rPr>
          <w:rFonts w:hint="cs"/>
          <w:rtl/>
        </w:rPr>
        <w:t>א.</w:t>
      </w:r>
      <w:r>
        <w:rPr>
          <w:rFonts w:hint="cs"/>
          <w:rtl/>
        </w:rPr>
        <w:tab/>
        <w:t>שישה חודשי מאסר בפועל בניכוי ימי מעצרו מיום 30.4.13 עד יום 6.5.13 (ואפילו יראו רישומי שב"ס אחרת);</w:t>
      </w:r>
    </w:p>
    <w:p w14:paraId="3509241A" w14:textId="77777777" w:rsidR="00937923" w:rsidRDefault="00937923">
      <w:pPr>
        <w:spacing w:line="360" w:lineRule="auto"/>
        <w:ind w:left="720" w:hanging="720"/>
        <w:jc w:val="both"/>
        <w:rPr>
          <w:rtl/>
        </w:rPr>
      </w:pPr>
    </w:p>
    <w:p w14:paraId="3ABAB769" w14:textId="77777777" w:rsidR="00937923" w:rsidRDefault="007B79E7">
      <w:pPr>
        <w:spacing w:line="360" w:lineRule="auto"/>
        <w:ind w:left="720" w:hanging="720"/>
        <w:jc w:val="both"/>
        <w:rPr>
          <w:rtl/>
        </w:rPr>
      </w:pPr>
      <w:r>
        <w:rPr>
          <w:rFonts w:hint="cs"/>
          <w:rtl/>
        </w:rPr>
        <w:t>ב.</w:t>
      </w:r>
      <w:r>
        <w:rPr>
          <w:rFonts w:hint="cs"/>
          <w:rtl/>
        </w:rPr>
        <w:tab/>
        <w:t>מאסר על-תנאי בן ארבעה חודשים למשך שנתיים מיום שחרורו, שלא יעבור עבירת סם מסוג פשע;</w:t>
      </w:r>
    </w:p>
    <w:p w14:paraId="281B194D" w14:textId="77777777" w:rsidR="00937923" w:rsidRDefault="00937923">
      <w:pPr>
        <w:spacing w:line="360" w:lineRule="auto"/>
        <w:ind w:left="720" w:hanging="720"/>
        <w:jc w:val="both"/>
        <w:rPr>
          <w:rtl/>
        </w:rPr>
      </w:pPr>
    </w:p>
    <w:p w14:paraId="32A676DD" w14:textId="77777777" w:rsidR="00937923" w:rsidRDefault="007B79E7">
      <w:pPr>
        <w:spacing w:line="360" w:lineRule="auto"/>
        <w:ind w:left="720" w:hanging="720"/>
        <w:jc w:val="both"/>
        <w:rPr>
          <w:rtl/>
        </w:rPr>
      </w:pPr>
      <w:r>
        <w:rPr>
          <w:rFonts w:hint="cs"/>
          <w:rtl/>
        </w:rPr>
        <w:t xml:space="preserve">ג. </w:t>
      </w:r>
      <w:r>
        <w:rPr>
          <w:rFonts w:hint="cs"/>
          <w:rtl/>
        </w:rPr>
        <w:tab/>
        <w:t>התחייבות בסך 2,000 ₪ למשך שנתיים מיום שחרורו, שלא יעבור עבירת סם מסוג פשע. לא תיחתם ההתחייבות, ייאסר הנאשם לשבועיים ימים נוספים;</w:t>
      </w:r>
    </w:p>
    <w:p w14:paraId="372AD899" w14:textId="77777777" w:rsidR="00937923" w:rsidRDefault="00937923">
      <w:pPr>
        <w:spacing w:line="360" w:lineRule="auto"/>
        <w:ind w:left="720" w:hanging="720"/>
        <w:jc w:val="both"/>
        <w:rPr>
          <w:rtl/>
        </w:rPr>
      </w:pPr>
    </w:p>
    <w:p w14:paraId="01C43709" w14:textId="77777777" w:rsidR="00937923" w:rsidRDefault="007B79E7">
      <w:pPr>
        <w:spacing w:line="360" w:lineRule="auto"/>
        <w:ind w:left="720" w:hanging="720"/>
        <w:jc w:val="both"/>
        <w:rPr>
          <w:rtl/>
        </w:rPr>
      </w:pPr>
      <w:r>
        <w:rPr>
          <w:rFonts w:hint="cs"/>
          <w:rtl/>
        </w:rPr>
        <w:t>ד.</w:t>
      </w:r>
      <w:r>
        <w:rPr>
          <w:rFonts w:hint="cs"/>
          <w:rtl/>
        </w:rPr>
        <w:tab/>
        <w:t>אני פוסל את הנאשם מלנהוג או לקבל רישיון נהיגה למשך שנה מיום שחרורו;</w:t>
      </w:r>
    </w:p>
    <w:p w14:paraId="5F7FF264" w14:textId="77777777" w:rsidR="00937923" w:rsidRDefault="00937923">
      <w:pPr>
        <w:spacing w:line="360" w:lineRule="auto"/>
        <w:ind w:left="720" w:hanging="720"/>
        <w:jc w:val="both"/>
        <w:rPr>
          <w:rtl/>
        </w:rPr>
      </w:pPr>
    </w:p>
    <w:p w14:paraId="4A82C0EB" w14:textId="77777777" w:rsidR="00937923" w:rsidRDefault="007B79E7">
      <w:pPr>
        <w:spacing w:line="360" w:lineRule="auto"/>
        <w:ind w:left="720" w:hanging="720"/>
        <w:jc w:val="both"/>
        <w:rPr>
          <w:b/>
          <w:bCs/>
          <w:u w:val="single"/>
          <w:rtl/>
        </w:rPr>
      </w:pPr>
      <w:r>
        <w:rPr>
          <w:rFonts w:hint="cs"/>
          <w:b/>
          <w:bCs/>
          <w:u w:val="single"/>
          <w:rtl/>
        </w:rPr>
        <w:t>הוראות נלוות:</w:t>
      </w:r>
    </w:p>
    <w:p w14:paraId="152FD901" w14:textId="77777777" w:rsidR="00937923" w:rsidRDefault="007B79E7">
      <w:pPr>
        <w:spacing w:line="360" w:lineRule="auto"/>
        <w:ind w:left="720" w:hanging="720"/>
        <w:jc w:val="both"/>
        <w:rPr>
          <w:rtl/>
        </w:rPr>
      </w:pPr>
      <w:r>
        <w:rPr>
          <w:rFonts w:hint="cs"/>
          <w:rtl/>
        </w:rPr>
        <w:t>א.</w:t>
      </w:r>
      <w:r>
        <w:rPr>
          <w:rFonts w:hint="cs"/>
          <w:rtl/>
        </w:rPr>
        <w:tab/>
        <w:t>מוצגים: סמים יושמדו, טלפון נייד יחולט לפי החלטה קודמת, כל מוצג אחר פרט לכסף יועבר להכרעה פרטנית של קצין משטרה;</w:t>
      </w:r>
    </w:p>
    <w:p w14:paraId="67A4C8D6" w14:textId="77777777" w:rsidR="00937923" w:rsidRDefault="007B79E7">
      <w:pPr>
        <w:spacing w:line="360" w:lineRule="auto"/>
        <w:ind w:left="720" w:hanging="720"/>
        <w:jc w:val="both"/>
        <w:rPr>
          <w:rtl/>
        </w:rPr>
      </w:pPr>
      <w:r>
        <w:rPr>
          <w:rFonts w:hint="cs"/>
          <w:rtl/>
        </w:rPr>
        <w:t xml:space="preserve">ב. </w:t>
      </w:r>
      <w:r>
        <w:rPr>
          <w:rFonts w:hint="cs"/>
          <w:rtl/>
        </w:rPr>
        <w:tab/>
        <w:t>עותק גזר הדין יועבר לידיעת שירות המבחן והממונה על עבודות השירות;</w:t>
      </w:r>
    </w:p>
    <w:p w14:paraId="37B9B2E7" w14:textId="77777777" w:rsidR="00937923" w:rsidRDefault="00937923">
      <w:pPr>
        <w:spacing w:line="360" w:lineRule="auto"/>
        <w:ind w:left="720" w:hanging="720"/>
        <w:jc w:val="both"/>
        <w:rPr>
          <w:rtl/>
        </w:rPr>
      </w:pPr>
    </w:p>
    <w:p w14:paraId="6A1116BE" w14:textId="77777777" w:rsidR="00937923" w:rsidRDefault="007B79E7">
      <w:pPr>
        <w:spacing w:line="360" w:lineRule="auto"/>
        <w:jc w:val="both"/>
        <w:rPr>
          <w:rtl/>
        </w:rPr>
      </w:pPr>
      <w:r>
        <w:rPr>
          <w:rFonts w:hint="cs"/>
          <w:rtl/>
        </w:rPr>
        <w:t xml:space="preserve">זכות ערעור תוך 45 יום מהיום. </w:t>
      </w:r>
    </w:p>
    <w:p w14:paraId="2CA25429" w14:textId="77777777" w:rsidR="00937923" w:rsidRDefault="00937923">
      <w:pPr>
        <w:spacing w:line="360" w:lineRule="auto"/>
        <w:jc w:val="both"/>
        <w:rPr>
          <w:rtl/>
        </w:rPr>
      </w:pPr>
    </w:p>
    <w:p w14:paraId="6A837A44" w14:textId="77777777" w:rsidR="00937923" w:rsidRPr="007B79E7" w:rsidRDefault="007B79E7">
      <w:pPr>
        <w:spacing w:line="360" w:lineRule="auto"/>
        <w:jc w:val="both"/>
        <w:rPr>
          <w:color w:val="FFFFFF"/>
          <w:sz w:val="2"/>
          <w:szCs w:val="2"/>
          <w:rtl/>
        </w:rPr>
      </w:pPr>
      <w:r w:rsidRPr="007B79E7">
        <w:rPr>
          <w:color w:val="FFFFFF"/>
          <w:sz w:val="2"/>
          <w:szCs w:val="2"/>
          <w:rtl/>
        </w:rPr>
        <w:t>5129371</w:t>
      </w:r>
    </w:p>
    <w:p w14:paraId="50F66695" w14:textId="77777777" w:rsidR="00937923" w:rsidRDefault="007B79E7">
      <w:pPr>
        <w:rPr>
          <w:rtl/>
        </w:rPr>
      </w:pPr>
      <w:r w:rsidRPr="007B79E7">
        <w:rPr>
          <w:rFonts w:ascii="Arial" w:hAnsi="Arial"/>
          <w:color w:val="FFFFFF"/>
          <w:sz w:val="2"/>
          <w:szCs w:val="2"/>
          <w:rtl/>
        </w:rPr>
        <w:t>54678313</w:t>
      </w:r>
      <w:r>
        <w:rPr>
          <w:rFonts w:ascii="Arial" w:hAnsi="Arial"/>
          <w:rtl/>
        </w:rPr>
        <w:t xml:space="preserve">ניתן היום, ג' באדר תשע"ה, 22 לפברואר 2015, במעמד הצדדים. </w:t>
      </w:r>
    </w:p>
    <w:p w14:paraId="17CA40D7" w14:textId="77777777" w:rsidR="00937923" w:rsidRDefault="007B79E7">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4526425C" w14:textId="77777777" w:rsidR="00937923" w:rsidRDefault="00937923">
      <w:pPr>
        <w:jc w:val="center"/>
        <w:rPr>
          <w:rFonts w:ascii="Arial" w:hAnsi="Arial"/>
          <w:rtl/>
        </w:rPr>
      </w:pPr>
    </w:p>
    <w:p w14:paraId="67CC9D7C" w14:textId="77777777" w:rsidR="00937923" w:rsidRDefault="00937923">
      <w:pPr>
        <w:rPr>
          <w:rtl/>
        </w:rPr>
      </w:pPr>
    </w:p>
    <w:p w14:paraId="2FC284A0" w14:textId="77777777" w:rsidR="00937923" w:rsidRPr="00B075B3" w:rsidRDefault="00B075B3">
      <w:pPr>
        <w:pStyle w:val="a3"/>
        <w:jc w:val="center"/>
        <w:rPr>
          <w:color w:val="FFFFFF"/>
          <w:sz w:val="2"/>
          <w:szCs w:val="2"/>
          <w:rtl/>
        </w:rPr>
      </w:pPr>
      <w:r w:rsidRPr="00B075B3">
        <w:rPr>
          <w:color w:val="FFFFFF"/>
          <w:sz w:val="2"/>
          <w:szCs w:val="2"/>
          <w:rtl/>
        </w:rPr>
        <w:t>5129371</w:t>
      </w:r>
    </w:p>
    <w:p w14:paraId="5466BB26" w14:textId="77777777" w:rsidR="007B79E7" w:rsidRPr="00B075B3" w:rsidRDefault="00B075B3" w:rsidP="007B79E7">
      <w:pPr>
        <w:keepNext/>
        <w:rPr>
          <w:rFonts w:ascii="David" w:hAnsi="David"/>
          <w:color w:val="FFFFFF"/>
          <w:sz w:val="2"/>
          <w:szCs w:val="2"/>
          <w:rtl/>
        </w:rPr>
      </w:pPr>
      <w:r w:rsidRPr="00B075B3">
        <w:rPr>
          <w:rFonts w:ascii="David" w:hAnsi="David"/>
          <w:color w:val="FFFFFF"/>
          <w:sz w:val="2"/>
          <w:szCs w:val="2"/>
          <w:rtl/>
        </w:rPr>
        <w:t>54678313</w:t>
      </w:r>
    </w:p>
    <w:p w14:paraId="04269685" w14:textId="77777777" w:rsidR="007B79E7" w:rsidRDefault="007B79E7" w:rsidP="007B79E7">
      <w:pPr>
        <w:rPr>
          <w:rtl/>
        </w:rPr>
      </w:pPr>
    </w:p>
    <w:p w14:paraId="57692D81" w14:textId="77777777" w:rsidR="007B79E7" w:rsidRDefault="007B79E7" w:rsidP="007B79E7">
      <w:pPr>
        <w:jc w:val="center"/>
        <w:rPr>
          <w:color w:val="0000FF"/>
          <w:u w:val="single"/>
        </w:rPr>
      </w:pPr>
      <w:hyperlink r:id="rId23" w:history="1">
        <w:r>
          <w:rPr>
            <w:color w:val="0000FF"/>
            <w:u w:val="single"/>
            <w:rtl/>
          </w:rPr>
          <w:t>בעניין עריכה ושינויים במסמכי פסיקה, חקיקה ועוד באתר נבו – הקש כאן</w:t>
        </w:r>
      </w:hyperlink>
    </w:p>
    <w:p w14:paraId="790388C0" w14:textId="77777777" w:rsidR="00B075B3" w:rsidRPr="00B075B3" w:rsidRDefault="00B075B3" w:rsidP="00B075B3">
      <w:pPr>
        <w:keepNext/>
        <w:rPr>
          <w:rFonts w:ascii="David" w:hAnsi="David"/>
          <w:color w:val="000000"/>
          <w:sz w:val="22"/>
          <w:szCs w:val="22"/>
          <w:rtl/>
        </w:rPr>
      </w:pPr>
    </w:p>
    <w:p w14:paraId="17A21441" w14:textId="77777777" w:rsidR="00B075B3" w:rsidRPr="00B075B3" w:rsidRDefault="00B075B3" w:rsidP="00B075B3">
      <w:pPr>
        <w:keepNext/>
        <w:rPr>
          <w:rFonts w:ascii="David" w:hAnsi="David"/>
          <w:color w:val="000000"/>
          <w:sz w:val="22"/>
          <w:szCs w:val="22"/>
          <w:rtl/>
        </w:rPr>
      </w:pPr>
      <w:r w:rsidRPr="00B075B3">
        <w:rPr>
          <w:rFonts w:ascii="David" w:hAnsi="David"/>
          <w:color w:val="000000"/>
          <w:sz w:val="22"/>
          <w:szCs w:val="22"/>
          <w:rtl/>
        </w:rPr>
        <w:t>עידו דרויאן 54678313-/</w:t>
      </w:r>
    </w:p>
    <w:p w14:paraId="3FEFC7AC" w14:textId="77777777" w:rsidR="00937923" w:rsidRPr="007B79E7" w:rsidRDefault="00B075B3" w:rsidP="00B075B3">
      <w:pPr>
        <w:rPr>
          <w:color w:val="0000FF"/>
          <w:u w:val="single"/>
        </w:rPr>
      </w:pPr>
      <w:r w:rsidRPr="00B075B3">
        <w:rPr>
          <w:color w:val="000000"/>
          <w:u w:val="single"/>
          <w:rtl/>
        </w:rPr>
        <w:t>נוסח מסמך זה כפוף לשינויי ניסוח ועריכה</w:t>
      </w:r>
      <w:r w:rsidR="0019576C">
        <w:rPr>
          <w:rFonts w:hint="cs"/>
          <w:color w:val="0000FF"/>
          <w:u w:val="single"/>
          <w:rtl/>
        </w:rPr>
        <w:t xml:space="preserve">  </w:t>
      </w:r>
    </w:p>
    <w:sectPr w:rsidR="00937923" w:rsidRPr="007B79E7" w:rsidSect="00B075B3">
      <w:headerReference w:type="even" r:id="rId24"/>
      <w:headerReference w:type="default" r:id="rId25"/>
      <w:footerReference w:type="even" r:id="rId26"/>
      <w:footerReference w:type="default" r:id="rId27"/>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5B7DE00" w14:textId="77777777" w:rsidR="00F85EEE" w:rsidRPr="00991E91" w:rsidRDefault="00F85EEE">
      <w:pPr>
        <w:rPr>
          <w:rFonts w:cs="Arial"/>
          <w:szCs w:val="20"/>
        </w:rPr>
      </w:pPr>
      <w:r>
        <w:separator/>
      </w:r>
    </w:p>
  </w:endnote>
  <w:endnote w:type="continuationSeparator" w:id="0">
    <w:p w14:paraId="04FAF0A9" w14:textId="77777777" w:rsidR="00F85EEE" w:rsidRPr="00991E91" w:rsidRDefault="00F85EEE">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D3BF59" w14:textId="77777777" w:rsidR="00B075B3" w:rsidRDefault="00B075B3" w:rsidP="00B075B3">
    <w:pPr>
      <w:pStyle w:val="a4"/>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4360A4B4" w14:textId="77777777" w:rsidR="00937923" w:rsidRPr="00B075B3" w:rsidRDefault="00B075B3" w:rsidP="00B075B3">
    <w:pPr>
      <w:pStyle w:val="a4"/>
      <w:pBdr>
        <w:top w:val="single" w:sz="4" w:space="1" w:color="auto"/>
        <w:between w:val="single" w:sz="4" w:space="0" w:color="auto"/>
      </w:pBdr>
      <w:spacing w:after="60"/>
      <w:jc w:val="center"/>
      <w:rPr>
        <w:rFonts w:ascii="FrankRuehl" w:hAnsi="FrankRuehl" w:cs="FrankRuehl"/>
        <w:color w:val="000000"/>
      </w:rPr>
    </w:pPr>
    <w:r w:rsidRPr="00B075B3">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8060D5" w14:textId="77777777" w:rsidR="00B075B3" w:rsidRDefault="00B075B3" w:rsidP="00B075B3">
    <w:pPr>
      <w:pStyle w:val="a4"/>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A70D85">
      <w:rPr>
        <w:rFonts w:ascii="FrankRuehl" w:hAnsi="FrankRuehl" w:cs="FrankRuehl"/>
        <w:noProof/>
        <w:rtl/>
      </w:rPr>
      <w:t>1</w:t>
    </w:r>
    <w:r>
      <w:rPr>
        <w:rFonts w:ascii="FrankRuehl" w:hAnsi="FrankRuehl" w:cs="FrankRuehl"/>
        <w:rtl/>
      </w:rPr>
      <w:fldChar w:fldCharType="end"/>
    </w:r>
  </w:p>
  <w:p w14:paraId="7B0FCAFA" w14:textId="77777777" w:rsidR="00937923" w:rsidRPr="00B075B3" w:rsidRDefault="00B075B3" w:rsidP="00B075B3">
    <w:pPr>
      <w:pStyle w:val="a4"/>
      <w:pBdr>
        <w:top w:val="single" w:sz="4" w:space="1" w:color="auto"/>
        <w:between w:val="single" w:sz="4" w:space="0" w:color="auto"/>
      </w:pBdr>
      <w:spacing w:after="60"/>
      <w:jc w:val="center"/>
      <w:rPr>
        <w:rFonts w:ascii="FrankRuehl" w:hAnsi="FrankRuehl" w:cs="FrankRuehl"/>
        <w:color w:val="000000"/>
      </w:rPr>
    </w:pPr>
    <w:r w:rsidRPr="00B075B3">
      <w:rPr>
        <w:rFonts w:ascii="FrankRuehl" w:hAnsi="FrankRuehl" w:cs="FrankRuehl"/>
        <w:color w:val="000000"/>
      </w:rPr>
      <w:pict w14:anchorId="303E65A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51B4BD1" w14:textId="77777777" w:rsidR="00F85EEE" w:rsidRPr="00991E91" w:rsidRDefault="00F85EEE">
      <w:pPr>
        <w:rPr>
          <w:rFonts w:cs="Arial"/>
          <w:szCs w:val="20"/>
        </w:rPr>
      </w:pPr>
      <w:r>
        <w:separator/>
      </w:r>
    </w:p>
  </w:footnote>
  <w:footnote w:type="continuationSeparator" w:id="0">
    <w:p w14:paraId="0716EADC" w14:textId="77777777" w:rsidR="00F85EEE" w:rsidRPr="00991E91" w:rsidRDefault="00F85EEE">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4F4CB7" w14:textId="77777777" w:rsidR="007B79E7" w:rsidRPr="00B075B3" w:rsidRDefault="00B075B3" w:rsidP="00B075B3">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4413-05-13</w:t>
    </w:r>
    <w:r>
      <w:rPr>
        <w:rFonts w:ascii="David" w:hAnsi="David"/>
        <w:color w:val="000000"/>
        <w:sz w:val="22"/>
        <w:szCs w:val="22"/>
        <w:rtl/>
      </w:rPr>
      <w:tab/>
      <w:t xml:space="preserve"> מדינת ישראל נ' עיוב יעקוביאן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B65BDB" w14:textId="77777777" w:rsidR="007B79E7" w:rsidRPr="00B075B3" w:rsidRDefault="00B075B3" w:rsidP="00B075B3">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4413-05-13</w:t>
    </w:r>
    <w:r>
      <w:rPr>
        <w:rFonts w:ascii="David" w:hAnsi="David"/>
        <w:color w:val="000000"/>
        <w:sz w:val="22"/>
        <w:szCs w:val="22"/>
        <w:rtl/>
      </w:rPr>
      <w:tab/>
      <w:t xml:space="preserve"> מדינת ישראל נ' עיוב יעקוביאן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937923"/>
    <w:rsid w:val="0019576C"/>
    <w:rsid w:val="002D54E4"/>
    <w:rsid w:val="007B79E7"/>
    <w:rsid w:val="00937923"/>
    <w:rsid w:val="00A70D85"/>
    <w:rsid w:val="00A91F0A"/>
    <w:rsid w:val="00B075B3"/>
    <w:rsid w:val="00B9291B"/>
    <w:rsid w:val="00E21B25"/>
    <w:rsid w:val="00F85EE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50"/>
    <o:shapelayout v:ext="edit">
      <o:idmap v:ext="edit" data="1"/>
    </o:shapelayout>
  </w:shapeDefaults>
  <w:decimalSymbol w:val="."/>
  <w:listSeparator w:val=","/>
  <w14:docId w14:val="5F83AA02"/>
  <w15:chartTrackingRefBased/>
  <w15:docId w15:val="{1F4C5304-AA2D-4D45-BDD3-58CFC5B6CC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937923"/>
    <w:pPr>
      <w:bidi/>
    </w:pPr>
    <w:rPr>
      <w:rFonts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937923"/>
    <w:pPr>
      <w:tabs>
        <w:tab w:val="center" w:pos="4153"/>
        <w:tab w:val="right" w:pos="8306"/>
      </w:tabs>
    </w:pPr>
  </w:style>
  <w:style w:type="paragraph" w:styleId="a4">
    <w:name w:val="footer"/>
    <w:basedOn w:val="a"/>
    <w:rsid w:val="00937923"/>
    <w:pPr>
      <w:tabs>
        <w:tab w:val="center" w:pos="4153"/>
        <w:tab w:val="right" w:pos="8306"/>
      </w:tabs>
    </w:pPr>
  </w:style>
  <w:style w:type="character" w:styleId="a5">
    <w:name w:val="page number"/>
    <w:basedOn w:val="a0"/>
    <w:rsid w:val="00937923"/>
  </w:style>
  <w:style w:type="character" w:styleId="Hyperlink">
    <w:name w:val="Hyperlink"/>
    <w:rsid w:val="007B79E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19a" TargetMode="External"/><Relationship Id="rId13" Type="http://schemas.openxmlformats.org/officeDocument/2006/relationships/hyperlink" Target="http://www.nevo.co.il/case/6361099" TargetMode="External"/><Relationship Id="rId18" Type="http://schemas.openxmlformats.org/officeDocument/2006/relationships/hyperlink" Target="http://www.nevo.co.il/case/11252981" TargetMode="External"/><Relationship Id="rId26" Type="http://schemas.openxmlformats.org/officeDocument/2006/relationships/footer" Target="footer1.xml"/><Relationship Id="rId3" Type="http://schemas.openxmlformats.org/officeDocument/2006/relationships/webSettings" Target="webSettings.xml"/><Relationship Id="rId21" Type="http://schemas.openxmlformats.org/officeDocument/2006/relationships/hyperlink" Target="http://www.nevo.co.il/case/19994719" TargetMode="External"/><Relationship Id="rId7" Type="http://schemas.openxmlformats.org/officeDocument/2006/relationships/hyperlink" Target="http://www.nevo.co.il/law/4216/13" TargetMode="External"/><Relationship Id="rId12" Type="http://schemas.openxmlformats.org/officeDocument/2006/relationships/hyperlink" Target="http://www.nevo.co.il/case/3846784" TargetMode="External"/><Relationship Id="rId17" Type="http://schemas.openxmlformats.org/officeDocument/2006/relationships/hyperlink" Target="http://www.nevo.co.il/case/5411596" TargetMode="External"/><Relationship Id="rId25" Type="http://schemas.openxmlformats.org/officeDocument/2006/relationships/header" Target="header2.xml"/><Relationship Id="rId2" Type="http://schemas.openxmlformats.org/officeDocument/2006/relationships/settings" Target="settings.xml"/><Relationship Id="rId16" Type="http://schemas.openxmlformats.org/officeDocument/2006/relationships/hyperlink" Target="http://www.nevo.co.il/case/17036260" TargetMode="External"/><Relationship Id="rId20" Type="http://schemas.openxmlformats.org/officeDocument/2006/relationships/hyperlink" Target="http://www.nevo.co.il/case/17093198" TargetMode="External"/><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nevo.co.il/law/4216" TargetMode="External"/><Relationship Id="rId11" Type="http://schemas.openxmlformats.org/officeDocument/2006/relationships/hyperlink" Target="http://www.nevo.co.il/law/4216" TargetMode="External"/><Relationship Id="rId24"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hyperlink" Target="http://www.nevo.co.il/case/5709285" TargetMode="External"/><Relationship Id="rId23" Type="http://schemas.openxmlformats.org/officeDocument/2006/relationships/hyperlink" Target="http://www.nevo.co.il/advertisements/nevo-100.doc" TargetMode="External"/><Relationship Id="rId28" Type="http://schemas.openxmlformats.org/officeDocument/2006/relationships/fontTable" Target="fontTable.xml"/><Relationship Id="rId10" Type="http://schemas.openxmlformats.org/officeDocument/2006/relationships/hyperlink" Target="http://www.nevo.co.il/law/4216/19a" TargetMode="External"/><Relationship Id="rId19" Type="http://schemas.openxmlformats.org/officeDocument/2006/relationships/hyperlink" Target="http://www.nevo.co.il/case/6603275" TargetMode="External"/><Relationship Id="rId4" Type="http://schemas.openxmlformats.org/officeDocument/2006/relationships/footnotes" Target="footnotes.xml"/><Relationship Id="rId9" Type="http://schemas.openxmlformats.org/officeDocument/2006/relationships/hyperlink" Target="http://www.nevo.co.il/law/4216/13" TargetMode="External"/><Relationship Id="rId14" Type="http://schemas.openxmlformats.org/officeDocument/2006/relationships/hyperlink" Target="http://www.nevo.co.il/case/5605484" TargetMode="External"/><Relationship Id="rId22" Type="http://schemas.openxmlformats.org/officeDocument/2006/relationships/hyperlink" Target="http://www.nevo.co.il/case/7980155" TargetMode="External"/><Relationship Id="rId27"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1259</Words>
  <Characters>6299</Characters>
  <Application>Microsoft Office Word</Application>
  <DocSecurity>0</DocSecurity>
  <Lines>52</Lines>
  <Paragraphs>15</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7543</CharactersWithSpaces>
  <SharedDoc>false</SharedDoc>
  <HLinks>
    <vt:vector size="108" baseType="variant">
      <vt:variant>
        <vt:i4>393283</vt:i4>
      </vt:variant>
      <vt:variant>
        <vt:i4>51</vt:i4>
      </vt:variant>
      <vt:variant>
        <vt:i4>0</vt:i4>
      </vt:variant>
      <vt:variant>
        <vt:i4>5</vt:i4>
      </vt:variant>
      <vt:variant>
        <vt:lpwstr>http://www.nevo.co.il/advertisements/nevo-100.doc</vt:lpwstr>
      </vt:variant>
      <vt:variant>
        <vt:lpwstr/>
      </vt:variant>
      <vt:variant>
        <vt:i4>3866744</vt:i4>
      </vt:variant>
      <vt:variant>
        <vt:i4>48</vt:i4>
      </vt:variant>
      <vt:variant>
        <vt:i4>0</vt:i4>
      </vt:variant>
      <vt:variant>
        <vt:i4>5</vt:i4>
      </vt:variant>
      <vt:variant>
        <vt:lpwstr>http://www.nevo.co.il/case/7980155</vt:lpwstr>
      </vt:variant>
      <vt:variant>
        <vt:lpwstr/>
      </vt:variant>
      <vt:variant>
        <vt:i4>3997811</vt:i4>
      </vt:variant>
      <vt:variant>
        <vt:i4>45</vt:i4>
      </vt:variant>
      <vt:variant>
        <vt:i4>0</vt:i4>
      </vt:variant>
      <vt:variant>
        <vt:i4>5</vt:i4>
      </vt:variant>
      <vt:variant>
        <vt:lpwstr>http://www.nevo.co.il/case/19994719</vt:lpwstr>
      </vt:variant>
      <vt:variant>
        <vt:lpwstr/>
      </vt:variant>
      <vt:variant>
        <vt:i4>3866747</vt:i4>
      </vt:variant>
      <vt:variant>
        <vt:i4>42</vt:i4>
      </vt:variant>
      <vt:variant>
        <vt:i4>0</vt:i4>
      </vt:variant>
      <vt:variant>
        <vt:i4>5</vt:i4>
      </vt:variant>
      <vt:variant>
        <vt:lpwstr>http://www.nevo.co.il/case/17093198</vt:lpwstr>
      </vt:variant>
      <vt:variant>
        <vt:lpwstr/>
      </vt:variant>
      <vt:variant>
        <vt:i4>3211382</vt:i4>
      </vt:variant>
      <vt:variant>
        <vt:i4>39</vt:i4>
      </vt:variant>
      <vt:variant>
        <vt:i4>0</vt:i4>
      </vt:variant>
      <vt:variant>
        <vt:i4>5</vt:i4>
      </vt:variant>
      <vt:variant>
        <vt:lpwstr>http://www.nevo.co.il/case/6603275</vt:lpwstr>
      </vt:variant>
      <vt:variant>
        <vt:lpwstr/>
      </vt:variant>
      <vt:variant>
        <vt:i4>3735673</vt:i4>
      </vt:variant>
      <vt:variant>
        <vt:i4>36</vt:i4>
      </vt:variant>
      <vt:variant>
        <vt:i4>0</vt:i4>
      </vt:variant>
      <vt:variant>
        <vt:i4>5</vt:i4>
      </vt:variant>
      <vt:variant>
        <vt:lpwstr>http://www.nevo.co.il/case/11252981</vt:lpwstr>
      </vt:variant>
      <vt:variant>
        <vt:lpwstr/>
      </vt:variant>
      <vt:variant>
        <vt:i4>3604600</vt:i4>
      </vt:variant>
      <vt:variant>
        <vt:i4>33</vt:i4>
      </vt:variant>
      <vt:variant>
        <vt:i4>0</vt:i4>
      </vt:variant>
      <vt:variant>
        <vt:i4>5</vt:i4>
      </vt:variant>
      <vt:variant>
        <vt:lpwstr>http://www.nevo.co.il/case/5411596</vt:lpwstr>
      </vt:variant>
      <vt:variant>
        <vt:lpwstr/>
      </vt:variant>
      <vt:variant>
        <vt:i4>3211378</vt:i4>
      </vt:variant>
      <vt:variant>
        <vt:i4>30</vt:i4>
      </vt:variant>
      <vt:variant>
        <vt:i4>0</vt:i4>
      </vt:variant>
      <vt:variant>
        <vt:i4>5</vt:i4>
      </vt:variant>
      <vt:variant>
        <vt:lpwstr>http://www.nevo.co.il/case/17036260</vt:lpwstr>
      </vt:variant>
      <vt:variant>
        <vt:lpwstr/>
      </vt:variant>
      <vt:variant>
        <vt:i4>3276914</vt:i4>
      </vt:variant>
      <vt:variant>
        <vt:i4>27</vt:i4>
      </vt:variant>
      <vt:variant>
        <vt:i4>0</vt:i4>
      </vt:variant>
      <vt:variant>
        <vt:i4>5</vt:i4>
      </vt:variant>
      <vt:variant>
        <vt:lpwstr>http://www.nevo.co.il/case/5709285</vt:lpwstr>
      </vt:variant>
      <vt:variant>
        <vt:lpwstr/>
      </vt:variant>
      <vt:variant>
        <vt:i4>3473535</vt:i4>
      </vt:variant>
      <vt:variant>
        <vt:i4>24</vt:i4>
      </vt:variant>
      <vt:variant>
        <vt:i4>0</vt:i4>
      </vt:variant>
      <vt:variant>
        <vt:i4>5</vt:i4>
      </vt:variant>
      <vt:variant>
        <vt:lpwstr>http://www.nevo.co.il/case/5605484</vt:lpwstr>
      </vt:variant>
      <vt:variant>
        <vt:lpwstr/>
      </vt:variant>
      <vt:variant>
        <vt:i4>3735679</vt:i4>
      </vt:variant>
      <vt:variant>
        <vt:i4>21</vt:i4>
      </vt:variant>
      <vt:variant>
        <vt:i4>0</vt:i4>
      </vt:variant>
      <vt:variant>
        <vt:i4>5</vt:i4>
      </vt:variant>
      <vt:variant>
        <vt:lpwstr>http://www.nevo.co.il/case/6361099</vt:lpwstr>
      </vt:variant>
      <vt:variant>
        <vt:lpwstr/>
      </vt:variant>
      <vt:variant>
        <vt:i4>3407986</vt:i4>
      </vt:variant>
      <vt:variant>
        <vt:i4>18</vt:i4>
      </vt:variant>
      <vt:variant>
        <vt:i4>0</vt:i4>
      </vt:variant>
      <vt:variant>
        <vt:i4>5</vt:i4>
      </vt:variant>
      <vt:variant>
        <vt:lpwstr>http://www.nevo.co.il/case/3846784</vt:lpwstr>
      </vt:variant>
      <vt:variant>
        <vt:lpwstr/>
      </vt:variant>
      <vt:variant>
        <vt:i4>8257637</vt:i4>
      </vt:variant>
      <vt:variant>
        <vt:i4>15</vt:i4>
      </vt:variant>
      <vt:variant>
        <vt:i4>0</vt:i4>
      </vt:variant>
      <vt:variant>
        <vt:i4>5</vt:i4>
      </vt:variant>
      <vt:variant>
        <vt:lpwstr>http://www.nevo.co.il/law/4216</vt:lpwstr>
      </vt:variant>
      <vt:variant>
        <vt:lpwstr/>
      </vt:variant>
      <vt:variant>
        <vt:i4>3014771</vt:i4>
      </vt:variant>
      <vt:variant>
        <vt:i4>12</vt:i4>
      </vt:variant>
      <vt:variant>
        <vt:i4>0</vt:i4>
      </vt:variant>
      <vt:variant>
        <vt:i4>5</vt:i4>
      </vt:variant>
      <vt:variant>
        <vt:lpwstr>http://www.nevo.co.il/law/4216/19a</vt:lpwstr>
      </vt:variant>
      <vt:variant>
        <vt:lpwstr/>
      </vt:variant>
      <vt:variant>
        <vt:i4>5177418</vt:i4>
      </vt:variant>
      <vt:variant>
        <vt:i4>9</vt:i4>
      </vt:variant>
      <vt:variant>
        <vt:i4>0</vt:i4>
      </vt:variant>
      <vt:variant>
        <vt:i4>5</vt:i4>
      </vt:variant>
      <vt:variant>
        <vt:lpwstr>http://www.nevo.co.il/law/4216/13</vt:lpwstr>
      </vt:variant>
      <vt:variant>
        <vt:lpwstr/>
      </vt:variant>
      <vt:variant>
        <vt:i4>3014771</vt:i4>
      </vt:variant>
      <vt:variant>
        <vt:i4>6</vt:i4>
      </vt:variant>
      <vt:variant>
        <vt:i4>0</vt:i4>
      </vt:variant>
      <vt:variant>
        <vt:i4>5</vt:i4>
      </vt:variant>
      <vt:variant>
        <vt:lpwstr>http://www.nevo.co.il/law/4216/19a</vt:lpwstr>
      </vt:variant>
      <vt:variant>
        <vt:lpwstr/>
      </vt:variant>
      <vt:variant>
        <vt:i4>5177418</vt:i4>
      </vt:variant>
      <vt:variant>
        <vt:i4>3</vt:i4>
      </vt:variant>
      <vt:variant>
        <vt:i4>0</vt:i4>
      </vt:variant>
      <vt:variant>
        <vt:i4>5</vt:i4>
      </vt:variant>
      <vt:variant>
        <vt:lpwstr>http://www.nevo.co.il/law/4216/13</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2025-04-22T22:01:00Z</dcterms:created>
  <dcterms:modified xsi:type="dcterms:W3CDTF">2025-04-22T22:01:00Z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4413</vt:lpwstr>
  </property>
  <property fmtid="{D5CDD505-2E9C-101B-9397-08002B2CF9AE}" pid="6" name="NEWPARTB">
    <vt:lpwstr>05</vt:lpwstr>
  </property>
  <property fmtid="{D5CDD505-2E9C-101B-9397-08002B2CF9AE}" pid="7" name="NEWPARTC">
    <vt:lpwstr>13</vt:lpwstr>
  </property>
  <property fmtid="{D5CDD505-2E9C-101B-9397-08002B2CF9AE}" pid="8" name="APPELLEE">
    <vt:lpwstr>עיוב יעקוביאן</vt:lpwstr>
  </property>
  <property fmtid="{D5CDD505-2E9C-101B-9397-08002B2CF9AE}" pid="9" name="LAWYER">
    <vt:lpwstr>אסולין;גלאון</vt:lpwstr>
  </property>
  <property fmtid="{D5CDD505-2E9C-101B-9397-08002B2CF9AE}" pid="10" name="JUDGE">
    <vt:lpwstr>עידו דרויאן</vt:lpwstr>
  </property>
  <property fmtid="{D5CDD505-2E9C-101B-9397-08002B2CF9AE}" pid="11" name="CITY">
    <vt:lpwstr>ת"א</vt:lpwstr>
  </property>
  <property fmtid="{D5CDD505-2E9C-101B-9397-08002B2CF9AE}" pid="12" name="DATE">
    <vt:lpwstr>20150222</vt:lpwstr>
  </property>
  <property fmtid="{D5CDD505-2E9C-101B-9397-08002B2CF9AE}" pid="13" name="TYPE_N_DATE">
    <vt:lpwstr>38020150222</vt:lpwstr>
  </property>
  <property fmtid="{D5CDD505-2E9C-101B-9397-08002B2CF9AE}" pid="14" name="CASESLISTTMP1">
    <vt:lpwstr>3846784;6361099;5605484;5709285;17036260;5411596;11252981;6603275;17093198;19994719;7980155</vt:lpwstr>
  </property>
  <property fmtid="{D5CDD505-2E9C-101B-9397-08002B2CF9AE}" pid="15" name="WORDNUMPAGES">
    <vt:lpwstr>4</vt:lpwstr>
  </property>
  <property fmtid="{D5CDD505-2E9C-101B-9397-08002B2CF9AE}" pid="16" name="TYPE_ABS_DATE">
    <vt:lpwstr>380020150222</vt:lpwstr>
  </property>
  <property fmtid="{D5CDD505-2E9C-101B-9397-08002B2CF9AE}" pid="17" name="APPELLANT">
    <vt:lpwstr>מדינת ישראל</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ISABSTRACT">
    <vt:lpwstr>Y</vt:lpwstr>
  </property>
  <property fmtid="{D5CDD505-2E9C-101B-9397-08002B2CF9AE}" pid="36" name="LAWLISTTMP1">
    <vt:lpwstr>4216/013;019a</vt:lpwstr>
  </property>
</Properties>
</file>