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631BC" w:rsidRPr="00403C40" w14:paraId="77E91030" w14:textId="77777777">
        <w:trPr>
          <w:trHeight w:hRule="exact" w:val="418"/>
          <w:jc w:val="center"/>
        </w:trPr>
        <w:tc>
          <w:tcPr>
            <w:tcW w:w="8721" w:type="dxa"/>
            <w:gridSpan w:val="2"/>
          </w:tcPr>
          <w:p w14:paraId="73A40F3A" w14:textId="77777777" w:rsidR="001631BC" w:rsidRPr="00403C40" w:rsidRDefault="00403C40">
            <w:pPr>
              <w:pStyle w:val="a3"/>
              <w:jc w:val="center"/>
              <w:rPr>
                <w:rFonts w:ascii="Tahoma" w:hAnsi="Tahoma" w:cs="Tahoma"/>
                <w:color w:val="000080"/>
                <w:rtl/>
              </w:rPr>
            </w:pPr>
            <w:bookmarkStart w:id="0" w:name="LastJudge"/>
            <w:r w:rsidRPr="00403C40">
              <w:rPr>
                <w:rFonts w:ascii="Tahoma" w:hAnsi="Tahoma" w:cs="Tahoma"/>
                <w:b/>
                <w:bCs/>
                <w:color w:val="000080"/>
                <w:rtl/>
              </w:rPr>
              <w:t>בית משפט השלום בירושלים</w:t>
            </w:r>
          </w:p>
        </w:tc>
      </w:tr>
      <w:tr w:rsidR="001631BC" w:rsidRPr="00403C40" w14:paraId="1034590D" w14:textId="77777777">
        <w:trPr>
          <w:trHeight w:val="337"/>
          <w:jc w:val="center"/>
        </w:trPr>
        <w:tc>
          <w:tcPr>
            <w:tcW w:w="5054" w:type="dxa"/>
          </w:tcPr>
          <w:p w14:paraId="431F05D6" w14:textId="77777777" w:rsidR="001631BC" w:rsidRPr="00403C40" w:rsidRDefault="00403C40">
            <w:pPr>
              <w:rPr>
                <w:rFonts w:cs="FrankRuehl"/>
                <w:sz w:val="28"/>
                <w:szCs w:val="28"/>
                <w:rtl/>
              </w:rPr>
            </w:pPr>
            <w:r w:rsidRPr="00403C40">
              <w:rPr>
                <w:rFonts w:cs="FrankRuehl"/>
                <w:sz w:val="28"/>
                <w:szCs w:val="28"/>
                <w:rtl/>
              </w:rPr>
              <w:t>ת"פ</w:t>
            </w:r>
            <w:r w:rsidRPr="00403C40">
              <w:rPr>
                <w:rFonts w:cs="FrankRuehl" w:hint="cs"/>
                <w:sz w:val="28"/>
                <w:szCs w:val="28"/>
                <w:rtl/>
              </w:rPr>
              <w:t xml:space="preserve"> </w:t>
            </w:r>
            <w:r w:rsidRPr="00403C40">
              <w:rPr>
                <w:rFonts w:cs="FrankRuehl"/>
                <w:sz w:val="28"/>
                <w:szCs w:val="28"/>
                <w:rtl/>
              </w:rPr>
              <w:t>56159-05-13</w:t>
            </w:r>
            <w:r w:rsidRPr="00403C40">
              <w:rPr>
                <w:rFonts w:cs="FrankRuehl" w:hint="cs"/>
                <w:sz w:val="28"/>
                <w:szCs w:val="28"/>
                <w:rtl/>
              </w:rPr>
              <w:t xml:space="preserve"> </w:t>
            </w:r>
            <w:r w:rsidRPr="00403C40">
              <w:rPr>
                <w:rFonts w:cs="FrankRuehl"/>
                <w:sz w:val="28"/>
                <w:szCs w:val="28"/>
                <w:rtl/>
              </w:rPr>
              <w:t>מדינת ישראל נ' פרידמן</w:t>
            </w:r>
          </w:p>
          <w:p w14:paraId="182FBB16" w14:textId="77777777" w:rsidR="001631BC" w:rsidRPr="00403C40" w:rsidRDefault="001631BC">
            <w:pPr>
              <w:pStyle w:val="a3"/>
              <w:rPr>
                <w:rFonts w:cs="FrankRuehl"/>
                <w:sz w:val="28"/>
                <w:szCs w:val="28"/>
                <w:rtl/>
              </w:rPr>
            </w:pPr>
          </w:p>
        </w:tc>
        <w:tc>
          <w:tcPr>
            <w:tcW w:w="3667" w:type="dxa"/>
          </w:tcPr>
          <w:p w14:paraId="7A28F462" w14:textId="77777777" w:rsidR="001631BC" w:rsidRPr="00403C40" w:rsidRDefault="001631BC">
            <w:pPr>
              <w:pStyle w:val="a3"/>
              <w:jc w:val="right"/>
              <w:rPr>
                <w:rFonts w:cs="FrankRuehl"/>
                <w:sz w:val="28"/>
                <w:szCs w:val="28"/>
                <w:rtl/>
              </w:rPr>
            </w:pPr>
          </w:p>
        </w:tc>
      </w:tr>
    </w:tbl>
    <w:p w14:paraId="43490E88" w14:textId="77777777" w:rsidR="001631BC" w:rsidRPr="00403C40" w:rsidRDefault="00403C40">
      <w:pPr>
        <w:pStyle w:val="a3"/>
        <w:rPr>
          <w:rtl/>
        </w:rPr>
      </w:pPr>
      <w:r w:rsidRPr="00403C40">
        <w:rPr>
          <w:rFonts w:hint="cs"/>
          <w:rtl/>
        </w:rPr>
        <w:t xml:space="preserve"> </w:t>
      </w:r>
    </w:p>
    <w:p w14:paraId="64BF43D5" w14:textId="77777777" w:rsidR="001631BC" w:rsidRPr="00403C40" w:rsidRDefault="001631BC">
      <w:pPr>
        <w:rPr>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1631BC" w:rsidRPr="00403C40" w14:paraId="3A7887F3" w14:textId="77777777">
        <w:trPr>
          <w:trHeight w:val="295"/>
          <w:jc w:val="center"/>
        </w:trPr>
        <w:tc>
          <w:tcPr>
            <w:tcW w:w="945" w:type="dxa"/>
            <w:tcBorders>
              <w:top w:val="nil"/>
              <w:left w:val="nil"/>
              <w:bottom w:val="nil"/>
              <w:right w:val="nil"/>
            </w:tcBorders>
            <w:shd w:val="clear" w:color="auto" w:fill="auto"/>
          </w:tcPr>
          <w:p w14:paraId="189A26B6" w14:textId="77777777" w:rsidR="001631BC" w:rsidRPr="00403C40" w:rsidRDefault="00403C40">
            <w:pPr>
              <w:jc w:val="both"/>
              <w:rPr>
                <w:rFonts w:ascii="Arial" w:hAnsi="Arial"/>
                <w:b/>
                <w:bCs/>
                <w:sz w:val="28"/>
                <w:szCs w:val="28"/>
              </w:rPr>
            </w:pPr>
            <w:r w:rsidRPr="00403C40">
              <w:rPr>
                <w:rFonts w:ascii="Arial" w:hAnsi="Arial" w:hint="cs"/>
                <w:b/>
                <w:bCs/>
                <w:sz w:val="28"/>
                <w:szCs w:val="28"/>
                <w:rtl/>
              </w:rPr>
              <w:t>ל</w:t>
            </w:r>
            <w:r w:rsidRPr="00403C40">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6CCBCFE8" w14:textId="77777777" w:rsidR="001631BC" w:rsidRPr="00403C40" w:rsidRDefault="00403C40">
            <w:pPr>
              <w:rPr>
                <w:rFonts w:ascii="Arial" w:hAnsi="Arial"/>
                <w:b/>
                <w:bCs/>
                <w:sz w:val="28"/>
                <w:szCs w:val="28"/>
                <w:rtl/>
              </w:rPr>
            </w:pPr>
            <w:r w:rsidRPr="00403C40">
              <w:rPr>
                <w:rFonts w:ascii="Arial" w:hAnsi="Arial" w:hint="cs"/>
                <w:b/>
                <w:bCs/>
                <w:sz w:val="28"/>
                <w:szCs w:val="28"/>
                <w:rtl/>
              </w:rPr>
              <w:t xml:space="preserve">כבוד השופט הבכיר </w:t>
            </w:r>
            <w:r w:rsidRPr="00403C40">
              <w:rPr>
                <w:rFonts w:hint="cs"/>
                <w:b/>
                <w:bCs/>
                <w:sz w:val="28"/>
                <w:szCs w:val="28"/>
                <w:rtl/>
              </w:rPr>
              <w:t>מרדכי כדורי</w:t>
            </w:r>
          </w:p>
          <w:p w14:paraId="61F3F589" w14:textId="77777777" w:rsidR="001631BC" w:rsidRPr="00403C40" w:rsidRDefault="001631BC">
            <w:pPr>
              <w:rPr>
                <w:b/>
                <w:bCs/>
                <w:sz w:val="28"/>
                <w:szCs w:val="28"/>
                <w:rtl/>
              </w:rPr>
            </w:pPr>
          </w:p>
          <w:p w14:paraId="671F6527" w14:textId="77777777" w:rsidR="001631BC" w:rsidRPr="00403C40" w:rsidRDefault="001631BC">
            <w:pPr>
              <w:jc w:val="both"/>
              <w:rPr>
                <w:rFonts w:ascii="Arial" w:hAnsi="Arial"/>
                <w:b/>
                <w:bCs/>
                <w:sz w:val="28"/>
                <w:szCs w:val="28"/>
              </w:rPr>
            </w:pPr>
          </w:p>
        </w:tc>
      </w:tr>
      <w:tr w:rsidR="001631BC" w:rsidRPr="00403C40" w14:paraId="2171B23F" w14:textId="77777777">
        <w:trPr>
          <w:trHeight w:val="355"/>
          <w:jc w:val="center"/>
        </w:trPr>
        <w:tc>
          <w:tcPr>
            <w:tcW w:w="945" w:type="dxa"/>
            <w:tcBorders>
              <w:top w:val="nil"/>
              <w:left w:val="nil"/>
              <w:bottom w:val="nil"/>
              <w:right w:val="nil"/>
            </w:tcBorders>
            <w:shd w:val="clear" w:color="auto" w:fill="auto"/>
          </w:tcPr>
          <w:p w14:paraId="3D0435A4" w14:textId="77777777" w:rsidR="001631BC" w:rsidRPr="00403C40" w:rsidRDefault="00403C40">
            <w:pPr>
              <w:jc w:val="both"/>
              <w:rPr>
                <w:rFonts w:ascii="Arial" w:hAnsi="Arial"/>
                <w:b/>
                <w:bCs/>
                <w:sz w:val="28"/>
                <w:szCs w:val="28"/>
              </w:rPr>
            </w:pPr>
            <w:bookmarkStart w:id="1" w:name="FirstAppellant"/>
            <w:r w:rsidRPr="00403C40">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658AAF8A" w14:textId="77777777" w:rsidR="001631BC" w:rsidRPr="00403C40" w:rsidRDefault="00403C40">
            <w:pPr>
              <w:rPr>
                <w:b/>
                <w:bCs/>
                <w:sz w:val="28"/>
                <w:szCs w:val="28"/>
              </w:rPr>
            </w:pPr>
            <w:r w:rsidRPr="00403C40">
              <w:rPr>
                <w:rFonts w:hint="cs"/>
                <w:b/>
                <w:bCs/>
                <w:sz w:val="28"/>
                <w:szCs w:val="28"/>
                <w:rtl/>
              </w:rPr>
              <w:t>מדינת ישראל</w:t>
            </w:r>
          </w:p>
        </w:tc>
        <w:tc>
          <w:tcPr>
            <w:tcW w:w="3761" w:type="dxa"/>
            <w:tcBorders>
              <w:top w:val="nil"/>
              <w:left w:val="nil"/>
              <w:bottom w:val="nil"/>
              <w:right w:val="nil"/>
            </w:tcBorders>
            <w:shd w:val="clear" w:color="auto" w:fill="auto"/>
          </w:tcPr>
          <w:p w14:paraId="147D2E9B" w14:textId="77777777" w:rsidR="001631BC" w:rsidRPr="00403C40" w:rsidRDefault="001631BC">
            <w:pPr>
              <w:jc w:val="both"/>
              <w:rPr>
                <w:rFonts w:ascii="Arial" w:hAnsi="Arial"/>
                <w:b/>
                <w:bCs/>
                <w:sz w:val="28"/>
                <w:szCs w:val="28"/>
              </w:rPr>
            </w:pPr>
          </w:p>
        </w:tc>
      </w:tr>
      <w:bookmarkEnd w:id="1"/>
      <w:tr w:rsidR="001631BC" w:rsidRPr="00403C40" w14:paraId="5BE34303" w14:textId="77777777">
        <w:trPr>
          <w:trHeight w:val="355"/>
          <w:jc w:val="center"/>
        </w:trPr>
        <w:tc>
          <w:tcPr>
            <w:tcW w:w="945" w:type="dxa"/>
            <w:tcBorders>
              <w:top w:val="nil"/>
              <w:left w:val="nil"/>
              <w:bottom w:val="nil"/>
              <w:right w:val="nil"/>
            </w:tcBorders>
            <w:shd w:val="clear" w:color="auto" w:fill="auto"/>
          </w:tcPr>
          <w:p w14:paraId="21CFEEBC" w14:textId="77777777" w:rsidR="001631BC" w:rsidRPr="00403C40" w:rsidRDefault="001631BC">
            <w:pPr>
              <w:jc w:val="both"/>
              <w:rPr>
                <w:rFonts w:ascii="Arial" w:hAnsi="Arial"/>
                <w:b/>
                <w:bCs/>
                <w:sz w:val="28"/>
                <w:szCs w:val="28"/>
                <w:rtl/>
              </w:rPr>
            </w:pPr>
          </w:p>
        </w:tc>
        <w:tc>
          <w:tcPr>
            <w:tcW w:w="4114" w:type="dxa"/>
            <w:tcBorders>
              <w:top w:val="nil"/>
              <w:left w:val="nil"/>
              <w:bottom w:val="nil"/>
              <w:right w:val="nil"/>
            </w:tcBorders>
            <w:shd w:val="clear" w:color="auto" w:fill="auto"/>
          </w:tcPr>
          <w:p w14:paraId="41065F97" w14:textId="77777777" w:rsidR="001631BC" w:rsidRPr="00403C40" w:rsidRDefault="001631BC">
            <w:pPr>
              <w:jc w:val="both"/>
              <w:rPr>
                <w:b/>
                <w:bCs/>
                <w:sz w:val="28"/>
                <w:szCs w:val="28"/>
                <w:rtl/>
              </w:rPr>
            </w:pPr>
          </w:p>
        </w:tc>
        <w:tc>
          <w:tcPr>
            <w:tcW w:w="3761" w:type="dxa"/>
            <w:tcBorders>
              <w:top w:val="nil"/>
              <w:left w:val="nil"/>
              <w:bottom w:val="nil"/>
              <w:right w:val="nil"/>
            </w:tcBorders>
            <w:shd w:val="clear" w:color="auto" w:fill="auto"/>
          </w:tcPr>
          <w:p w14:paraId="2C8DEDA9" w14:textId="77777777" w:rsidR="001631BC" w:rsidRPr="00403C40" w:rsidRDefault="00403C40">
            <w:pPr>
              <w:jc w:val="right"/>
              <w:rPr>
                <w:rFonts w:ascii="Arial" w:hAnsi="Arial"/>
                <w:b/>
                <w:bCs/>
                <w:sz w:val="28"/>
                <w:szCs w:val="28"/>
                <w:rtl/>
              </w:rPr>
            </w:pPr>
            <w:r w:rsidRPr="00403C40">
              <w:rPr>
                <w:rFonts w:ascii="Arial" w:hAnsi="Arial" w:hint="cs"/>
                <w:b/>
                <w:bCs/>
                <w:sz w:val="28"/>
                <w:szCs w:val="28"/>
                <w:rtl/>
              </w:rPr>
              <w:t>ה</w:t>
            </w:r>
            <w:r w:rsidRPr="00403C40">
              <w:rPr>
                <w:rFonts w:hint="cs"/>
                <w:b/>
                <w:bCs/>
                <w:sz w:val="28"/>
                <w:szCs w:val="28"/>
                <w:rtl/>
              </w:rPr>
              <w:t>מאשימה</w:t>
            </w:r>
          </w:p>
        </w:tc>
      </w:tr>
      <w:tr w:rsidR="001631BC" w:rsidRPr="00403C40" w14:paraId="25F2CD94" w14:textId="77777777">
        <w:trPr>
          <w:trHeight w:val="355"/>
          <w:jc w:val="center"/>
        </w:trPr>
        <w:tc>
          <w:tcPr>
            <w:tcW w:w="945" w:type="dxa"/>
            <w:tcBorders>
              <w:top w:val="nil"/>
              <w:left w:val="nil"/>
              <w:bottom w:val="nil"/>
              <w:right w:val="nil"/>
            </w:tcBorders>
            <w:shd w:val="clear" w:color="auto" w:fill="auto"/>
          </w:tcPr>
          <w:p w14:paraId="388EA308" w14:textId="77777777" w:rsidR="001631BC" w:rsidRPr="00403C40" w:rsidRDefault="001631BC">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531134AF" w14:textId="77777777" w:rsidR="001631BC" w:rsidRPr="00403C40" w:rsidRDefault="001631BC">
            <w:pPr>
              <w:jc w:val="center"/>
              <w:rPr>
                <w:rFonts w:ascii="Arial" w:hAnsi="Arial"/>
                <w:b/>
                <w:bCs/>
                <w:sz w:val="28"/>
                <w:szCs w:val="28"/>
                <w:rtl/>
              </w:rPr>
            </w:pPr>
          </w:p>
          <w:p w14:paraId="561F020D" w14:textId="77777777" w:rsidR="001631BC" w:rsidRPr="00403C40" w:rsidRDefault="00403C40">
            <w:pPr>
              <w:jc w:val="center"/>
              <w:rPr>
                <w:rFonts w:ascii="Arial" w:hAnsi="Arial"/>
                <w:b/>
                <w:bCs/>
                <w:sz w:val="28"/>
                <w:szCs w:val="28"/>
                <w:rtl/>
              </w:rPr>
            </w:pPr>
            <w:r w:rsidRPr="00403C40">
              <w:rPr>
                <w:rFonts w:ascii="Arial" w:hAnsi="Arial"/>
                <w:b/>
                <w:bCs/>
                <w:sz w:val="28"/>
                <w:szCs w:val="28"/>
                <w:rtl/>
              </w:rPr>
              <w:t>נגד</w:t>
            </w:r>
          </w:p>
          <w:p w14:paraId="7E9E9CD0" w14:textId="77777777" w:rsidR="001631BC" w:rsidRPr="00403C40" w:rsidRDefault="001631BC">
            <w:pPr>
              <w:jc w:val="both"/>
              <w:rPr>
                <w:rFonts w:ascii="Arial" w:hAnsi="Arial"/>
                <w:b/>
                <w:bCs/>
                <w:sz w:val="28"/>
                <w:szCs w:val="28"/>
              </w:rPr>
            </w:pPr>
          </w:p>
        </w:tc>
      </w:tr>
      <w:tr w:rsidR="001631BC" w:rsidRPr="00403C40" w14:paraId="08C5F77A" w14:textId="77777777">
        <w:trPr>
          <w:trHeight w:val="355"/>
          <w:jc w:val="center"/>
        </w:trPr>
        <w:tc>
          <w:tcPr>
            <w:tcW w:w="945" w:type="dxa"/>
            <w:tcBorders>
              <w:top w:val="nil"/>
              <w:left w:val="nil"/>
              <w:bottom w:val="nil"/>
              <w:right w:val="nil"/>
            </w:tcBorders>
            <w:shd w:val="clear" w:color="auto" w:fill="auto"/>
          </w:tcPr>
          <w:p w14:paraId="6EC55D89" w14:textId="77777777" w:rsidR="001631BC" w:rsidRPr="00403C40" w:rsidRDefault="001631BC">
            <w:pPr>
              <w:rPr>
                <w:rFonts w:ascii="Arial" w:hAnsi="Arial"/>
                <w:b/>
                <w:bCs/>
                <w:sz w:val="28"/>
                <w:szCs w:val="28"/>
                <w:rtl/>
              </w:rPr>
            </w:pPr>
          </w:p>
        </w:tc>
        <w:tc>
          <w:tcPr>
            <w:tcW w:w="4114" w:type="dxa"/>
            <w:tcBorders>
              <w:top w:val="nil"/>
              <w:left w:val="nil"/>
              <w:bottom w:val="nil"/>
              <w:right w:val="nil"/>
            </w:tcBorders>
            <w:shd w:val="clear" w:color="auto" w:fill="auto"/>
          </w:tcPr>
          <w:p w14:paraId="24A24882" w14:textId="77777777" w:rsidR="001631BC" w:rsidRPr="00403C40" w:rsidRDefault="00403C40">
            <w:pPr>
              <w:rPr>
                <w:b/>
                <w:bCs/>
                <w:sz w:val="28"/>
                <w:szCs w:val="28"/>
                <w:rtl/>
              </w:rPr>
            </w:pPr>
            <w:r w:rsidRPr="00403C40">
              <w:rPr>
                <w:rFonts w:hint="cs"/>
                <w:b/>
                <w:bCs/>
                <w:sz w:val="28"/>
                <w:szCs w:val="28"/>
                <w:rtl/>
              </w:rPr>
              <w:t>יעקב פרידמן</w:t>
            </w:r>
          </w:p>
        </w:tc>
        <w:tc>
          <w:tcPr>
            <w:tcW w:w="3761" w:type="dxa"/>
            <w:tcBorders>
              <w:top w:val="nil"/>
              <w:left w:val="nil"/>
              <w:bottom w:val="nil"/>
              <w:right w:val="nil"/>
            </w:tcBorders>
            <w:shd w:val="clear" w:color="auto" w:fill="auto"/>
          </w:tcPr>
          <w:p w14:paraId="00C460E6" w14:textId="77777777" w:rsidR="001631BC" w:rsidRPr="00403C40" w:rsidRDefault="001631BC">
            <w:pPr>
              <w:jc w:val="right"/>
              <w:rPr>
                <w:rFonts w:ascii="Arial" w:hAnsi="Arial"/>
                <w:b/>
                <w:bCs/>
                <w:sz w:val="28"/>
                <w:szCs w:val="28"/>
              </w:rPr>
            </w:pPr>
          </w:p>
        </w:tc>
      </w:tr>
      <w:tr w:rsidR="001631BC" w:rsidRPr="00403C40" w14:paraId="7AB0732C" w14:textId="77777777">
        <w:trPr>
          <w:trHeight w:val="355"/>
          <w:jc w:val="center"/>
        </w:trPr>
        <w:tc>
          <w:tcPr>
            <w:tcW w:w="945" w:type="dxa"/>
            <w:tcBorders>
              <w:top w:val="nil"/>
              <w:left w:val="nil"/>
              <w:bottom w:val="nil"/>
              <w:right w:val="nil"/>
            </w:tcBorders>
            <w:shd w:val="clear" w:color="auto" w:fill="auto"/>
          </w:tcPr>
          <w:p w14:paraId="2DB3C556" w14:textId="77777777" w:rsidR="001631BC" w:rsidRPr="00403C40" w:rsidRDefault="001631BC">
            <w:pPr>
              <w:jc w:val="both"/>
              <w:rPr>
                <w:rFonts w:ascii="Arial" w:hAnsi="Arial"/>
                <w:b/>
                <w:bCs/>
                <w:sz w:val="28"/>
                <w:szCs w:val="28"/>
                <w:rtl/>
              </w:rPr>
            </w:pPr>
          </w:p>
        </w:tc>
        <w:tc>
          <w:tcPr>
            <w:tcW w:w="4114" w:type="dxa"/>
            <w:tcBorders>
              <w:top w:val="nil"/>
              <w:left w:val="nil"/>
              <w:bottom w:val="nil"/>
              <w:right w:val="nil"/>
            </w:tcBorders>
            <w:shd w:val="clear" w:color="auto" w:fill="auto"/>
          </w:tcPr>
          <w:p w14:paraId="64A63431" w14:textId="77777777" w:rsidR="001631BC" w:rsidRPr="00403C40" w:rsidRDefault="001631BC">
            <w:pPr>
              <w:jc w:val="both"/>
              <w:rPr>
                <w:b/>
                <w:bCs/>
                <w:sz w:val="28"/>
                <w:szCs w:val="28"/>
                <w:rtl/>
              </w:rPr>
            </w:pPr>
          </w:p>
        </w:tc>
        <w:tc>
          <w:tcPr>
            <w:tcW w:w="3761" w:type="dxa"/>
            <w:tcBorders>
              <w:top w:val="nil"/>
              <w:left w:val="nil"/>
              <w:bottom w:val="nil"/>
              <w:right w:val="nil"/>
            </w:tcBorders>
            <w:shd w:val="clear" w:color="auto" w:fill="auto"/>
          </w:tcPr>
          <w:p w14:paraId="572D29FB" w14:textId="77777777" w:rsidR="001631BC" w:rsidRPr="00403C40" w:rsidRDefault="00403C40">
            <w:pPr>
              <w:jc w:val="right"/>
              <w:rPr>
                <w:rFonts w:ascii="Arial" w:hAnsi="Arial"/>
                <w:b/>
                <w:bCs/>
                <w:sz w:val="28"/>
                <w:szCs w:val="28"/>
              </w:rPr>
            </w:pPr>
            <w:r w:rsidRPr="00403C40">
              <w:rPr>
                <w:rFonts w:ascii="Arial" w:hAnsi="Arial" w:hint="cs"/>
                <w:b/>
                <w:bCs/>
                <w:sz w:val="28"/>
                <w:szCs w:val="28"/>
                <w:rtl/>
              </w:rPr>
              <w:t>ה</w:t>
            </w:r>
            <w:r w:rsidRPr="00403C40">
              <w:rPr>
                <w:rFonts w:hint="cs"/>
                <w:b/>
                <w:bCs/>
                <w:sz w:val="28"/>
                <w:szCs w:val="28"/>
                <w:rtl/>
              </w:rPr>
              <w:t>נאשם</w:t>
            </w:r>
          </w:p>
        </w:tc>
      </w:tr>
      <w:tr w:rsidR="001631BC" w14:paraId="1D44B953" w14:textId="77777777">
        <w:trPr>
          <w:trHeight w:val="355"/>
          <w:jc w:val="center"/>
        </w:trPr>
        <w:tc>
          <w:tcPr>
            <w:tcW w:w="8820" w:type="dxa"/>
            <w:gridSpan w:val="3"/>
            <w:tcBorders>
              <w:top w:val="nil"/>
              <w:left w:val="nil"/>
              <w:bottom w:val="nil"/>
              <w:right w:val="nil"/>
            </w:tcBorders>
            <w:shd w:val="clear" w:color="auto" w:fill="auto"/>
          </w:tcPr>
          <w:p w14:paraId="5E3F5BE3" w14:textId="77777777" w:rsidR="005763AA" w:rsidRDefault="005763AA" w:rsidP="00403C40">
            <w:pPr>
              <w:jc w:val="center"/>
              <w:rPr>
                <w:rFonts w:ascii="Arial" w:hAnsi="Arial"/>
                <w:sz w:val="28"/>
                <w:szCs w:val="28"/>
                <w:rtl/>
              </w:rPr>
            </w:pPr>
            <w:bookmarkStart w:id="2" w:name="PsakDin" w:colFirst="0" w:colLast="0"/>
            <w:bookmarkStart w:id="3" w:name="LawTable"/>
            <w:bookmarkEnd w:id="0"/>
            <w:bookmarkEnd w:id="3"/>
          </w:p>
          <w:p w14:paraId="3FB50BE0" w14:textId="77777777" w:rsidR="005763AA" w:rsidRPr="005763AA" w:rsidRDefault="005763AA" w:rsidP="005763AA">
            <w:pPr>
              <w:spacing w:after="120" w:line="240" w:lineRule="exact"/>
              <w:ind w:left="283" w:hanging="283"/>
              <w:jc w:val="both"/>
              <w:rPr>
                <w:rFonts w:ascii="FrankRuehl" w:hAnsi="FrankRuehl" w:cs="FrankRuehl"/>
                <w:rtl/>
              </w:rPr>
            </w:pPr>
          </w:p>
          <w:p w14:paraId="1F95663F" w14:textId="77777777" w:rsidR="005763AA" w:rsidRPr="005763AA" w:rsidRDefault="005763AA" w:rsidP="005763AA">
            <w:pPr>
              <w:spacing w:after="120" w:line="240" w:lineRule="exact"/>
              <w:ind w:left="283" w:hanging="283"/>
              <w:jc w:val="both"/>
              <w:rPr>
                <w:rFonts w:ascii="FrankRuehl" w:hAnsi="FrankRuehl" w:cs="FrankRuehl"/>
                <w:rtl/>
              </w:rPr>
            </w:pPr>
            <w:r w:rsidRPr="005763AA">
              <w:rPr>
                <w:rFonts w:ascii="FrankRuehl" w:hAnsi="FrankRuehl" w:cs="FrankRuehl"/>
                <w:rtl/>
              </w:rPr>
              <w:t xml:space="preserve">חקיקה שאוזכרה: </w:t>
            </w:r>
          </w:p>
          <w:p w14:paraId="41803882" w14:textId="77777777" w:rsidR="005763AA" w:rsidRPr="005763AA" w:rsidRDefault="005763AA" w:rsidP="005763AA">
            <w:pPr>
              <w:spacing w:after="120" w:line="240" w:lineRule="exact"/>
              <w:ind w:left="283" w:hanging="283"/>
              <w:jc w:val="both"/>
              <w:rPr>
                <w:rFonts w:ascii="FrankRuehl" w:hAnsi="FrankRuehl" w:cs="FrankRuehl"/>
                <w:rtl/>
              </w:rPr>
            </w:pPr>
            <w:hyperlink r:id="rId6" w:history="1">
              <w:r w:rsidRPr="005763AA">
                <w:rPr>
                  <w:rFonts w:ascii="FrankRuehl" w:hAnsi="FrankRuehl" w:cs="FrankRuehl"/>
                  <w:color w:val="0000FF"/>
                  <w:u w:val="single"/>
                  <w:rtl/>
                </w:rPr>
                <w:t>פקודת הסמים המסוכנים [נוסח חדש], תשל"ג-1973</w:t>
              </w:r>
            </w:hyperlink>
            <w:r w:rsidRPr="005763AA">
              <w:rPr>
                <w:rFonts w:ascii="FrankRuehl" w:hAnsi="FrankRuehl" w:cs="FrankRuehl"/>
                <w:rtl/>
              </w:rPr>
              <w:t xml:space="preserve">: סע'  </w:t>
            </w:r>
            <w:hyperlink r:id="rId7" w:history="1">
              <w:r w:rsidRPr="005763AA">
                <w:rPr>
                  <w:rFonts w:ascii="FrankRuehl" w:hAnsi="FrankRuehl" w:cs="FrankRuehl"/>
                  <w:color w:val="0000FF"/>
                  <w:u w:val="single"/>
                  <w:rtl/>
                </w:rPr>
                <w:t>6</w:t>
              </w:r>
            </w:hyperlink>
            <w:r w:rsidRPr="005763AA">
              <w:rPr>
                <w:rFonts w:ascii="FrankRuehl" w:hAnsi="FrankRuehl" w:cs="FrankRuehl"/>
                <w:rtl/>
              </w:rPr>
              <w:t xml:space="preserve">, </w:t>
            </w:r>
            <w:hyperlink r:id="rId8" w:history="1">
              <w:r w:rsidRPr="005763AA">
                <w:rPr>
                  <w:rFonts w:ascii="FrankRuehl" w:hAnsi="FrankRuehl" w:cs="FrankRuehl"/>
                  <w:color w:val="0000FF"/>
                  <w:u w:val="single"/>
                  <w:rtl/>
                </w:rPr>
                <w:t>13</w:t>
              </w:r>
            </w:hyperlink>
            <w:r w:rsidRPr="005763AA">
              <w:rPr>
                <w:rFonts w:ascii="FrankRuehl" w:hAnsi="FrankRuehl" w:cs="FrankRuehl"/>
                <w:rtl/>
              </w:rPr>
              <w:t xml:space="preserve">, </w:t>
            </w:r>
            <w:hyperlink r:id="rId9" w:history="1">
              <w:r w:rsidRPr="005763AA">
                <w:rPr>
                  <w:rFonts w:ascii="FrankRuehl" w:hAnsi="FrankRuehl" w:cs="FrankRuehl"/>
                  <w:color w:val="0000FF"/>
                  <w:u w:val="single"/>
                  <w:rtl/>
                </w:rPr>
                <w:t>19א</w:t>
              </w:r>
            </w:hyperlink>
          </w:p>
          <w:p w14:paraId="6F04A0DA" w14:textId="77777777" w:rsidR="005763AA" w:rsidRPr="005763AA" w:rsidRDefault="005763AA" w:rsidP="005763AA">
            <w:pPr>
              <w:spacing w:after="120" w:line="240" w:lineRule="exact"/>
              <w:ind w:left="283" w:hanging="283"/>
              <w:jc w:val="both"/>
              <w:rPr>
                <w:rFonts w:ascii="FrankRuehl" w:hAnsi="FrankRuehl" w:cs="FrankRuehl"/>
                <w:rtl/>
              </w:rPr>
            </w:pPr>
          </w:p>
          <w:p w14:paraId="1F9BABEE" w14:textId="77777777" w:rsidR="005763AA" w:rsidRPr="005763AA" w:rsidRDefault="005763AA" w:rsidP="00403C40">
            <w:pPr>
              <w:jc w:val="center"/>
              <w:rPr>
                <w:rFonts w:ascii="Arial" w:hAnsi="Arial"/>
                <w:sz w:val="28"/>
                <w:szCs w:val="28"/>
                <w:rtl/>
              </w:rPr>
            </w:pPr>
            <w:bookmarkStart w:id="4" w:name="LawTable_End"/>
            <w:bookmarkEnd w:id="4"/>
          </w:p>
          <w:p w14:paraId="321F901F" w14:textId="77777777" w:rsidR="00403C40" w:rsidRPr="00403C40" w:rsidRDefault="00403C40" w:rsidP="00403C40">
            <w:pPr>
              <w:jc w:val="center"/>
              <w:rPr>
                <w:rFonts w:ascii="Arial" w:hAnsi="Arial"/>
                <w:b/>
                <w:bCs/>
                <w:sz w:val="28"/>
                <w:szCs w:val="28"/>
                <w:u w:val="single"/>
                <w:rtl/>
              </w:rPr>
            </w:pPr>
            <w:r w:rsidRPr="00403C40">
              <w:rPr>
                <w:rFonts w:ascii="Arial" w:hAnsi="Arial"/>
                <w:b/>
                <w:bCs/>
                <w:sz w:val="28"/>
                <w:szCs w:val="28"/>
                <w:u w:val="single"/>
                <w:rtl/>
              </w:rPr>
              <w:t>גזר דין</w:t>
            </w:r>
          </w:p>
          <w:p w14:paraId="7FE8B3C0" w14:textId="77777777" w:rsidR="001631BC" w:rsidRPr="00403C40" w:rsidRDefault="001631BC" w:rsidP="00403C40">
            <w:pPr>
              <w:jc w:val="center"/>
              <w:rPr>
                <w:rFonts w:ascii="Arial" w:hAnsi="Arial"/>
                <w:b/>
                <w:bCs/>
                <w:sz w:val="28"/>
                <w:szCs w:val="28"/>
                <w:u w:val="single"/>
                <w:rtl/>
              </w:rPr>
            </w:pPr>
          </w:p>
        </w:tc>
      </w:tr>
      <w:bookmarkEnd w:id="2"/>
    </w:tbl>
    <w:p w14:paraId="70866045" w14:textId="77777777" w:rsidR="001631BC" w:rsidRDefault="001631BC">
      <w:pPr>
        <w:rPr>
          <w:rFonts w:ascii="Arial" w:hAnsi="Arial"/>
          <w:rtl/>
        </w:rPr>
      </w:pPr>
    </w:p>
    <w:p w14:paraId="6E281CF7" w14:textId="77777777" w:rsidR="001631BC" w:rsidRDefault="001631BC">
      <w:pPr>
        <w:rPr>
          <w:rFonts w:ascii="Arial" w:hAnsi="Arial"/>
          <w:rtl/>
        </w:rPr>
      </w:pPr>
    </w:p>
    <w:p w14:paraId="13EC3122" w14:textId="77777777" w:rsidR="001631BC" w:rsidRDefault="00403C40">
      <w:pPr>
        <w:spacing w:line="360" w:lineRule="auto"/>
        <w:jc w:val="both"/>
        <w:rPr>
          <w:b/>
          <w:bCs/>
          <w:u w:val="single"/>
          <w:rtl/>
        </w:rPr>
      </w:pPr>
      <w:r>
        <w:rPr>
          <w:b/>
          <w:bCs/>
          <w:u w:val="single"/>
          <w:rtl/>
        </w:rPr>
        <w:t>הרקע:</w:t>
      </w:r>
    </w:p>
    <w:p w14:paraId="6725B380" w14:textId="77777777" w:rsidR="001631BC" w:rsidRDefault="00403C40">
      <w:pPr>
        <w:spacing w:line="360" w:lineRule="auto"/>
        <w:jc w:val="both"/>
        <w:rPr>
          <w:rtl/>
        </w:rPr>
      </w:pPr>
      <w:bookmarkStart w:id="5" w:name="ABSTRACT_START"/>
      <w:bookmarkEnd w:id="5"/>
      <w:r>
        <w:rPr>
          <w:rtl/>
        </w:rPr>
        <w:t xml:space="preserve">הנאשם הורשע על פי הודאתו שניתנה במסגרת הסדר טיעון, בשלוש עבירות של סחר בסם מסוכן לפי </w:t>
      </w:r>
      <w:hyperlink r:id="rId10" w:history="1">
        <w:r w:rsidR="00ED68C7" w:rsidRPr="00ED68C7">
          <w:rPr>
            <w:color w:val="0000FF"/>
            <w:u w:val="single"/>
            <w:rtl/>
          </w:rPr>
          <w:t>סעיף 13</w:t>
        </w:r>
      </w:hyperlink>
      <w:r>
        <w:rPr>
          <w:rtl/>
        </w:rPr>
        <w:t xml:space="preserve"> + </w:t>
      </w:r>
      <w:hyperlink r:id="rId11" w:history="1">
        <w:r w:rsidR="00ED68C7" w:rsidRPr="00ED68C7">
          <w:rPr>
            <w:color w:val="0000FF"/>
            <w:u w:val="single"/>
            <w:rtl/>
          </w:rPr>
          <w:t>סעיף 19א</w:t>
        </w:r>
      </w:hyperlink>
      <w:r>
        <w:rPr>
          <w:rtl/>
        </w:rPr>
        <w:t xml:space="preserve"> ל</w:t>
      </w:r>
      <w:hyperlink r:id="rId12" w:history="1">
        <w:r w:rsidRPr="00403C40">
          <w:rPr>
            <w:color w:val="0000FF"/>
            <w:u w:val="single"/>
            <w:rtl/>
          </w:rPr>
          <w:t>פקודת הסמים המסוכנים</w:t>
        </w:r>
      </w:hyperlink>
      <w:r>
        <w:rPr>
          <w:rtl/>
        </w:rPr>
        <w:t xml:space="preserve"> [נוסח חדש], תשל"ג – 1973 (להלן: "</w:t>
      </w:r>
      <w:r>
        <w:rPr>
          <w:b/>
          <w:bCs/>
          <w:rtl/>
        </w:rPr>
        <w:t>פקודת הסמים המסוכנים</w:t>
      </w:r>
      <w:r>
        <w:rPr>
          <w:rtl/>
        </w:rPr>
        <w:t xml:space="preserve">"), ובעבירה של גידול סמים לפי </w:t>
      </w:r>
      <w:hyperlink r:id="rId13" w:history="1">
        <w:r w:rsidR="00ED68C7" w:rsidRPr="00ED68C7">
          <w:rPr>
            <w:color w:val="0000FF"/>
            <w:u w:val="single"/>
            <w:rtl/>
          </w:rPr>
          <w:t>סעיף 6</w:t>
        </w:r>
      </w:hyperlink>
      <w:r>
        <w:rPr>
          <w:rtl/>
        </w:rPr>
        <w:t xml:space="preserve"> לפקודה הנ"ל. </w:t>
      </w:r>
    </w:p>
    <w:p w14:paraId="2C6420A6" w14:textId="77777777" w:rsidR="001631BC" w:rsidRDefault="001631BC">
      <w:pPr>
        <w:spacing w:line="360" w:lineRule="auto"/>
        <w:jc w:val="both"/>
        <w:rPr>
          <w:rtl/>
        </w:rPr>
      </w:pPr>
      <w:bookmarkStart w:id="6" w:name="ABSTRACT_END"/>
      <w:bookmarkEnd w:id="6"/>
    </w:p>
    <w:p w14:paraId="18455068" w14:textId="77777777" w:rsidR="001631BC" w:rsidRDefault="00403C40">
      <w:pPr>
        <w:spacing w:line="360" w:lineRule="auto"/>
        <w:jc w:val="both"/>
        <w:rPr>
          <w:rtl/>
        </w:rPr>
      </w:pPr>
      <w:r>
        <w:rPr>
          <w:rtl/>
        </w:rPr>
        <w:t xml:space="preserve">על פי עובדות כתב האישום המתוקן, מכר הנאשם לשוטר סם מסוכן בשלושה מקרים, כדלהלן: </w:t>
      </w:r>
    </w:p>
    <w:p w14:paraId="362A5FED" w14:textId="77777777" w:rsidR="001631BC" w:rsidRDefault="001631BC">
      <w:pPr>
        <w:spacing w:line="360" w:lineRule="auto"/>
        <w:jc w:val="both"/>
        <w:rPr>
          <w:rtl/>
        </w:rPr>
      </w:pPr>
    </w:p>
    <w:p w14:paraId="12AEDF24" w14:textId="77777777" w:rsidR="001631BC" w:rsidRDefault="00403C40">
      <w:pPr>
        <w:spacing w:line="360" w:lineRule="auto"/>
        <w:jc w:val="both"/>
        <w:rPr>
          <w:rtl/>
        </w:rPr>
      </w:pPr>
      <w:r>
        <w:rPr>
          <w:rtl/>
        </w:rPr>
        <w:t>ביום 29/11/2012  מכר הנאשם קנבוס במשקל 9.82 גרם נטו בתמורה לסך של 1,000₪.</w:t>
      </w:r>
    </w:p>
    <w:p w14:paraId="59B32BF6" w14:textId="77777777" w:rsidR="001631BC" w:rsidRDefault="00403C40">
      <w:pPr>
        <w:spacing w:line="360" w:lineRule="auto"/>
        <w:jc w:val="both"/>
        <w:rPr>
          <w:rtl/>
        </w:rPr>
      </w:pPr>
      <w:r>
        <w:rPr>
          <w:rtl/>
        </w:rPr>
        <w:t>ביום 31/12/2012 מכר הנאשם קנבוס במשקל 2.79 וכן 11.97 גרם נטו בתמורה לסך של 1,300₪.</w:t>
      </w:r>
    </w:p>
    <w:p w14:paraId="49AA6BEF" w14:textId="77777777" w:rsidR="001631BC" w:rsidRDefault="00403C40">
      <w:pPr>
        <w:spacing w:line="360" w:lineRule="auto"/>
        <w:jc w:val="both"/>
        <w:rPr>
          <w:rtl/>
        </w:rPr>
      </w:pPr>
      <w:r>
        <w:rPr>
          <w:rtl/>
        </w:rPr>
        <w:t>ביום 31/1/2013  מכר הנאשם קנבוס במשקל 15.98 גרם נטו בתמורה לסך של 2,000₪.</w:t>
      </w:r>
    </w:p>
    <w:p w14:paraId="29FB9B6C" w14:textId="77777777" w:rsidR="001631BC" w:rsidRDefault="001631BC">
      <w:pPr>
        <w:spacing w:line="360" w:lineRule="auto"/>
        <w:jc w:val="both"/>
        <w:rPr>
          <w:rtl/>
        </w:rPr>
      </w:pPr>
    </w:p>
    <w:p w14:paraId="348651C8" w14:textId="77777777" w:rsidR="001631BC" w:rsidRDefault="00403C40">
      <w:pPr>
        <w:spacing w:line="360" w:lineRule="auto"/>
        <w:jc w:val="both"/>
        <w:rPr>
          <w:rtl/>
        </w:rPr>
      </w:pPr>
      <w:r>
        <w:rPr>
          <w:rtl/>
        </w:rPr>
        <w:t>בנוסף, ביום 27/5/2013  גידל הנאשם</w:t>
      </w:r>
      <w:r>
        <w:rPr>
          <w:rFonts w:hint="cs"/>
          <w:rtl/>
        </w:rPr>
        <w:t xml:space="preserve"> </w:t>
      </w:r>
      <w:r>
        <w:rPr>
          <w:rtl/>
        </w:rPr>
        <w:t>שתילי קנבוס רבים</w:t>
      </w:r>
      <w:r>
        <w:rPr>
          <w:rFonts w:hint="cs"/>
          <w:rtl/>
        </w:rPr>
        <w:t>,</w:t>
      </w:r>
      <w:r>
        <w:rPr>
          <w:rtl/>
        </w:rPr>
        <w:t xml:space="preserve"> במשקל של  388.34 גרם נטו</w:t>
      </w:r>
      <w:r>
        <w:rPr>
          <w:rFonts w:hint="cs"/>
          <w:rtl/>
        </w:rPr>
        <w:t>, ב-</w:t>
      </w:r>
      <w:r>
        <w:rPr>
          <w:rtl/>
        </w:rPr>
        <w:t>34 אדניות.</w:t>
      </w:r>
    </w:p>
    <w:p w14:paraId="1FFC2D71" w14:textId="77777777" w:rsidR="001631BC" w:rsidRDefault="001631BC">
      <w:pPr>
        <w:spacing w:line="360" w:lineRule="auto"/>
        <w:jc w:val="both"/>
        <w:rPr>
          <w:rtl/>
        </w:rPr>
      </w:pPr>
    </w:p>
    <w:p w14:paraId="2867FBFA" w14:textId="77777777" w:rsidR="001631BC" w:rsidRDefault="00403C40">
      <w:pPr>
        <w:spacing w:line="360" w:lineRule="auto"/>
        <w:jc w:val="both"/>
        <w:rPr>
          <w:b/>
          <w:bCs/>
          <w:u w:val="single"/>
          <w:rtl/>
        </w:rPr>
      </w:pPr>
      <w:r>
        <w:rPr>
          <w:b/>
          <w:bCs/>
          <w:u w:val="single"/>
          <w:rtl/>
        </w:rPr>
        <w:lastRenderedPageBreak/>
        <w:t>תמצית טיעוני הצדדים:</w:t>
      </w:r>
    </w:p>
    <w:p w14:paraId="383A7AF1" w14:textId="77777777" w:rsidR="001631BC" w:rsidRDefault="00403C40">
      <w:pPr>
        <w:spacing w:line="360" w:lineRule="auto"/>
        <w:jc w:val="both"/>
        <w:rPr>
          <w:rtl/>
        </w:rPr>
      </w:pPr>
      <w:r>
        <w:rPr>
          <w:rtl/>
        </w:rPr>
        <w:t>לטענת המאשימה, הערכים המוגנים בהם פגע הנאשם הינם מניעת השימוש בסם, הרחבת מעגל המשתמשים בסמים, על הנזקים  הבריאותיים, החברתיים והכלכליים הכרוכים בכך, פגיעה בסדר ובשלטון החוק ושלומו הפיזי והנפשי של הציבור.</w:t>
      </w:r>
    </w:p>
    <w:p w14:paraId="368B3037" w14:textId="77777777" w:rsidR="001631BC" w:rsidRDefault="001631BC">
      <w:pPr>
        <w:spacing w:line="360" w:lineRule="auto"/>
        <w:jc w:val="both"/>
        <w:rPr>
          <w:rtl/>
        </w:rPr>
      </w:pPr>
    </w:p>
    <w:p w14:paraId="14C57E75" w14:textId="77777777" w:rsidR="001631BC" w:rsidRDefault="00403C40">
      <w:pPr>
        <w:spacing w:line="360" w:lineRule="auto"/>
        <w:jc w:val="both"/>
        <w:rPr>
          <w:rtl/>
        </w:rPr>
      </w:pPr>
      <w:r>
        <w:rPr>
          <w:rtl/>
        </w:rPr>
        <w:t>המאשימה סבורה כי יש להחמיר בענישה בעבירה של גידול סמים, בשל תרומתה למפיצי הסם והסוחרים בו. הנאשם, טענה המאשימה, השקיע רבות בגידול הסם. לכן אין ללמוד על נסיבות האירוע ומידת חומרתו ממשקל הסם, אלא ממכלול הנסיבות.</w:t>
      </w:r>
    </w:p>
    <w:p w14:paraId="77910520" w14:textId="77777777" w:rsidR="001631BC" w:rsidRDefault="001631BC">
      <w:pPr>
        <w:spacing w:line="360" w:lineRule="auto"/>
        <w:jc w:val="both"/>
        <w:rPr>
          <w:rtl/>
        </w:rPr>
      </w:pPr>
    </w:p>
    <w:p w14:paraId="117E866D" w14:textId="77777777" w:rsidR="001631BC" w:rsidRDefault="00403C40">
      <w:pPr>
        <w:spacing w:line="360" w:lineRule="auto"/>
        <w:jc w:val="both"/>
        <w:rPr>
          <w:rtl/>
        </w:rPr>
      </w:pPr>
      <w:r>
        <w:rPr>
          <w:rtl/>
        </w:rPr>
        <w:t>המאשימה ציינה כי אין מדובר באירוע חד פעמי, אלא בסחר שיטתי בסם, תמורת סכומי כסף גדולים ובכמויות גדולות יחסית. גידול הסם אף מלמד על כוונת הנאשם להמשיך בעיסוק זה למטרת רווח.</w:t>
      </w:r>
    </w:p>
    <w:p w14:paraId="3DF7C95B" w14:textId="77777777" w:rsidR="001631BC" w:rsidRDefault="001631BC">
      <w:pPr>
        <w:spacing w:line="360" w:lineRule="auto"/>
        <w:jc w:val="both"/>
        <w:rPr>
          <w:rtl/>
        </w:rPr>
      </w:pPr>
    </w:p>
    <w:p w14:paraId="65F48604" w14:textId="77777777" w:rsidR="001631BC" w:rsidRDefault="00403C40">
      <w:pPr>
        <w:spacing w:line="360" w:lineRule="auto"/>
        <w:jc w:val="both"/>
        <w:rPr>
          <w:rtl/>
        </w:rPr>
      </w:pPr>
      <w:r>
        <w:rPr>
          <w:rtl/>
        </w:rPr>
        <w:t>המאשימה טענה כי מתחם הענישה לכל אחד ממעשי הסחר בסם מסוכן נע בין 6 חודשי מאסר בפועל לבין 12 חודשי מאסר, כי מתחם הענישה למעשה גידול הסם נע בין 6 חודשי מאסר, שיתכן וירוצו בעבודות שירות, לבין 24 חודשי מאסר בפועל, וכי העונש המתאים לנאשם מצוי ברף הגבוה של מתחמי הענישה</w:t>
      </w:r>
      <w:r>
        <w:rPr>
          <w:rFonts w:hint="cs"/>
          <w:rtl/>
        </w:rPr>
        <w:t xml:space="preserve"> הנ"ל</w:t>
      </w:r>
      <w:r>
        <w:rPr>
          <w:rtl/>
        </w:rPr>
        <w:t>. יחד עם זאת המשיכה המאשימה וטענה כי יש לקבוע מתחם ענישה אחד לכל מעשי העבירה שביצע הנאשם, הנע בין 24 חודשי מאסר בפועל לבין 46 ח</w:t>
      </w:r>
      <w:r>
        <w:rPr>
          <w:rFonts w:hint="cs"/>
          <w:rtl/>
        </w:rPr>
        <w:t>ו</w:t>
      </w:r>
      <w:r>
        <w:rPr>
          <w:rtl/>
        </w:rPr>
        <w:t xml:space="preserve">דשי מאסר בפועל, ולמקם את הנאשם בחלקו הבינוני – גבוה של המתחם. בנוסף לאמור ביקשה להטיל על הנאשם  פסילה, פסילה על תנאי, מאסר על תנאי וקנס. </w:t>
      </w:r>
    </w:p>
    <w:p w14:paraId="70C63F1C" w14:textId="77777777" w:rsidR="001631BC" w:rsidRDefault="001631BC">
      <w:pPr>
        <w:spacing w:line="360" w:lineRule="auto"/>
        <w:jc w:val="both"/>
        <w:rPr>
          <w:rtl/>
        </w:rPr>
      </w:pPr>
    </w:p>
    <w:p w14:paraId="00701873" w14:textId="77777777" w:rsidR="001631BC" w:rsidRDefault="00403C40">
      <w:pPr>
        <w:spacing w:line="360" w:lineRule="auto"/>
        <w:jc w:val="both"/>
        <w:rPr>
          <w:rtl/>
        </w:rPr>
      </w:pPr>
      <w:r>
        <w:rPr>
          <w:rtl/>
        </w:rPr>
        <w:t>ההגנה ציינה כי הנאשם היה עצור כחודש ימים, ובהמשך שהה חודשים ארוכים במעצר בית מלא.</w:t>
      </w:r>
    </w:p>
    <w:p w14:paraId="6766B03E" w14:textId="77777777" w:rsidR="001631BC" w:rsidRDefault="00403C40">
      <w:pPr>
        <w:spacing w:line="360" w:lineRule="auto"/>
        <w:jc w:val="both"/>
        <w:rPr>
          <w:rtl/>
        </w:rPr>
      </w:pPr>
      <w:r>
        <w:rPr>
          <w:rtl/>
        </w:rPr>
        <w:t xml:space="preserve"> </w:t>
      </w:r>
    </w:p>
    <w:p w14:paraId="69842AC4" w14:textId="77777777" w:rsidR="001631BC" w:rsidRDefault="00403C40">
      <w:pPr>
        <w:spacing w:line="360" w:lineRule="auto"/>
        <w:jc w:val="both"/>
        <w:rPr>
          <w:rtl/>
        </w:rPr>
      </w:pPr>
      <w:r>
        <w:rPr>
          <w:rtl/>
        </w:rPr>
        <w:t>לטענת ההגנה מדובר בנאשם לא צעיר, אב ל-11 ילדים וסב לנכדים,  אשר זו לו מעורבות ראשונה בפלילים. הנאשם סובל מנכות נפשית, מטופל תרופתית ויכולתו להבין בצורה מעמיקה  את מעשיו לקויה.</w:t>
      </w:r>
    </w:p>
    <w:p w14:paraId="0E698A42" w14:textId="77777777" w:rsidR="001631BC" w:rsidRDefault="001631BC">
      <w:pPr>
        <w:spacing w:line="360" w:lineRule="auto"/>
        <w:jc w:val="both"/>
        <w:rPr>
          <w:rtl/>
        </w:rPr>
      </w:pPr>
    </w:p>
    <w:p w14:paraId="01E9AC6B" w14:textId="77777777" w:rsidR="001631BC" w:rsidRDefault="00403C40">
      <w:pPr>
        <w:spacing w:line="360" w:lineRule="auto"/>
        <w:jc w:val="both"/>
        <w:rPr>
          <w:rtl/>
        </w:rPr>
      </w:pPr>
      <w:r>
        <w:rPr>
          <w:rtl/>
        </w:rPr>
        <w:t>לטענת הסנגור, הנאשם לא בחר להיכנס לעולם הסמים באפן יזום ולהתפרנס מסחר בסם. לדבריו, ברקע לביצוע העבירות עומדת מחלת אביו של הנאשם. לנוכח מחלתו החזיק האב סם מסוכן בהיתר, אך לא צרך אותו ולכן מכר אותו. הנאשם מכר את מלאי הסם שנותר לאחר שאביו הלך לעולמו, במשך תקופה קצרה של מספר חודשים בלבד.  או אז פעל הנאשם לפי עצה שקיבל, וזרע זרעי סם. אולם, הנאשם לא ידע לגדל את הסם ולא הצליח בכך. שתילי הסם שנתפסו אצל הנאשם היו רקובים, ומשקלם שצוין בכתב האישום הינו משקל ברוטו, הכולל את כל חלקי השתיל, ולא את משקל התפרחת בלבד.</w:t>
      </w:r>
    </w:p>
    <w:p w14:paraId="7C883F50" w14:textId="77777777" w:rsidR="001631BC" w:rsidRDefault="001631BC">
      <w:pPr>
        <w:spacing w:line="360" w:lineRule="auto"/>
        <w:jc w:val="both"/>
        <w:rPr>
          <w:rtl/>
        </w:rPr>
      </w:pPr>
    </w:p>
    <w:p w14:paraId="11F1D3FB" w14:textId="77777777" w:rsidR="001631BC" w:rsidRDefault="00403C40">
      <w:pPr>
        <w:spacing w:line="360" w:lineRule="auto"/>
        <w:jc w:val="both"/>
        <w:rPr>
          <w:rtl/>
        </w:rPr>
      </w:pPr>
      <w:r>
        <w:rPr>
          <w:rtl/>
        </w:rPr>
        <w:lastRenderedPageBreak/>
        <w:t>ההגנה טענה כי לנוכח נסיבות ביצוע העבירות יש לקבוע מתחם ענישה אחד לכלל העבירות, הנע בין מספר חודשי מאסר בעבודות שירות לבין 18 חודשי מאסר בפועל, או, לחילופין, לקבוע מתחם אחר, לסטות ממנו בשל שיקולי שיקום, ולהטיל על הנאשם עונש של מספר חודשי מאסר שירוצו בעבודות שירות. לעניין זה הפנה הסנגור להערכת שירות המבחן כי המסוכנות הנשקפת מהנאשם נמוכה.</w:t>
      </w:r>
    </w:p>
    <w:p w14:paraId="055E0E97" w14:textId="77777777" w:rsidR="001631BC" w:rsidRDefault="001631BC">
      <w:pPr>
        <w:spacing w:line="360" w:lineRule="auto"/>
        <w:jc w:val="both"/>
        <w:rPr>
          <w:rtl/>
        </w:rPr>
      </w:pPr>
    </w:p>
    <w:p w14:paraId="0462787F" w14:textId="77777777" w:rsidR="001631BC" w:rsidRDefault="00403C40">
      <w:pPr>
        <w:spacing w:line="360" w:lineRule="auto"/>
        <w:jc w:val="both"/>
        <w:rPr>
          <w:rtl/>
        </w:rPr>
      </w:pPr>
      <w:r>
        <w:rPr>
          <w:rtl/>
        </w:rPr>
        <w:t>הסנגור הוסיף כי הנאשם חש בושה גדולה נוכח מעשיו, ובשל כך עזב עם משפחתו את העיר בה התגורר. כמו כן הפנה הסנגור לראיות לעונש שנשמעו מטעם ההגנה, בהם פורטו סגולותיו ותכונותיו החיוביות של הנאשם והמחיר הכבד אותו הוא ומשפחתו משלמים בעקבות מעצרו וההליך המשפטי המתנהל נגדו.</w:t>
      </w:r>
    </w:p>
    <w:p w14:paraId="50B5581C" w14:textId="77777777" w:rsidR="001631BC" w:rsidRDefault="001631BC">
      <w:pPr>
        <w:spacing w:line="360" w:lineRule="auto"/>
        <w:jc w:val="both"/>
        <w:rPr>
          <w:rtl/>
        </w:rPr>
      </w:pPr>
    </w:p>
    <w:p w14:paraId="5801F7F2" w14:textId="77777777" w:rsidR="001631BC" w:rsidRDefault="00403C40">
      <w:pPr>
        <w:spacing w:line="360" w:lineRule="auto"/>
        <w:jc w:val="both"/>
        <w:rPr>
          <w:rtl/>
        </w:rPr>
      </w:pPr>
      <w:r>
        <w:rPr>
          <w:rtl/>
        </w:rPr>
        <w:t>הנאשם הביע חרטה עמוקה על מעשיו, העיד על נסיבות ביצוען, תיאר כי גרם לו ולמשפחתו נזקים רבים וביקש מבית המשפט להתחשב במצבו כאמור.</w:t>
      </w:r>
    </w:p>
    <w:p w14:paraId="5E91ED95" w14:textId="77777777" w:rsidR="001631BC" w:rsidRDefault="001631BC">
      <w:pPr>
        <w:spacing w:line="360" w:lineRule="auto"/>
        <w:jc w:val="both"/>
        <w:rPr>
          <w:rtl/>
        </w:rPr>
      </w:pPr>
    </w:p>
    <w:p w14:paraId="1F5451D6" w14:textId="77777777" w:rsidR="001631BC" w:rsidRDefault="00403C40">
      <w:pPr>
        <w:spacing w:line="360" w:lineRule="auto"/>
        <w:jc w:val="both"/>
        <w:rPr>
          <w:b/>
          <w:bCs/>
          <w:u w:val="single"/>
          <w:rtl/>
        </w:rPr>
      </w:pPr>
      <w:r>
        <w:rPr>
          <w:b/>
          <w:bCs/>
          <w:u w:val="single"/>
          <w:rtl/>
        </w:rPr>
        <w:t>תסקירי שירות המבחן:</w:t>
      </w:r>
    </w:p>
    <w:p w14:paraId="00D43704" w14:textId="77777777" w:rsidR="001631BC" w:rsidRDefault="00403C40">
      <w:pPr>
        <w:spacing w:line="360" w:lineRule="auto"/>
        <w:jc w:val="both"/>
        <w:rPr>
          <w:rtl/>
        </w:rPr>
      </w:pPr>
      <w:r>
        <w:rPr>
          <w:rtl/>
        </w:rPr>
        <w:t>שירות המבחן פרט בתסקיר שערך את הרקע של הנאשם, נסיבותיו האישיות, המשפחתיות והכלכליות</w:t>
      </w:r>
      <w:r>
        <w:rPr>
          <w:rFonts w:hint="cs"/>
          <w:rtl/>
        </w:rPr>
        <w:t xml:space="preserve"> ואת</w:t>
      </w:r>
      <w:r>
        <w:rPr>
          <w:rtl/>
        </w:rPr>
        <w:t xml:space="preserve"> מצבו הנפשי והרפואי</w:t>
      </w:r>
      <w:r>
        <w:rPr>
          <w:rFonts w:hint="cs"/>
          <w:rtl/>
        </w:rPr>
        <w:t>. עוד פירט שירות המבחן את</w:t>
      </w:r>
      <w:r>
        <w:rPr>
          <w:rtl/>
        </w:rPr>
        <w:t xml:space="preserve"> הקשיים והמשברים הרבים אותם </w:t>
      </w:r>
      <w:r>
        <w:rPr>
          <w:rFonts w:hint="cs"/>
          <w:rtl/>
        </w:rPr>
        <w:t xml:space="preserve">הנאשם </w:t>
      </w:r>
      <w:r>
        <w:rPr>
          <w:rtl/>
        </w:rPr>
        <w:t>חווה מגיל צעיר ולאורך השנים,</w:t>
      </w:r>
      <w:r>
        <w:rPr>
          <w:rFonts w:hint="cs"/>
          <w:rtl/>
        </w:rPr>
        <w:t xml:space="preserve"> ואת</w:t>
      </w:r>
      <w:r>
        <w:rPr>
          <w:rtl/>
        </w:rPr>
        <w:t xml:space="preserve"> השלכתם על מצבו הנפשי, דימויו העצמי והתמודדותו איתם. עוד </w:t>
      </w:r>
      <w:r>
        <w:rPr>
          <w:rFonts w:hint="cs"/>
          <w:rtl/>
        </w:rPr>
        <w:t xml:space="preserve">מפרט התסקיר </w:t>
      </w:r>
      <w:r>
        <w:rPr>
          <w:rtl/>
        </w:rPr>
        <w:t>כי אין לנאשם עבר פלילי, הוא ניהל במשך שנים רבות אורח חיים נורמטיבי ותקין ודאג לרווחת משפחתו ככל יכולתו, מסר בדיקות לאיתור שרידי סם שנמצאו נקיות מסמים, נטל אחריות על ביצוע העבירות, מתייסר בשל עוגמת הנפש שגרם למשפחתו, מצוי במצוקה רגשית רבה וחרד מאוד מתוצאות ההליך המשפטי.</w:t>
      </w:r>
    </w:p>
    <w:p w14:paraId="684F57BD" w14:textId="77777777" w:rsidR="001631BC" w:rsidRDefault="001631BC">
      <w:pPr>
        <w:spacing w:line="360" w:lineRule="auto"/>
        <w:jc w:val="both"/>
        <w:rPr>
          <w:rtl/>
        </w:rPr>
      </w:pPr>
    </w:p>
    <w:p w14:paraId="46E5CBD9" w14:textId="77777777" w:rsidR="001631BC" w:rsidRDefault="00403C40">
      <w:pPr>
        <w:spacing w:line="360" w:lineRule="auto"/>
        <w:jc w:val="both"/>
        <w:rPr>
          <w:rtl/>
        </w:rPr>
      </w:pPr>
      <w:r>
        <w:rPr>
          <w:rtl/>
        </w:rPr>
        <w:t>להערכת שירות המבחן, רמת הסיכון הנשקפת מהנאשם נמוכה בלבד, ועונש של מאסר בפועל עלול להביא לנסיגה במצבו הנפשי הרעוע ממילא.</w:t>
      </w:r>
    </w:p>
    <w:p w14:paraId="78CA0F22" w14:textId="77777777" w:rsidR="001631BC" w:rsidRDefault="001631BC">
      <w:pPr>
        <w:spacing w:line="360" w:lineRule="auto"/>
        <w:jc w:val="both"/>
        <w:rPr>
          <w:rtl/>
        </w:rPr>
      </w:pPr>
    </w:p>
    <w:p w14:paraId="7AB37A3E" w14:textId="77777777" w:rsidR="001631BC" w:rsidRDefault="00403C40">
      <w:pPr>
        <w:spacing w:line="360" w:lineRule="auto"/>
        <w:jc w:val="both"/>
        <w:rPr>
          <w:rtl/>
        </w:rPr>
      </w:pPr>
      <w:r>
        <w:rPr>
          <w:rtl/>
        </w:rPr>
        <w:t>לאור כל האמור המליץ שירות המבחן להטיל על הנאשם עונש של מאסר קצר בדרך של עבודות שירות.</w:t>
      </w:r>
    </w:p>
    <w:p w14:paraId="52659622" w14:textId="77777777" w:rsidR="001631BC" w:rsidRDefault="001631BC">
      <w:pPr>
        <w:spacing w:line="360" w:lineRule="auto"/>
        <w:jc w:val="both"/>
        <w:rPr>
          <w:rtl/>
        </w:rPr>
      </w:pPr>
    </w:p>
    <w:p w14:paraId="1E3D68B3" w14:textId="77777777" w:rsidR="001631BC" w:rsidRDefault="00403C40">
      <w:pPr>
        <w:spacing w:line="360" w:lineRule="auto"/>
        <w:jc w:val="both"/>
        <w:rPr>
          <w:b/>
          <w:bCs/>
          <w:u w:val="single"/>
          <w:rtl/>
        </w:rPr>
      </w:pPr>
      <w:r>
        <w:rPr>
          <w:b/>
          <w:bCs/>
          <w:u w:val="single"/>
          <w:rtl/>
        </w:rPr>
        <w:t>דיון ומסקנות:</w:t>
      </w:r>
    </w:p>
    <w:p w14:paraId="34E66668" w14:textId="77777777" w:rsidR="001631BC" w:rsidRDefault="00403C40">
      <w:pPr>
        <w:spacing w:line="360" w:lineRule="auto"/>
        <w:jc w:val="both"/>
        <w:rPr>
          <w:rtl/>
        </w:rPr>
      </w:pPr>
      <w:r>
        <w:rPr>
          <w:rtl/>
        </w:rPr>
        <w:t>השימוש בסמים פוגע פגיעה רעה בבריאותה של החברה ובציבור בכללותו. לא רק צרכן הסם המתמכר לו נפגע ממנו, אלא גם משפחתו וסביבתו הקרובה. מעשה עבירה של סחר בסם מסוכן מפיץ ומגביר את הנזקים הנלווים לשימוש בסמים. בכלל זאת גורם מעשה הסחר בסמים לפגיעה בערכים חברתיים אחרים, שכן משתמשים בסמים מבצעים עבירות אחרות כדי לממן את צריכת הסמים.</w:t>
      </w:r>
    </w:p>
    <w:p w14:paraId="05F37349" w14:textId="77777777" w:rsidR="001631BC" w:rsidRDefault="001631BC">
      <w:pPr>
        <w:spacing w:line="360" w:lineRule="auto"/>
        <w:jc w:val="both"/>
        <w:rPr>
          <w:rtl/>
        </w:rPr>
      </w:pPr>
    </w:p>
    <w:p w14:paraId="679A6047" w14:textId="77777777" w:rsidR="001631BC" w:rsidRDefault="00403C40">
      <w:pPr>
        <w:spacing w:line="360" w:lineRule="auto"/>
        <w:jc w:val="both"/>
        <w:rPr>
          <w:rFonts w:ascii="Calibri" w:hAnsi="Calibri"/>
          <w:rtl/>
        </w:rPr>
      </w:pPr>
      <w:r>
        <w:rPr>
          <w:rFonts w:ascii="Calibri" w:hAnsi="Calibri" w:hint="eastAsia"/>
          <w:rtl/>
        </w:rPr>
        <w:t>זה</w:t>
      </w:r>
      <w:r>
        <w:rPr>
          <w:rFonts w:ascii="Calibri" w:hAnsi="Calibri"/>
          <w:rtl/>
        </w:rPr>
        <w:t xml:space="preserve"> </w:t>
      </w:r>
      <w:r>
        <w:rPr>
          <w:rFonts w:ascii="Calibri" w:hAnsi="Calibri" w:hint="eastAsia"/>
          <w:rtl/>
        </w:rPr>
        <w:t>מכבר</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כי</w:t>
      </w:r>
      <w:r>
        <w:rPr>
          <w:rFonts w:ascii="Calibri" w:hAnsi="Calibri"/>
          <w:rtl/>
        </w:rPr>
        <w:t>:</w:t>
      </w:r>
    </w:p>
    <w:p w14:paraId="286C7CCE" w14:textId="77777777" w:rsidR="001631BC" w:rsidRDefault="00403C40">
      <w:pPr>
        <w:spacing w:line="360" w:lineRule="auto"/>
        <w:ind w:left="651" w:right="709"/>
        <w:jc w:val="both"/>
        <w:rPr>
          <w:rFonts w:ascii="Calibri" w:hAnsi="Calibri"/>
          <w:b/>
          <w:bCs/>
          <w:rtl/>
        </w:rPr>
      </w:pPr>
      <w:r>
        <w:rPr>
          <w:rFonts w:ascii="Calibri" w:hAnsi="Calibri"/>
          <w:b/>
          <w:bCs/>
          <w:rtl/>
        </w:rPr>
        <w:t>"</w:t>
      </w:r>
      <w:r>
        <w:rPr>
          <w:rFonts w:ascii="Calibri" w:hAnsi="Calibri" w:hint="eastAsia"/>
          <w:b/>
          <w:bCs/>
          <w:rtl/>
        </w:rPr>
        <w:t>נגע</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אוכל</w:t>
      </w:r>
      <w:r>
        <w:rPr>
          <w:rFonts w:ascii="Calibri" w:hAnsi="Calibri"/>
          <w:b/>
          <w:bCs/>
          <w:rtl/>
        </w:rPr>
        <w:t xml:space="preserve"> </w:t>
      </w:r>
      <w:r>
        <w:rPr>
          <w:rFonts w:ascii="Calibri" w:hAnsi="Calibri" w:hint="eastAsia"/>
          <w:b/>
          <w:bCs/>
          <w:rtl/>
        </w:rPr>
        <w:t>באוכלוסייה</w:t>
      </w:r>
      <w:r>
        <w:rPr>
          <w:rFonts w:ascii="Calibri" w:hAnsi="Calibri"/>
          <w:b/>
          <w:bCs/>
          <w:rtl/>
        </w:rPr>
        <w:t xml:space="preserve"> </w:t>
      </w:r>
      <w:r>
        <w:rPr>
          <w:rFonts w:ascii="Calibri" w:hAnsi="Calibri" w:hint="eastAsia"/>
          <w:b/>
          <w:bCs/>
          <w:rtl/>
        </w:rPr>
        <w:t>שלנו</w:t>
      </w:r>
      <w:r>
        <w:rPr>
          <w:rFonts w:ascii="Calibri" w:hAnsi="Calibri"/>
          <w:b/>
          <w:bCs/>
          <w:rtl/>
        </w:rPr>
        <w:t xml:space="preserve"> </w:t>
      </w:r>
      <w:r>
        <w:rPr>
          <w:rFonts w:ascii="Calibri" w:hAnsi="Calibri" w:hint="eastAsia"/>
          <w:b/>
          <w:bCs/>
          <w:rtl/>
        </w:rPr>
        <w:t>בכל</w:t>
      </w:r>
      <w:r>
        <w:rPr>
          <w:rFonts w:ascii="Calibri" w:hAnsi="Calibri"/>
          <w:b/>
          <w:bCs/>
          <w:rtl/>
        </w:rPr>
        <w:t xml:space="preserve"> </w:t>
      </w:r>
      <w:r>
        <w:rPr>
          <w:rFonts w:ascii="Calibri" w:hAnsi="Calibri" w:hint="eastAsia"/>
          <w:b/>
          <w:bCs/>
          <w:rtl/>
        </w:rPr>
        <w:t>פה</w:t>
      </w:r>
      <w:r>
        <w:rPr>
          <w:rFonts w:ascii="Calibri" w:hAnsi="Calibri"/>
          <w:b/>
          <w:bCs/>
          <w:rtl/>
        </w:rPr>
        <w:t xml:space="preserve">, </w:t>
      </w:r>
      <w:r>
        <w:rPr>
          <w:rFonts w:ascii="Calibri" w:hAnsi="Calibri" w:hint="eastAsia"/>
          <w:b/>
          <w:bCs/>
          <w:rtl/>
        </w:rPr>
        <w:t>והחברה</w:t>
      </w:r>
      <w:r>
        <w:rPr>
          <w:rFonts w:ascii="Calibri" w:hAnsi="Calibri"/>
          <w:b/>
          <w:bCs/>
          <w:rtl/>
        </w:rPr>
        <w:t xml:space="preserve"> </w:t>
      </w:r>
      <w:r>
        <w:rPr>
          <w:rFonts w:ascii="Calibri" w:hAnsi="Calibri" w:hint="eastAsia"/>
          <w:b/>
          <w:bCs/>
          <w:rtl/>
        </w:rPr>
        <w:t>הכריזה</w:t>
      </w:r>
      <w:r>
        <w:rPr>
          <w:rFonts w:ascii="Calibri" w:hAnsi="Calibri"/>
          <w:b/>
          <w:bCs/>
          <w:rtl/>
        </w:rPr>
        <w:t xml:space="preserve"> </w:t>
      </w:r>
      <w:r>
        <w:rPr>
          <w:rFonts w:ascii="Calibri" w:hAnsi="Calibri" w:hint="eastAsia"/>
          <w:b/>
          <w:bCs/>
          <w:rtl/>
        </w:rPr>
        <w:t>עליו</w:t>
      </w:r>
      <w:r>
        <w:rPr>
          <w:rFonts w:ascii="Calibri" w:hAnsi="Calibri"/>
          <w:b/>
          <w:bCs/>
          <w:rtl/>
        </w:rPr>
        <w:t xml:space="preserve"> </w:t>
      </w:r>
      <w:r>
        <w:rPr>
          <w:rFonts w:ascii="Calibri" w:hAnsi="Calibri" w:hint="eastAsia"/>
          <w:b/>
          <w:bCs/>
          <w:rtl/>
        </w:rPr>
        <w:t>מלחמת</w:t>
      </w:r>
      <w:r>
        <w:rPr>
          <w:rFonts w:ascii="Calibri" w:hAnsi="Calibri"/>
          <w:b/>
          <w:bCs/>
          <w:rtl/>
        </w:rPr>
        <w:t xml:space="preserve"> </w:t>
      </w:r>
      <w:r>
        <w:rPr>
          <w:rFonts w:ascii="Calibri" w:hAnsi="Calibri" w:hint="eastAsia"/>
          <w:b/>
          <w:bCs/>
          <w:rtl/>
        </w:rPr>
        <w:t>חורמה</w:t>
      </w:r>
      <w:r>
        <w:rPr>
          <w:rFonts w:ascii="Calibri" w:hAnsi="Calibri"/>
          <w:b/>
          <w:bCs/>
          <w:rtl/>
        </w:rPr>
        <w:t xml:space="preserve"> </w:t>
      </w:r>
      <w:r>
        <w:rPr>
          <w:rFonts w:ascii="Calibri" w:hAnsi="Calibri" w:hint="eastAsia"/>
          <w:b/>
          <w:bCs/>
          <w:rtl/>
        </w:rPr>
        <w:t>ומצפה</w:t>
      </w:r>
      <w:r>
        <w:rPr>
          <w:rFonts w:ascii="Calibri" w:hAnsi="Calibri"/>
          <w:b/>
          <w:bCs/>
          <w:rtl/>
        </w:rPr>
        <w:t xml:space="preserve"> </w:t>
      </w:r>
      <w:r>
        <w:rPr>
          <w:rFonts w:ascii="Calibri" w:hAnsi="Calibri" w:hint="eastAsia"/>
          <w:b/>
          <w:bCs/>
          <w:rtl/>
        </w:rPr>
        <w:t>שהעונשים</w:t>
      </w:r>
      <w:r>
        <w:rPr>
          <w:rFonts w:ascii="Calibri" w:hAnsi="Calibri"/>
          <w:b/>
          <w:bCs/>
          <w:rtl/>
        </w:rPr>
        <w:t xml:space="preserve"> </w:t>
      </w:r>
      <w:r>
        <w:rPr>
          <w:rFonts w:ascii="Calibri" w:hAnsi="Calibri" w:hint="eastAsia"/>
          <w:b/>
          <w:bCs/>
          <w:rtl/>
        </w:rPr>
        <w:t>שיגזרו</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ידי</w:t>
      </w:r>
      <w:r>
        <w:rPr>
          <w:rFonts w:ascii="Calibri" w:hAnsi="Calibri"/>
          <w:b/>
          <w:bCs/>
          <w:rtl/>
        </w:rPr>
        <w:t xml:space="preserve"> </w:t>
      </w:r>
      <w:r>
        <w:rPr>
          <w:rFonts w:ascii="Calibri" w:hAnsi="Calibri" w:hint="eastAsia"/>
          <w:b/>
          <w:bCs/>
          <w:rtl/>
        </w:rPr>
        <w:t>בתי</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בשל</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ישתלבו</w:t>
      </w:r>
      <w:r>
        <w:rPr>
          <w:rFonts w:ascii="Calibri" w:hAnsi="Calibri"/>
          <w:b/>
          <w:bCs/>
          <w:rtl/>
        </w:rPr>
        <w:t xml:space="preserve"> </w:t>
      </w:r>
      <w:r>
        <w:rPr>
          <w:rFonts w:ascii="Calibri" w:hAnsi="Calibri" w:hint="eastAsia"/>
          <w:b/>
          <w:bCs/>
          <w:rtl/>
        </w:rPr>
        <w:t>במאבק</w:t>
      </w:r>
      <w:r>
        <w:rPr>
          <w:rFonts w:ascii="Calibri" w:hAnsi="Calibri"/>
          <w:b/>
          <w:bCs/>
          <w:rtl/>
        </w:rPr>
        <w:t xml:space="preserve"> </w:t>
      </w:r>
      <w:r>
        <w:rPr>
          <w:rFonts w:ascii="Calibri" w:hAnsi="Calibri" w:hint="eastAsia"/>
          <w:b/>
          <w:bCs/>
          <w:rtl/>
        </w:rPr>
        <w:t>הכולל</w:t>
      </w:r>
      <w:r>
        <w:rPr>
          <w:rFonts w:ascii="Calibri" w:hAnsi="Calibri"/>
          <w:b/>
          <w:bCs/>
          <w:rtl/>
        </w:rPr>
        <w:t xml:space="preserve"> </w:t>
      </w:r>
      <w:r>
        <w:rPr>
          <w:rFonts w:ascii="Calibri" w:hAnsi="Calibri" w:hint="eastAsia"/>
          <w:b/>
          <w:bCs/>
          <w:rtl/>
        </w:rPr>
        <w:t>להדברת</w:t>
      </w:r>
      <w:r>
        <w:rPr>
          <w:rFonts w:ascii="Calibri" w:hAnsi="Calibri"/>
          <w:b/>
          <w:bCs/>
          <w:rtl/>
        </w:rPr>
        <w:t xml:space="preserve"> </w:t>
      </w:r>
      <w:r>
        <w:rPr>
          <w:rFonts w:ascii="Calibri" w:hAnsi="Calibri" w:hint="eastAsia"/>
          <w:b/>
          <w:bCs/>
          <w:rtl/>
        </w:rPr>
        <w:t>הנגע</w:t>
      </w:r>
      <w:r>
        <w:rPr>
          <w:rFonts w:ascii="Calibri" w:hAnsi="Calibri"/>
          <w:b/>
          <w:bCs/>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הולם</w:t>
      </w:r>
      <w:r>
        <w:rPr>
          <w:rFonts w:ascii="Calibri" w:hAnsi="Calibri"/>
          <w:b/>
          <w:bCs/>
          <w:rtl/>
        </w:rPr>
        <w:t xml:space="preserve"> </w:t>
      </w:r>
      <w:r>
        <w:rPr>
          <w:rFonts w:ascii="Calibri" w:hAnsi="Calibri" w:hint="eastAsia"/>
          <w:b/>
          <w:bCs/>
          <w:rtl/>
        </w:rPr>
        <w:t>למחזיקי</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לשימוש</w:t>
      </w:r>
      <w:r>
        <w:rPr>
          <w:rFonts w:ascii="Calibri" w:hAnsi="Calibri"/>
          <w:b/>
          <w:bCs/>
          <w:rtl/>
        </w:rPr>
        <w:t xml:space="preserve"> </w:t>
      </w:r>
      <w:r>
        <w:rPr>
          <w:rFonts w:ascii="Calibri" w:hAnsi="Calibri" w:hint="eastAsia"/>
          <w:b/>
          <w:bCs/>
          <w:rtl/>
        </w:rPr>
        <w:t>עצמי</w:t>
      </w:r>
      <w:r>
        <w:rPr>
          <w:rFonts w:ascii="Calibri" w:hAnsi="Calibri"/>
          <w:b/>
          <w:bCs/>
          <w:rtl/>
        </w:rPr>
        <w:t xml:space="preserve">  </w:t>
      </w:r>
      <w:r>
        <w:rPr>
          <w:rFonts w:ascii="Calibri" w:hAnsi="Calibri" w:hint="eastAsia"/>
          <w:b/>
          <w:bCs/>
          <w:rtl/>
        </w:rPr>
        <w:t>קרי</w:t>
      </w:r>
      <w:r>
        <w:rPr>
          <w:rFonts w:ascii="Calibri" w:hAnsi="Calibri"/>
          <w:b/>
          <w:bCs/>
          <w:rtl/>
        </w:rPr>
        <w:t xml:space="preserve">: </w:t>
      </w:r>
      <w:r>
        <w:rPr>
          <w:rFonts w:ascii="Calibri" w:hAnsi="Calibri" w:hint="eastAsia"/>
          <w:b/>
          <w:bCs/>
          <w:rtl/>
        </w:rPr>
        <w:t>למשולבים</w:t>
      </w:r>
      <w:r>
        <w:rPr>
          <w:rFonts w:ascii="Calibri" w:hAnsi="Calibri"/>
          <w:b/>
          <w:bCs/>
          <w:rtl/>
        </w:rPr>
        <w:t xml:space="preserve"> </w:t>
      </w:r>
      <w:r>
        <w:rPr>
          <w:rFonts w:ascii="Calibri" w:hAnsi="Calibri" w:hint="eastAsia"/>
          <w:b/>
          <w:bCs/>
          <w:rtl/>
        </w:rPr>
        <w:t>במערך</w:t>
      </w:r>
      <w:r>
        <w:rPr>
          <w:rFonts w:ascii="Calibri" w:hAnsi="Calibri"/>
          <w:b/>
          <w:bCs/>
          <w:rtl/>
        </w:rPr>
        <w:t xml:space="preserve"> </w:t>
      </w:r>
      <w:r>
        <w:rPr>
          <w:rFonts w:ascii="Calibri" w:hAnsi="Calibri" w:hint="eastAsia"/>
          <w:b/>
          <w:bCs/>
          <w:rtl/>
        </w:rPr>
        <w:t>ההפצה</w:t>
      </w:r>
      <w:r>
        <w:rPr>
          <w:rFonts w:ascii="Calibri" w:hAnsi="Calibri"/>
          <w:b/>
          <w:bCs/>
          <w:rtl/>
        </w:rPr>
        <w:t xml:space="preserve"> - </w:t>
      </w:r>
      <w:r>
        <w:rPr>
          <w:rFonts w:ascii="Calibri" w:hAnsi="Calibri" w:hint="eastAsia"/>
          <w:b/>
          <w:bCs/>
          <w:rtl/>
        </w:rPr>
        <w:t>מכוון</w:t>
      </w:r>
      <w:r>
        <w:rPr>
          <w:rFonts w:ascii="Calibri" w:hAnsi="Calibri"/>
          <w:b/>
          <w:bCs/>
          <w:rtl/>
        </w:rPr>
        <w:t xml:space="preserve"> </w:t>
      </w:r>
      <w:r>
        <w:rPr>
          <w:rFonts w:ascii="Calibri" w:hAnsi="Calibri" w:hint="eastAsia"/>
          <w:b/>
          <w:bCs/>
          <w:rtl/>
        </w:rPr>
        <w:t>לקבוע</w:t>
      </w:r>
      <w:r>
        <w:rPr>
          <w:rFonts w:ascii="Calibri" w:hAnsi="Calibri"/>
          <w:b/>
          <w:bCs/>
          <w:rtl/>
        </w:rPr>
        <w:t xml:space="preserve"> </w:t>
      </w:r>
      <w:r>
        <w:rPr>
          <w:rFonts w:ascii="Calibri" w:hAnsi="Calibri" w:hint="eastAsia"/>
          <w:b/>
          <w:bCs/>
          <w:rtl/>
        </w:rPr>
        <w:t>בהכרת</w:t>
      </w:r>
      <w:r>
        <w:rPr>
          <w:rFonts w:ascii="Calibri" w:hAnsi="Calibri"/>
          <w:b/>
          <w:bCs/>
          <w:rtl/>
        </w:rPr>
        <w:t xml:space="preserve"> </w:t>
      </w:r>
      <w:r>
        <w:rPr>
          <w:rFonts w:ascii="Calibri" w:hAnsi="Calibri" w:hint="eastAsia"/>
          <w:b/>
          <w:bCs/>
          <w:rtl/>
        </w:rPr>
        <w:t>הכל</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החומרה</w:t>
      </w:r>
      <w:r>
        <w:rPr>
          <w:rFonts w:ascii="Calibri" w:hAnsi="Calibri"/>
          <w:b/>
          <w:bCs/>
          <w:rtl/>
        </w:rPr>
        <w:t xml:space="preserve"> </w:t>
      </w:r>
      <w:r>
        <w:rPr>
          <w:rFonts w:ascii="Calibri" w:hAnsi="Calibri" w:hint="eastAsia"/>
          <w:b/>
          <w:bCs/>
          <w:rtl/>
        </w:rPr>
        <w:t>היתירה</w:t>
      </w:r>
      <w:r>
        <w:rPr>
          <w:rFonts w:ascii="Calibri" w:hAnsi="Calibri"/>
          <w:b/>
          <w:bCs/>
          <w:rtl/>
        </w:rPr>
        <w:t xml:space="preserve"> </w:t>
      </w:r>
      <w:r>
        <w:rPr>
          <w:rFonts w:ascii="Calibri" w:hAnsi="Calibri" w:hint="eastAsia"/>
          <w:b/>
          <w:bCs/>
          <w:rtl/>
        </w:rPr>
        <w:t>שאנו</w:t>
      </w:r>
      <w:r>
        <w:rPr>
          <w:rFonts w:ascii="Calibri" w:hAnsi="Calibri"/>
          <w:b/>
          <w:bCs/>
          <w:rtl/>
        </w:rPr>
        <w:t xml:space="preserve"> </w:t>
      </w:r>
      <w:r>
        <w:rPr>
          <w:rFonts w:ascii="Calibri" w:hAnsi="Calibri" w:hint="eastAsia"/>
          <w:b/>
          <w:bCs/>
          <w:rtl/>
        </w:rPr>
        <w:t>מייחסים</w:t>
      </w:r>
      <w:r>
        <w:rPr>
          <w:rFonts w:ascii="Calibri" w:hAnsi="Calibri"/>
          <w:b/>
          <w:bCs/>
          <w:rtl/>
        </w:rPr>
        <w:t xml:space="preserve"> </w:t>
      </w:r>
      <w:r>
        <w:rPr>
          <w:rFonts w:ascii="Calibri" w:hAnsi="Calibri" w:hint="eastAsia"/>
          <w:b/>
          <w:bCs/>
          <w:rtl/>
        </w:rPr>
        <w:t>להפצת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ולהרתיע</w:t>
      </w:r>
      <w:r>
        <w:rPr>
          <w:rFonts w:ascii="Calibri" w:hAnsi="Calibri"/>
          <w:b/>
          <w:bCs/>
          <w:rtl/>
        </w:rPr>
        <w:t xml:space="preserve"> </w:t>
      </w:r>
      <w:r>
        <w:rPr>
          <w:rFonts w:ascii="Calibri" w:hAnsi="Calibri" w:hint="eastAsia"/>
          <w:b/>
          <w:bCs/>
          <w:rtl/>
        </w:rPr>
        <w:t>עבריינים</w:t>
      </w:r>
      <w:r>
        <w:rPr>
          <w:rFonts w:ascii="Calibri" w:hAnsi="Calibri"/>
          <w:b/>
          <w:bCs/>
          <w:rtl/>
        </w:rPr>
        <w:t xml:space="preserve"> </w:t>
      </w:r>
      <w:r>
        <w:rPr>
          <w:rFonts w:ascii="Calibri" w:hAnsi="Calibri" w:hint="eastAsia"/>
          <w:b/>
          <w:bCs/>
          <w:rtl/>
        </w:rPr>
        <w:t>בכוח</w:t>
      </w:r>
      <w:r>
        <w:rPr>
          <w:rFonts w:ascii="Calibri" w:hAnsi="Calibri"/>
          <w:b/>
          <w:bCs/>
          <w:rtl/>
        </w:rPr>
        <w:t xml:space="preserve"> </w:t>
      </w:r>
      <w:r>
        <w:rPr>
          <w:rFonts w:ascii="Calibri" w:hAnsi="Calibri" w:hint="eastAsia"/>
          <w:b/>
          <w:bCs/>
          <w:rtl/>
        </w:rPr>
        <w:t>מלשלוח</w:t>
      </w:r>
      <w:r>
        <w:rPr>
          <w:rFonts w:ascii="Calibri" w:hAnsi="Calibri"/>
          <w:b/>
          <w:bCs/>
          <w:rtl/>
        </w:rPr>
        <w:t xml:space="preserve"> </w:t>
      </w:r>
      <w:r>
        <w:rPr>
          <w:rFonts w:ascii="Calibri" w:hAnsi="Calibri" w:hint="eastAsia"/>
          <w:b/>
          <w:bCs/>
          <w:rtl/>
        </w:rPr>
        <w:t>ידם</w:t>
      </w:r>
      <w:r>
        <w:rPr>
          <w:rFonts w:ascii="Calibri" w:hAnsi="Calibri"/>
          <w:b/>
          <w:bCs/>
          <w:rtl/>
        </w:rPr>
        <w:t xml:space="preserve"> </w:t>
      </w:r>
      <w:r>
        <w:rPr>
          <w:rFonts w:ascii="Calibri" w:hAnsi="Calibri" w:hint="eastAsia"/>
          <w:b/>
          <w:bCs/>
          <w:rtl/>
        </w:rPr>
        <w:t>בפעילות</w:t>
      </w:r>
      <w:r>
        <w:rPr>
          <w:rFonts w:ascii="Calibri" w:hAnsi="Calibri"/>
          <w:b/>
          <w:bCs/>
          <w:rtl/>
        </w:rPr>
        <w:t xml:space="preserve"> </w:t>
      </w:r>
      <w:r>
        <w:rPr>
          <w:rFonts w:ascii="Calibri" w:hAnsi="Calibri" w:hint="eastAsia"/>
          <w:b/>
          <w:bCs/>
          <w:rtl/>
        </w:rPr>
        <w:t>ההפצה</w:t>
      </w:r>
      <w:r>
        <w:rPr>
          <w:rFonts w:ascii="Calibri" w:hAnsi="Calibri"/>
          <w:b/>
          <w:bCs/>
          <w:rtl/>
        </w:rPr>
        <w:t xml:space="preserve">. </w:t>
      </w:r>
      <w:r>
        <w:rPr>
          <w:rFonts w:ascii="Calibri" w:hAnsi="Calibri" w:hint="eastAsia"/>
          <w:b/>
          <w:bCs/>
          <w:rtl/>
        </w:rPr>
        <w:t>שתי</w:t>
      </w:r>
      <w:r>
        <w:rPr>
          <w:rFonts w:ascii="Calibri" w:hAnsi="Calibri"/>
          <w:b/>
          <w:bCs/>
          <w:rtl/>
        </w:rPr>
        <w:t xml:space="preserve"> </w:t>
      </w:r>
      <w:r>
        <w:rPr>
          <w:rFonts w:ascii="Calibri" w:hAnsi="Calibri" w:hint="eastAsia"/>
          <w:b/>
          <w:bCs/>
          <w:rtl/>
        </w:rPr>
        <w:t>תכליות</w:t>
      </w:r>
      <w:r>
        <w:rPr>
          <w:rFonts w:ascii="Calibri" w:hAnsi="Calibri"/>
          <w:b/>
          <w:bCs/>
          <w:rtl/>
        </w:rPr>
        <w:t xml:space="preserve"> </w:t>
      </w:r>
      <w:r>
        <w:rPr>
          <w:rFonts w:ascii="Calibri" w:hAnsi="Calibri" w:hint="eastAsia"/>
          <w:b/>
          <w:bCs/>
          <w:rtl/>
        </w:rPr>
        <w:t>מרכזיות</w:t>
      </w:r>
      <w:r>
        <w:rPr>
          <w:rFonts w:ascii="Calibri" w:hAnsi="Calibri"/>
          <w:b/>
          <w:bCs/>
          <w:rtl/>
        </w:rPr>
        <w:t xml:space="preserve"> </w:t>
      </w:r>
      <w:r>
        <w:rPr>
          <w:rFonts w:ascii="Calibri" w:hAnsi="Calibri" w:hint="eastAsia"/>
          <w:b/>
          <w:bCs/>
          <w:rtl/>
        </w:rPr>
        <w:t>אלו</w:t>
      </w:r>
      <w:r>
        <w:rPr>
          <w:rFonts w:ascii="Calibri" w:hAnsi="Calibri"/>
          <w:b/>
          <w:bCs/>
          <w:rtl/>
        </w:rPr>
        <w:t xml:space="preserve"> </w:t>
      </w:r>
      <w:r>
        <w:rPr>
          <w:rFonts w:ascii="Calibri" w:hAnsi="Calibri" w:hint="eastAsia"/>
          <w:b/>
          <w:bCs/>
          <w:rtl/>
        </w:rPr>
        <w:t>ניתן</w:t>
      </w:r>
      <w:r>
        <w:rPr>
          <w:rFonts w:ascii="Calibri" w:hAnsi="Calibri"/>
          <w:b/>
          <w:bCs/>
          <w:rtl/>
        </w:rPr>
        <w:t xml:space="preserve"> </w:t>
      </w:r>
      <w:r>
        <w:rPr>
          <w:rFonts w:ascii="Calibri" w:hAnsi="Calibri" w:hint="eastAsia"/>
          <w:b/>
          <w:bCs/>
          <w:rtl/>
        </w:rPr>
        <w:t>להשיג</w:t>
      </w:r>
      <w:r>
        <w:rPr>
          <w:rFonts w:ascii="Calibri" w:hAnsi="Calibri"/>
          <w:b/>
          <w:bCs/>
          <w:rtl/>
        </w:rPr>
        <w:t xml:space="preserve"> </w:t>
      </w:r>
      <w:r>
        <w:rPr>
          <w:rFonts w:ascii="Calibri" w:hAnsi="Calibri" w:hint="eastAsia"/>
          <w:b/>
          <w:bCs/>
          <w:rtl/>
        </w:rPr>
        <w:t>רק</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ידי</w:t>
      </w:r>
      <w:r>
        <w:rPr>
          <w:rFonts w:ascii="Calibri" w:hAnsi="Calibri"/>
          <w:b/>
          <w:bCs/>
          <w:rtl/>
        </w:rPr>
        <w:t xml:space="preserve"> </w:t>
      </w:r>
      <w:r>
        <w:rPr>
          <w:rFonts w:ascii="Calibri" w:hAnsi="Calibri" w:hint="eastAsia"/>
          <w:b/>
          <w:bCs/>
          <w:rtl/>
        </w:rPr>
        <w:t>הטלת</w:t>
      </w:r>
      <w:r>
        <w:rPr>
          <w:rFonts w:ascii="Calibri" w:hAnsi="Calibri"/>
          <w:b/>
          <w:bCs/>
          <w:rtl/>
        </w:rPr>
        <w:t xml:space="preserve"> </w:t>
      </w:r>
      <w:r>
        <w:rPr>
          <w:rFonts w:ascii="Calibri" w:hAnsi="Calibri" w:hint="eastAsia"/>
          <w:b/>
          <w:bCs/>
          <w:rtl/>
        </w:rPr>
        <w:t>עונשים</w:t>
      </w:r>
      <w:r>
        <w:rPr>
          <w:rFonts w:ascii="Calibri" w:hAnsi="Calibri"/>
          <w:b/>
          <w:bCs/>
          <w:rtl/>
        </w:rPr>
        <w:t xml:space="preserve"> </w:t>
      </w:r>
      <w:r>
        <w:rPr>
          <w:rFonts w:ascii="Calibri" w:hAnsi="Calibri" w:hint="eastAsia"/>
          <w:b/>
          <w:bCs/>
          <w:rtl/>
        </w:rPr>
        <w:t>חמורים</w:t>
      </w:r>
      <w:r>
        <w:rPr>
          <w:rFonts w:ascii="Calibri" w:hAnsi="Calibri"/>
          <w:b/>
          <w:bCs/>
          <w:rtl/>
        </w:rPr>
        <w:t>..."</w:t>
      </w:r>
    </w:p>
    <w:p w14:paraId="64FCABB9" w14:textId="77777777" w:rsidR="001631BC" w:rsidRDefault="00403C40">
      <w:pPr>
        <w:spacing w:line="360" w:lineRule="auto"/>
        <w:ind w:left="651" w:right="709"/>
        <w:jc w:val="both"/>
        <w:rPr>
          <w:rFonts w:ascii="Calibri" w:hAnsi="Calibri"/>
        </w:rPr>
      </w:pPr>
      <w:r>
        <w:rPr>
          <w:rFonts w:ascii="Calibri" w:hAnsi="Calibri"/>
          <w:rtl/>
        </w:rPr>
        <w:t>(</w:t>
      </w:r>
      <w:hyperlink r:id="rId14" w:history="1">
        <w:r w:rsidRPr="00403C40">
          <w:rPr>
            <w:rFonts w:ascii="Calibri" w:hAnsi="Calibri" w:hint="eastAsia"/>
            <w:color w:val="0000FF"/>
            <w:u w:val="single"/>
            <w:rtl/>
          </w:rPr>
          <w:t>ע</w:t>
        </w:r>
        <w:r w:rsidRPr="00403C40">
          <w:rPr>
            <w:rFonts w:ascii="Calibri" w:hAnsi="Calibri"/>
            <w:color w:val="0000FF"/>
            <w:u w:val="single"/>
            <w:rtl/>
          </w:rPr>
          <w:t>"</w:t>
        </w:r>
        <w:r w:rsidRPr="00403C40">
          <w:rPr>
            <w:rFonts w:ascii="Calibri" w:hAnsi="Calibri" w:hint="eastAsia"/>
            <w:color w:val="0000FF"/>
            <w:u w:val="single"/>
            <w:rtl/>
          </w:rPr>
          <w:t>פ</w:t>
        </w:r>
        <w:r w:rsidRPr="00403C40">
          <w:rPr>
            <w:rFonts w:ascii="Calibri" w:hAnsi="Calibri"/>
            <w:color w:val="0000FF"/>
            <w:u w:val="single"/>
            <w:rtl/>
          </w:rPr>
          <w:t xml:space="preserve"> 966/94</w:t>
        </w:r>
      </w:hyperlink>
      <w:r>
        <w:rPr>
          <w:rFonts w:ascii="Calibri" w:hAnsi="Calibri"/>
          <w:rtl/>
        </w:rPr>
        <w:t xml:space="preserve"> </w:t>
      </w:r>
      <w:r>
        <w:rPr>
          <w:rFonts w:ascii="Calibri" w:hAnsi="Calibri" w:hint="eastAsia"/>
          <w:b/>
          <w:bCs/>
          <w:rtl/>
        </w:rPr>
        <w:t>אמזלג</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10/12/1995)</w:t>
      </w:r>
    </w:p>
    <w:p w14:paraId="4C54BD96" w14:textId="77777777" w:rsidR="001631BC" w:rsidRDefault="001631BC">
      <w:pPr>
        <w:spacing w:line="360" w:lineRule="auto"/>
        <w:jc w:val="both"/>
        <w:rPr>
          <w:rtl/>
        </w:rPr>
      </w:pPr>
    </w:p>
    <w:p w14:paraId="69F9F41D" w14:textId="77777777" w:rsidR="001631BC" w:rsidRDefault="001631BC">
      <w:pPr>
        <w:spacing w:line="360" w:lineRule="auto"/>
        <w:jc w:val="both"/>
        <w:rPr>
          <w:rtl/>
        </w:rPr>
      </w:pPr>
    </w:p>
    <w:p w14:paraId="3516E775" w14:textId="77777777" w:rsidR="001631BC" w:rsidRDefault="00403C40">
      <w:pPr>
        <w:spacing w:line="360" w:lineRule="auto"/>
        <w:jc w:val="both"/>
        <w:rPr>
          <w:rtl/>
        </w:rPr>
      </w:pPr>
      <w:r>
        <w:rPr>
          <w:rtl/>
        </w:rPr>
        <w:t>על מנת לעמוד על מידת הפגיעה של מעשה הסחר בסמים בערכים החברתיים המוגנים יש לבחון, בין היתר, את כמות הסם שנסחרה. כפי שקבע בית המשפט העליון:</w:t>
      </w:r>
    </w:p>
    <w:p w14:paraId="4ABA550F" w14:textId="77777777" w:rsidR="001631BC" w:rsidRDefault="001631BC">
      <w:pPr>
        <w:spacing w:line="360" w:lineRule="auto"/>
        <w:jc w:val="both"/>
        <w:rPr>
          <w:rtl/>
        </w:rPr>
      </w:pPr>
    </w:p>
    <w:p w14:paraId="695E0D51" w14:textId="77777777" w:rsidR="001631BC" w:rsidRDefault="00403C40">
      <w:pPr>
        <w:spacing w:line="360" w:lineRule="auto"/>
        <w:ind w:left="1076" w:right="862"/>
        <w:jc w:val="both"/>
        <w:rPr>
          <w:b/>
          <w:bCs/>
          <w:rtl/>
          <w:lang w:eastAsia="he-IL"/>
        </w:rPr>
      </w:pPr>
      <w:r>
        <w:rPr>
          <w:b/>
          <w:bCs/>
          <w:rtl/>
          <w:lang w:eastAsia="he-IL"/>
        </w:rPr>
        <w:t>"הענקת משקל למשקל הסם אינה בגדר שיקול זר או לא רלוונטי ... יוזכר כי החזקה שהסם אינו נועד לצריכה עצמית חלה כאשר מדובר בכמות סם של 0.3 גרם. נתון זה מהווה אינדיקציה למשמעות הכמות. בהקשר זה יש לזכור כי עבירות הסם שלא לשימוש עצמי, לרבות ייבוא, מכוערות הן בהיותן דומות לשילוח אש בשדה קוצים. לצערנו הנגע מגיע לכל פינה בחברה. אמת מידה זו של ההרס הטמון בסם מלמדת כי כמות קיצונית כזו של סם פוגעת בצורה קשה יותר באינטרס הציבורי. לכל גרם נוסף יש כתובת..."</w:t>
      </w:r>
    </w:p>
    <w:p w14:paraId="5831D9B4" w14:textId="77777777" w:rsidR="001631BC" w:rsidRDefault="00403C40">
      <w:pPr>
        <w:spacing w:line="360" w:lineRule="auto"/>
        <w:ind w:left="1076" w:right="862"/>
        <w:jc w:val="both"/>
        <w:rPr>
          <w:rtl/>
          <w:lang w:eastAsia="he-IL"/>
        </w:rPr>
      </w:pPr>
      <w:r>
        <w:rPr>
          <w:rtl/>
          <w:lang w:eastAsia="he-IL"/>
        </w:rPr>
        <w:t>(</w:t>
      </w:r>
      <w:hyperlink r:id="rId15" w:history="1">
        <w:r w:rsidRPr="00403C40">
          <w:rPr>
            <w:color w:val="0000FF"/>
            <w:u w:val="single"/>
            <w:rtl/>
            <w:lang w:eastAsia="he-IL"/>
          </w:rPr>
          <w:t>ע"פ 5741/11</w:t>
        </w:r>
      </w:hyperlink>
      <w:r>
        <w:rPr>
          <w:rtl/>
          <w:lang w:eastAsia="he-IL"/>
        </w:rPr>
        <w:t xml:space="preserve"> </w:t>
      </w:r>
      <w:r>
        <w:rPr>
          <w:b/>
          <w:bCs/>
          <w:rtl/>
          <w:lang w:eastAsia="he-IL"/>
        </w:rPr>
        <w:t>סוארכה נ' מדינת ישראל</w:t>
      </w:r>
      <w:r>
        <w:rPr>
          <w:rtl/>
          <w:lang w:eastAsia="he-IL"/>
        </w:rPr>
        <w:t xml:space="preserve"> 20/1/2013)</w:t>
      </w:r>
    </w:p>
    <w:p w14:paraId="0B79C335" w14:textId="77777777" w:rsidR="001631BC" w:rsidRDefault="001631BC">
      <w:pPr>
        <w:spacing w:line="360" w:lineRule="auto"/>
        <w:jc w:val="both"/>
        <w:rPr>
          <w:rtl/>
        </w:rPr>
      </w:pPr>
    </w:p>
    <w:p w14:paraId="5942828C" w14:textId="77777777" w:rsidR="001631BC" w:rsidRDefault="00403C40">
      <w:pPr>
        <w:spacing w:line="360" w:lineRule="auto"/>
        <w:jc w:val="both"/>
        <w:rPr>
          <w:rtl/>
        </w:rPr>
      </w:pPr>
      <w:r>
        <w:rPr>
          <w:rtl/>
        </w:rPr>
        <w:t>עוד יש לבחון את סוג הסם בו בוצעה העבירה. אף כי סחר בכל סם מסוכן פוגע פגיעה ממשית בערכים החברתיים המוגנים, הרי שמידת הפגיעה הולכת וגוברת ככל שמדובר בסמים קשים יותר.</w:t>
      </w:r>
    </w:p>
    <w:p w14:paraId="67971AD6" w14:textId="77777777" w:rsidR="001631BC" w:rsidRDefault="001631BC">
      <w:pPr>
        <w:spacing w:line="360" w:lineRule="auto"/>
        <w:jc w:val="both"/>
        <w:rPr>
          <w:rtl/>
        </w:rPr>
      </w:pPr>
    </w:p>
    <w:p w14:paraId="2AED65C0" w14:textId="77777777" w:rsidR="001631BC" w:rsidRDefault="00403C40">
      <w:pPr>
        <w:spacing w:line="360" w:lineRule="auto"/>
        <w:jc w:val="both"/>
        <w:rPr>
          <w:rtl/>
        </w:rPr>
      </w:pPr>
      <w:r>
        <w:rPr>
          <w:rtl/>
        </w:rPr>
        <w:t xml:space="preserve">בענייננו, כמפורט לעיל, בכל אחד מהמקרים מכר הנאשם לסוכן משטרתי סם מסוג קנבוס במשקל שבין 9.82 גרם לבין 15.98 גרם, ובתמורה לסכום הנע בין 1,000 ₪ לבין 2,000₪. </w:t>
      </w:r>
    </w:p>
    <w:p w14:paraId="706540B4" w14:textId="77777777" w:rsidR="001631BC" w:rsidRDefault="001631BC">
      <w:pPr>
        <w:spacing w:line="360" w:lineRule="auto"/>
        <w:jc w:val="both"/>
        <w:rPr>
          <w:rtl/>
        </w:rPr>
      </w:pPr>
    </w:p>
    <w:p w14:paraId="77701DF1" w14:textId="77777777" w:rsidR="001631BC" w:rsidRDefault="00403C40">
      <w:pPr>
        <w:spacing w:line="360" w:lineRule="auto"/>
        <w:jc w:val="both"/>
        <w:rPr>
          <w:rtl/>
        </w:rPr>
      </w:pPr>
      <w:r>
        <w:rPr>
          <w:rtl/>
        </w:rPr>
        <w:t>אמנם, הנזק שעלול היה להיגרם מביצוע העבירות לא התממש, שכן הנאשם מכר את הסמים לסוכן משטרתי. אולם, מדובר בתוצאה אקראית בלבד. כפי שעולה מטיעוני ההגנה לעונש, אלמלא היה שוטר רוכש את הסם, היה הוא נמכר לאזרח מן השורה.</w:t>
      </w:r>
    </w:p>
    <w:p w14:paraId="23399DC4" w14:textId="77777777" w:rsidR="001631BC" w:rsidRDefault="00403C40">
      <w:pPr>
        <w:spacing w:line="360" w:lineRule="auto"/>
        <w:jc w:val="both"/>
        <w:rPr>
          <w:rtl/>
        </w:rPr>
      </w:pPr>
      <w:r>
        <w:rPr>
          <w:rtl/>
        </w:rPr>
        <w:t xml:space="preserve"> </w:t>
      </w:r>
    </w:p>
    <w:p w14:paraId="74661B60" w14:textId="77777777" w:rsidR="001631BC" w:rsidRDefault="00403C40">
      <w:pPr>
        <w:spacing w:line="360" w:lineRule="auto"/>
        <w:jc w:val="both"/>
        <w:rPr>
          <w:rtl/>
        </w:rPr>
      </w:pPr>
      <w:r>
        <w:rPr>
          <w:rtl/>
        </w:rPr>
        <w:t xml:space="preserve">לאור האמור ובהתחשב במדיניות הענישה הנהוגה, נראה לי כי מתחם העונש הראוי לכל אחד ממעשי הסחר שביצע הנאשם נע בין מאסר, אשר יכול וירוצה בעבודות שירות, לבין 12 חודשי מאסר בפועל (השוו: </w:t>
      </w:r>
      <w:hyperlink r:id="rId16" w:history="1">
        <w:r w:rsidRPr="00403C40">
          <w:rPr>
            <w:color w:val="0000FF"/>
            <w:u w:val="single"/>
            <w:rtl/>
          </w:rPr>
          <w:t>עפ"ג (י-ם) 39261-10-13</w:t>
        </w:r>
      </w:hyperlink>
      <w:r>
        <w:rPr>
          <w:rtl/>
        </w:rPr>
        <w:t xml:space="preserve"> </w:t>
      </w:r>
      <w:r>
        <w:rPr>
          <w:b/>
          <w:bCs/>
          <w:rtl/>
        </w:rPr>
        <w:t>מדינת ישראל נ' הולצמן</w:t>
      </w:r>
      <w:r>
        <w:rPr>
          <w:rtl/>
        </w:rPr>
        <w:t xml:space="preserve"> 30/12/2013, </w:t>
      </w:r>
      <w:hyperlink r:id="rId17" w:history="1">
        <w:r w:rsidRPr="00403C40">
          <w:rPr>
            <w:color w:val="0000FF"/>
            <w:u w:val="single"/>
            <w:rtl/>
          </w:rPr>
          <w:t>עפ"ג (י-ם) 38165-12-13</w:t>
        </w:r>
      </w:hyperlink>
      <w:r>
        <w:rPr>
          <w:rtl/>
        </w:rPr>
        <w:t xml:space="preserve"> </w:t>
      </w:r>
      <w:r>
        <w:rPr>
          <w:b/>
          <w:bCs/>
          <w:rtl/>
        </w:rPr>
        <w:t>מדינת ישאל נ' יעקבסון</w:t>
      </w:r>
      <w:r>
        <w:rPr>
          <w:rtl/>
        </w:rPr>
        <w:t xml:space="preserve"> 27/1/2014, (</w:t>
      </w:r>
      <w:hyperlink r:id="rId18" w:history="1">
        <w:r w:rsidRPr="00403C40">
          <w:rPr>
            <w:color w:val="0000FF"/>
            <w:u w:val="single"/>
            <w:rtl/>
          </w:rPr>
          <w:t>ת"פ (שלום י-ם) 43167-10-12</w:t>
        </w:r>
      </w:hyperlink>
      <w:r>
        <w:rPr>
          <w:rtl/>
        </w:rPr>
        <w:t xml:space="preserve"> </w:t>
      </w:r>
      <w:r>
        <w:rPr>
          <w:b/>
          <w:bCs/>
          <w:rtl/>
        </w:rPr>
        <w:t xml:space="preserve">מדינת ישראל נ' סוויסה </w:t>
      </w:r>
      <w:r>
        <w:rPr>
          <w:rtl/>
        </w:rPr>
        <w:t>30/6/2014).</w:t>
      </w:r>
    </w:p>
    <w:p w14:paraId="0C353467" w14:textId="77777777" w:rsidR="001631BC" w:rsidRDefault="001631BC">
      <w:pPr>
        <w:spacing w:line="360" w:lineRule="auto"/>
        <w:jc w:val="both"/>
        <w:rPr>
          <w:rtl/>
        </w:rPr>
      </w:pPr>
    </w:p>
    <w:p w14:paraId="70281713" w14:textId="77777777" w:rsidR="001631BC" w:rsidRDefault="00403C40">
      <w:pPr>
        <w:spacing w:line="360" w:lineRule="auto"/>
        <w:jc w:val="both"/>
        <w:rPr>
          <w:rtl/>
        </w:rPr>
      </w:pPr>
      <w:r>
        <w:rPr>
          <w:rtl/>
        </w:rPr>
        <w:t>עבירה של גידול של סם מסוכן הינה עבירה חמורה ביותר. לא לשווא נקבע בצידה של עבירה זו עונש חמור מאוד של 20 שנות מאסר.</w:t>
      </w:r>
    </w:p>
    <w:p w14:paraId="4D0A34EE" w14:textId="77777777" w:rsidR="001631BC" w:rsidRDefault="001631BC">
      <w:pPr>
        <w:spacing w:line="360" w:lineRule="auto"/>
        <w:jc w:val="both"/>
        <w:rPr>
          <w:rtl/>
        </w:rPr>
      </w:pPr>
    </w:p>
    <w:p w14:paraId="1B9D6036" w14:textId="77777777" w:rsidR="001631BC" w:rsidRDefault="00403C40">
      <w:pPr>
        <w:spacing w:line="360" w:lineRule="auto"/>
        <w:jc w:val="both"/>
        <w:rPr>
          <w:rtl/>
        </w:rPr>
      </w:pPr>
      <w:r>
        <w:rPr>
          <w:rtl/>
        </w:rPr>
        <w:t>אדם המגדל סם מסוכן משמש חוליה ראשונה בשרשרת של עבירות הסמים. הוא זה שמ</w:t>
      </w:r>
      <w:r>
        <w:rPr>
          <w:rFonts w:hint="cs"/>
          <w:rtl/>
        </w:rPr>
        <w:t>י</w:t>
      </w:r>
      <w:r>
        <w:rPr>
          <w:rtl/>
        </w:rPr>
        <w:t>יצר את הסם המסוכן וממנו מתגלגל הסם הלאה לסוחרים ולצרכנים. הנאשם גידל קנבוס במשקל של 388.34 גרם נטו. מדובר אומנם בכמות שאינה מבוטלת, אך ביחס לעבירות גידול קנבוס אחרות</w:t>
      </w:r>
      <w:r>
        <w:rPr>
          <w:rFonts w:hint="cs"/>
          <w:rtl/>
        </w:rPr>
        <w:t xml:space="preserve"> להן נחשף בית המשפט,</w:t>
      </w:r>
      <w:r>
        <w:rPr>
          <w:rtl/>
        </w:rPr>
        <w:t xml:space="preserve"> הכמות אינה גבוהה במיוחד. </w:t>
      </w:r>
    </w:p>
    <w:p w14:paraId="7F80B19C" w14:textId="77777777" w:rsidR="001631BC" w:rsidRDefault="001631BC">
      <w:pPr>
        <w:spacing w:line="360" w:lineRule="auto"/>
        <w:jc w:val="both"/>
        <w:rPr>
          <w:rtl/>
        </w:rPr>
      </w:pPr>
    </w:p>
    <w:p w14:paraId="072A9E25" w14:textId="77777777" w:rsidR="001631BC" w:rsidRDefault="00403C40">
      <w:pPr>
        <w:spacing w:line="360" w:lineRule="auto"/>
        <w:jc w:val="both"/>
        <w:rPr>
          <w:rtl/>
        </w:rPr>
      </w:pPr>
      <w:r>
        <w:rPr>
          <w:rtl/>
        </w:rPr>
        <w:t xml:space="preserve">קיים קושי לקבל את טענת הסנגור כי העובדה שרק תפרחת השתיל נמכרת משמשת נימוק לקולה. </w:t>
      </w:r>
      <w:hyperlink r:id="rId19" w:history="1">
        <w:r w:rsidRPr="00403C40">
          <w:rPr>
            <w:color w:val="0000FF"/>
            <w:u w:val="single"/>
            <w:rtl/>
          </w:rPr>
          <w:t>פקודת הסמים המסוכנים</w:t>
        </w:r>
      </w:hyperlink>
      <w:r>
        <w:rPr>
          <w:rtl/>
        </w:rPr>
        <w:t xml:space="preserve"> מורה כי הסם "קנבוס" כולל בחובו כל צמח וכל חלק ממנו. אין הצדקה אפוא להעריך ולבחון את שיעורה של התפרחת מתוך כלל </w:t>
      </w:r>
      <w:r>
        <w:rPr>
          <w:rFonts w:hint="cs"/>
          <w:rtl/>
        </w:rPr>
        <w:t>חלקי ה</w:t>
      </w:r>
      <w:r>
        <w:rPr>
          <w:rtl/>
        </w:rPr>
        <w:t>צמחים שגידל הנאשם.</w:t>
      </w:r>
    </w:p>
    <w:p w14:paraId="09019749" w14:textId="77777777" w:rsidR="001631BC" w:rsidRDefault="001631BC">
      <w:pPr>
        <w:spacing w:line="360" w:lineRule="auto"/>
        <w:jc w:val="both"/>
        <w:rPr>
          <w:rtl/>
        </w:rPr>
      </w:pPr>
    </w:p>
    <w:p w14:paraId="1D157495" w14:textId="77777777" w:rsidR="001631BC" w:rsidRDefault="00403C40">
      <w:pPr>
        <w:spacing w:line="360" w:lineRule="auto"/>
        <w:jc w:val="both"/>
        <w:rPr>
          <w:rtl/>
        </w:rPr>
      </w:pPr>
      <w:r>
        <w:rPr>
          <w:rtl/>
        </w:rPr>
        <w:t xml:space="preserve">כך גם בנוגע לטענת ההגנה כי השתילים שנתפסו אצל הנאשם היו רקובים. שעה שהנאשם גידל צמחי סם, וכל עוד השתילים ממלאים אחר הגדרת הסם על פי </w:t>
      </w:r>
      <w:hyperlink r:id="rId20" w:history="1">
        <w:r w:rsidRPr="00403C40">
          <w:rPr>
            <w:color w:val="0000FF"/>
            <w:u w:val="single"/>
            <w:rtl/>
          </w:rPr>
          <w:t>פקודת הסמים המסוכנים</w:t>
        </w:r>
      </w:hyperlink>
      <w:r>
        <w:rPr>
          <w:rtl/>
        </w:rPr>
        <w:t>, אין הצדקה לבחון את מצבו הפיזי של השתיל, ול</w:t>
      </w:r>
      <w:r>
        <w:rPr>
          <w:rFonts w:hint="cs"/>
          <w:rtl/>
        </w:rPr>
        <w:t xml:space="preserve">א את </w:t>
      </w:r>
      <w:r>
        <w:rPr>
          <w:rtl/>
        </w:rPr>
        <w:t>כמות תמצית הסם שניתן היה להפיק ממנו.</w:t>
      </w:r>
    </w:p>
    <w:p w14:paraId="5B264049" w14:textId="77777777" w:rsidR="001631BC" w:rsidRDefault="001631BC">
      <w:pPr>
        <w:spacing w:line="360" w:lineRule="auto"/>
        <w:jc w:val="both"/>
        <w:rPr>
          <w:rtl/>
        </w:rPr>
      </w:pPr>
    </w:p>
    <w:p w14:paraId="657D0749" w14:textId="77777777" w:rsidR="001631BC" w:rsidRDefault="00403C40">
      <w:pPr>
        <w:spacing w:line="360" w:lineRule="auto"/>
        <w:jc w:val="both"/>
        <w:rPr>
          <w:rtl/>
        </w:rPr>
      </w:pPr>
      <w:r>
        <w:rPr>
          <w:rtl/>
        </w:rPr>
        <w:t xml:space="preserve">הנאשם פגע אפוא בערכים החברתיים המוגנים פגיעה של ממש. </w:t>
      </w:r>
    </w:p>
    <w:p w14:paraId="088D6266" w14:textId="77777777" w:rsidR="001631BC" w:rsidRDefault="001631BC">
      <w:pPr>
        <w:spacing w:line="360" w:lineRule="auto"/>
        <w:jc w:val="both"/>
        <w:rPr>
          <w:rtl/>
        </w:rPr>
      </w:pPr>
    </w:p>
    <w:p w14:paraId="3304A598" w14:textId="77777777" w:rsidR="001631BC" w:rsidRDefault="00403C40">
      <w:pPr>
        <w:spacing w:line="360" w:lineRule="auto"/>
        <w:jc w:val="both"/>
        <w:rPr>
          <w:rtl/>
        </w:rPr>
      </w:pPr>
      <w:r>
        <w:rPr>
          <w:rtl/>
        </w:rPr>
        <w:t xml:space="preserve">הנזק אשר עלול היה להיגרם כתוצאה ממעשיו של הנאשם הינו משמעותי. מדובר בכמות לא מזערית של סם מסוכן אשר עלולה היתה להתגלגל לשוק צרכני הסמים. </w:t>
      </w:r>
    </w:p>
    <w:p w14:paraId="54517715" w14:textId="77777777" w:rsidR="001631BC" w:rsidRDefault="001631BC">
      <w:pPr>
        <w:spacing w:line="360" w:lineRule="auto"/>
        <w:jc w:val="both"/>
        <w:rPr>
          <w:rtl/>
        </w:rPr>
      </w:pPr>
    </w:p>
    <w:p w14:paraId="545249AD" w14:textId="77777777" w:rsidR="001631BC" w:rsidRDefault="00403C40">
      <w:pPr>
        <w:spacing w:line="360" w:lineRule="auto"/>
        <w:jc w:val="both"/>
        <w:rPr>
          <w:rtl/>
        </w:rPr>
      </w:pPr>
      <w:r>
        <w:rPr>
          <w:rtl/>
        </w:rPr>
        <w:t>הלכה למעשה הסם לא הופץ, אך זאת לא בשל כך שהנאשם חזר בו ממעשיו, אלא בשל תוצאה אקראית בלבד, העובדה שרשויות האכיפה הצליחו לשים את ידן על הנאשם.</w:t>
      </w:r>
    </w:p>
    <w:p w14:paraId="73E16502" w14:textId="77777777" w:rsidR="001631BC" w:rsidRDefault="001631BC">
      <w:pPr>
        <w:spacing w:line="360" w:lineRule="auto"/>
        <w:jc w:val="both"/>
        <w:rPr>
          <w:rtl/>
        </w:rPr>
      </w:pPr>
    </w:p>
    <w:p w14:paraId="28ED04E6" w14:textId="77777777" w:rsidR="001631BC" w:rsidRDefault="00403C40">
      <w:pPr>
        <w:spacing w:line="360" w:lineRule="auto"/>
        <w:jc w:val="both"/>
        <w:rPr>
          <w:rtl/>
        </w:rPr>
      </w:pPr>
      <w:r>
        <w:rPr>
          <w:rtl/>
        </w:rPr>
        <w:t>העובדה שהנאשם גידל את שתילי הסם ב- 34 אדניות מלמדת בבירור כי הוא תכנן מראש את מעשיו. עם זאת, יש לציין כי כתב האישום אינו מייחס לנאשם רכישה או החזקה של ציוד רב נוסף המשמש ברגיל לגידול הסם, כפי שנעשה במקרים אחרים.</w:t>
      </w:r>
    </w:p>
    <w:p w14:paraId="27E1B91B" w14:textId="77777777" w:rsidR="001631BC" w:rsidRDefault="001631BC">
      <w:pPr>
        <w:spacing w:line="360" w:lineRule="auto"/>
        <w:jc w:val="both"/>
        <w:rPr>
          <w:rtl/>
        </w:rPr>
      </w:pPr>
    </w:p>
    <w:p w14:paraId="19871A93" w14:textId="77777777" w:rsidR="001631BC" w:rsidRDefault="00403C40">
      <w:pPr>
        <w:spacing w:line="360" w:lineRule="auto"/>
        <w:jc w:val="both"/>
        <w:rPr>
          <w:rtl/>
        </w:rPr>
      </w:pPr>
      <w:r>
        <w:rPr>
          <w:rtl/>
        </w:rPr>
        <w:t xml:space="preserve">לאור האמור ובהתחשב במדיניות הענישה הנהוגה,(ראו: </w:t>
      </w:r>
      <w:hyperlink r:id="rId21" w:history="1">
        <w:r w:rsidRPr="00403C40">
          <w:rPr>
            <w:color w:val="0000FF"/>
            <w:u w:val="single"/>
            <w:rtl/>
          </w:rPr>
          <w:t>ע"פ (נצ') 1370/05</w:t>
        </w:r>
      </w:hyperlink>
      <w:r>
        <w:rPr>
          <w:rtl/>
        </w:rPr>
        <w:t xml:space="preserve"> </w:t>
      </w:r>
      <w:r>
        <w:rPr>
          <w:b/>
          <w:bCs/>
          <w:rtl/>
        </w:rPr>
        <w:t>שינגאמונג נ' מדינת ישראל</w:t>
      </w:r>
      <w:r>
        <w:rPr>
          <w:rtl/>
        </w:rPr>
        <w:t xml:space="preserve">  28/2/2006, </w:t>
      </w:r>
      <w:hyperlink r:id="rId22" w:history="1">
        <w:r w:rsidRPr="00403C40">
          <w:rPr>
            <w:color w:val="0000FF"/>
            <w:u w:val="single"/>
            <w:rtl/>
          </w:rPr>
          <w:t>ת.פ. (מרכז) 2456-07-10</w:t>
        </w:r>
      </w:hyperlink>
      <w:r>
        <w:rPr>
          <w:rtl/>
        </w:rPr>
        <w:t xml:space="preserve"> </w:t>
      </w:r>
      <w:r>
        <w:rPr>
          <w:b/>
          <w:bCs/>
          <w:rtl/>
        </w:rPr>
        <w:t xml:space="preserve">מדינת ישראל נ' תבל </w:t>
      </w:r>
      <w:r>
        <w:rPr>
          <w:rtl/>
        </w:rPr>
        <w:t xml:space="preserve">8/5/2011, </w:t>
      </w:r>
      <w:hyperlink r:id="rId23" w:history="1">
        <w:r w:rsidRPr="00403C40">
          <w:rPr>
            <w:color w:val="0000FF"/>
            <w:u w:val="single"/>
            <w:rtl/>
          </w:rPr>
          <w:t>עפ"ג (מרכז) 52810-07-10</w:t>
        </w:r>
      </w:hyperlink>
      <w:r>
        <w:rPr>
          <w:rtl/>
        </w:rPr>
        <w:t xml:space="preserve"> </w:t>
      </w:r>
      <w:r>
        <w:rPr>
          <w:b/>
          <w:bCs/>
          <w:rtl/>
        </w:rPr>
        <w:t>עזריה נ' מדינת ישראל</w:t>
      </w:r>
      <w:r>
        <w:rPr>
          <w:rtl/>
        </w:rPr>
        <w:t xml:space="preserve"> 21/12/2010, </w:t>
      </w:r>
      <w:hyperlink r:id="rId24" w:history="1">
        <w:r w:rsidRPr="00403C40">
          <w:rPr>
            <w:color w:val="0000FF"/>
            <w:u w:val="single"/>
            <w:rtl/>
          </w:rPr>
          <w:t>עפ"ג (ת"א) 17155-07-10</w:t>
        </w:r>
      </w:hyperlink>
      <w:r>
        <w:rPr>
          <w:b/>
          <w:bCs/>
          <w:rtl/>
        </w:rPr>
        <w:t xml:space="preserve"> מדינת ישראל נ' עמר </w:t>
      </w:r>
      <w:r>
        <w:rPr>
          <w:rtl/>
        </w:rPr>
        <w:t>1/11/2010) נראה לי כי מתחם העונש ההולם למעשה גידול הסם שביצע הנאשם נע בין מספר חודשי מאסר, אשר יכול וירוצ</w:t>
      </w:r>
      <w:r>
        <w:rPr>
          <w:rFonts w:hint="cs"/>
          <w:rtl/>
        </w:rPr>
        <w:t>ו</w:t>
      </w:r>
      <w:r>
        <w:rPr>
          <w:rtl/>
        </w:rPr>
        <w:t xml:space="preserve"> בעבודות שירות, לבין 18 חודשי מאסר בפועל.</w:t>
      </w:r>
    </w:p>
    <w:p w14:paraId="6F13441A" w14:textId="77777777" w:rsidR="001631BC" w:rsidRDefault="001631BC">
      <w:pPr>
        <w:spacing w:line="360" w:lineRule="auto"/>
        <w:jc w:val="both"/>
        <w:rPr>
          <w:rtl/>
        </w:rPr>
      </w:pPr>
    </w:p>
    <w:p w14:paraId="51289D52" w14:textId="77777777" w:rsidR="001631BC" w:rsidRDefault="00403C40">
      <w:pPr>
        <w:spacing w:line="360" w:lineRule="auto"/>
        <w:jc w:val="both"/>
        <w:rPr>
          <w:rtl/>
        </w:rPr>
      </w:pPr>
      <w:r>
        <w:rPr>
          <w:rtl/>
        </w:rPr>
        <w:t>לשם גזירת העונש המתאים לנאשם בתוך מתחמי הענישה הנ"ל יש להביא בחשבון, לטובתו של הנאשם, את הפגיעה הקשה שנגרמה ועוד תיגרם לו ולמשפחתו כתוצאה מהרשעתו וכתוצאה מהעונש שיוטל עליו. לעניין זה יש להביא בחשבון את הערכת שירות המבחן בדבר ההשפעה השלילית העלולה להיות לעונש של מאסר בפועל על מצבו הנפשי הרעוע, ואת הרקע החברתי והמגזרי אליו משתייכת משפחת הנאשם. עוד יש להביא בחשבון את האחריות המלאה שהנאשם נטל על מעשיו, את הודאתו המי</w:t>
      </w:r>
      <w:r>
        <w:rPr>
          <w:rFonts w:hint="cs"/>
          <w:rtl/>
        </w:rPr>
        <w:t>י</w:t>
      </w:r>
      <w:r>
        <w:rPr>
          <w:rtl/>
        </w:rPr>
        <w:t>דית אשר חסכה מזמנם של הצדדים, העדים ומשאבי המערכת, את נסיבותיו האישיות והמשפחתיות בכלל, ואלה שעמדו ברקע לביצוע העבירות בפרט, ואת פרק הזמן שחלף מאז ביצוע העבירות. בנוסף עומדים לזכותו של הנאשם עברו הפלילי הנקי, מצבו הנפשי, והערכת שירות המבחן כי הסיכון לכך שהוא ישוב לבצע עבירות הוא נמוך בלבד. כמו כן יש להתחשב בתרומתו של הנאשם לחברה, כפי שעלה מעדותו של הרב אשר וייס, וכן בתקופה בה שהה במעצר מאחורי סורג ובריח, ולאחר מכן במעצר בית מלא.</w:t>
      </w:r>
    </w:p>
    <w:p w14:paraId="1E2820A4" w14:textId="77777777" w:rsidR="001631BC" w:rsidRDefault="001631BC">
      <w:pPr>
        <w:spacing w:line="360" w:lineRule="auto"/>
        <w:jc w:val="both"/>
        <w:rPr>
          <w:rtl/>
        </w:rPr>
      </w:pPr>
    </w:p>
    <w:p w14:paraId="047902DB" w14:textId="77777777" w:rsidR="001631BC" w:rsidRDefault="00403C40">
      <w:pPr>
        <w:spacing w:line="360" w:lineRule="auto"/>
        <w:jc w:val="both"/>
        <w:rPr>
          <w:rtl/>
        </w:rPr>
      </w:pPr>
      <w:r>
        <w:rPr>
          <w:rtl/>
        </w:rPr>
        <w:t>לאור כל האמור, לנוכח שיקומו של הנאשם ובהתחשב בכך שכל מעשי הסחר בסם מסוכן נעשו מול אותו סוכן משטרתי, נראה לי כי יש להטיל על הנאשם עונש כולל לכלל האירועים, אשר יביא לידי ביטוי חריגה לקולה מהעונש ההולם לכלל מעשי העבירה שביצע. אולם, המלצת שירות המבחן להטיל על הנאשם עונש מאסר שירוצה בעבודות שירות חורגת יתר על המידה ממתחם העונש האמור, לנוכח חומרת מעשיו של הנאשם, כמפורט לעיל.</w:t>
      </w:r>
    </w:p>
    <w:p w14:paraId="316F45C7" w14:textId="77777777" w:rsidR="001631BC" w:rsidRDefault="001631BC">
      <w:pPr>
        <w:spacing w:line="360" w:lineRule="auto"/>
        <w:jc w:val="both"/>
        <w:rPr>
          <w:rtl/>
        </w:rPr>
      </w:pPr>
    </w:p>
    <w:p w14:paraId="14D4C24E" w14:textId="77777777" w:rsidR="001631BC" w:rsidRDefault="00403C40">
      <w:pPr>
        <w:ind w:left="720" w:hanging="720"/>
        <w:jc w:val="both"/>
        <w:rPr>
          <w:b/>
          <w:bCs/>
          <w:rtl/>
        </w:rPr>
      </w:pPr>
      <w:r>
        <w:rPr>
          <w:b/>
          <w:bCs/>
          <w:rtl/>
        </w:rPr>
        <w:t xml:space="preserve">אני דן </w:t>
      </w:r>
      <w:r>
        <w:rPr>
          <w:rFonts w:hint="cs"/>
          <w:b/>
          <w:bCs/>
          <w:rtl/>
        </w:rPr>
        <w:t>אפוא</w:t>
      </w:r>
      <w:r>
        <w:rPr>
          <w:b/>
          <w:bCs/>
          <w:rtl/>
        </w:rPr>
        <w:t xml:space="preserve"> את הנאשם לעונשים הבאים:</w:t>
      </w:r>
    </w:p>
    <w:p w14:paraId="412EEA1A" w14:textId="77777777" w:rsidR="001631BC" w:rsidRDefault="001631BC">
      <w:pPr>
        <w:spacing w:line="360" w:lineRule="auto"/>
        <w:ind w:left="720" w:hanging="720"/>
        <w:jc w:val="both"/>
        <w:rPr>
          <w:b/>
          <w:bCs/>
          <w:rtl/>
        </w:rPr>
      </w:pPr>
    </w:p>
    <w:p w14:paraId="3FD7B106" w14:textId="77777777" w:rsidR="001631BC" w:rsidRDefault="00403C40">
      <w:pPr>
        <w:spacing w:line="360" w:lineRule="auto"/>
        <w:ind w:left="720" w:hanging="720"/>
        <w:jc w:val="both"/>
        <w:rPr>
          <w:rtl/>
        </w:rPr>
      </w:pPr>
      <w:r>
        <w:rPr>
          <w:b/>
          <w:bCs/>
          <w:rtl/>
        </w:rPr>
        <w:t>1.</w:t>
      </w:r>
      <w:r>
        <w:rPr>
          <w:b/>
          <w:bCs/>
          <w:rtl/>
        </w:rPr>
        <w:tab/>
      </w:r>
      <w:r>
        <w:rPr>
          <w:rFonts w:hint="cs"/>
          <w:rtl/>
        </w:rPr>
        <w:t>מאסר בפועל</w:t>
      </w:r>
      <w:r>
        <w:rPr>
          <w:rtl/>
        </w:rPr>
        <w:t xml:space="preserve"> למשך</w:t>
      </w:r>
      <w:r>
        <w:rPr>
          <w:rFonts w:hint="cs"/>
          <w:rtl/>
        </w:rPr>
        <w:t xml:space="preserve"> 5</w:t>
      </w:r>
      <w:r>
        <w:rPr>
          <w:rtl/>
        </w:rPr>
        <w:t xml:space="preserve"> חודשים</w:t>
      </w:r>
      <w:r>
        <w:rPr>
          <w:rFonts w:hint="cs"/>
          <w:rtl/>
        </w:rPr>
        <w:t xml:space="preserve">, </w:t>
      </w:r>
      <w:r>
        <w:rPr>
          <w:rFonts w:ascii="Calibri" w:hAnsi="Calibri" w:hint="eastAsia"/>
          <w:rtl/>
        </w:rPr>
        <w:t>בקיזוז</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מיום</w:t>
      </w:r>
      <w:r>
        <w:rPr>
          <w:rFonts w:ascii="Calibri" w:hAnsi="Calibri"/>
          <w:rtl/>
        </w:rPr>
        <w:t xml:space="preserve"> 27/5/2013 </w:t>
      </w:r>
      <w:r>
        <w:rPr>
          <w:rFonts w:ascii="Calibri" w:hAnsi="Calibri" w:hint="eastAsia"/>
          <w:rtl/>
        </w:rPr>
        <w:t>ועד</w:t>
      </w:r>
      <w:r>
        <w:rPr>
          <w:rFonts w:ascii="Calibri" w:hAnsi="Calibri"/>
          <w:rtl/>
        </w:rPr>
        <w:t xml:space="preserve"> </w:t>
      </w:r>
      <w:r>
        <w:rPr>
          <w:rFonts w:ascii="Calibri" w:hAnsi="Calibri" w:hint="eastAsia"/>
          <w:rtl/>
        </w:rPr>
        <w:t>ליום</w:t>
      </w:r>
      <w:r>
        <w:rPr>
          <w:rFonts w:ascii="Calibri" w:hAnsi="Calibri"/>
          <w:rtl/>
        </w:rPr>
        <w:t xml:space="preserve"> 24/6/2013</w:t>
      </w:r>
      <w:r>
        <w:rPr>
          <w:rFonts w:ascii="Calibri" w:hAnsi="Calibri" w:hint="cs"/>
          <w:rtl/>
        </w:rPr>
        <w:t xml:space="preserve">. </w:t>
      </w:r>
      <w:r>
        <w:rPr>
          <w:rFonts w:hint="cs"/>
          <w:rtl/>
        </w:rPr>
        <w:t xml:space="preserve">הנאשם יתייצב לריצוי מאסרו בבית המעצר במגרש הרוסים בירושלים ביום 16/11/2015 עד לשעה </w:t>
      </w:r>
      <w:r>
        <w:rPr>
          <w:rtl/>
        </w:rPr>
        <w:t xml:space="preserve"> </w:t>
      </w:r>
      <w:r>
        <w:rPr>
          <w:rFonts w:hint="cs"/>
          <w:rtl/>
        </w:rPr>
        <w:t>9:00.</w:t>
      </w:r>
    </w:p>
    <w:p w14:paraId="50AF1B41" w14:textId="77777777" w:rsidR="001631BC" w:rsidRDefault="001631BC">
      <w:pPr>
        <w:spacing w:line="360" w:lineRule="auto"/>
        <w:ind w:left="720" w:hanging="720"/>
        <w:jc w:val="both"/>
        <w:rPr>
          <w:rtl/>
        </w:rPr>
      </w:pPr>
    </w:p>
    <w:p w14:paraId="68B571EA" w14:textId="77777777" w:rsidR="001631BC" w:rsidRDefault="00403C40">
      <w:pPr>
        <w:spacing w:line="360" w:lineRule="auto"/>
        <w:ind w:left="567" w:hanging="567"/>
        <w:jc w:val="both"/>
        <w:rPr>
          <w:rFonts w:ascii="Calibri" w:hAnsi="Calibri"/>
          <w:rtl/>
        </w:rPr>
      </w:pPr>
      <w:r>
        <w:rPr>
          <w:rFonts w:hint="cs"/>
          <w:b/>
          <w:bCs/>
          <w:rtl/>
        </w:rPr>
        <w:t>2.</w:t>
      </w:r>
      <w:r>
        <w:rPr>
          <w:rFonts w:hint="cs"/>
          <w:b/>
          <w:bCs/>
          <w:rtl/>
        </w:rPr>
        <w:tab/>
      </w:r>
      <w:r>
        <w:rPr>
          <w:rtl/>
        </w:rPr>
        <w:t>מאסר למשך</w:t>
      </w:r>
      <w:r>
        <w:rPr>
          <w:rFonts w:hint="cs"/>
          <w:rtl/>
        </w:rPr>
        <w:t xml:space="preserve"> 7 חודשים</w:t>
      </w:r>
      <w:r>
        <w:rPr>
          <w:rtl/>
        </w:rPr>
        <w:t xml:space="preserve"> וזאת על תנאי למשך </w:t>
      </w:r>
      <w:r>
        <w:rPr>
          <w:rFonts w:hint="cs"/>
          <w:rtl/>
        </w:rPr>
        <w:t>שלוש שנים מיום שחרורו ממאסר</w:t>
      </w:r>
      <w:r>
        <w:rPr>
          <w:rtl/>
        </w:rPr>
        <w:t xml:space="preserve">, אם יעבור </w:t>
      </w:r>
      <w:r>
        <w:rPr>
          <w:rFonts w:ascii="Calibri" w:hAnsi="Calibri" w:hint="eastAsia"/>
          <w:rtl/>
        </w:rPr>
        <w:t>עבירת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w:t>
      </w:r>
    </w:p>
    <w:p w14:paraId="13E00E07" w14:textId="77777777" w:rsidR="001631BC" w:rsidRDefault="001631BC">
      <w:pPr>
        <w:spacing w:line="360" w:lineRule="auto"/>
        <w:ind w:left="720" w:hanging="720"/>
        <w:jc w:val="both"/>
        <w:rPr>
          <w:b/>
          <w:bCs/>
          <w:rtl/>
        </w:rPr>
      </w:pPr>
    </w:p>
    <w:p w14:paraId="1586EB3A" w14:textId="77777777" w:rsidR="001631BC" w:rsidRDefault="00403C40">
      <w:pPr>
        <w:spacing w:line="360" w:lineRule="auto"/>
        <w:ind w:left="567" w:hanging="567"/>
        <w:jc w:val="both"/>
        <w:rPr>
          <w:rFonts w:ascii="Calibri" w:hAnsi="Calibri"/>
          <w:rtl/>
        </w:rPr>
      </w:pPr>
      <w:r>
        <w:rPr>
          <w:rFonts w:hint="cs"/>
          <w:b/>
          <w:bCs/>
          <w:rtl/>
        </w:rPr>
        <w:t>3.</w:t>
      </w:r>
      <w:r>
        <w:rPr>
          <w:rFonts w:hint="cs"/>
          <w:b/>
          <w:bCs/>
          <w:rtl/>
        </w:rPr>
        <w:tab/>
      </w:r>
      <w:r>
        <w:rPr>
          <w:rtl/>
        </w:rPr>
        <w:t>מאסר למשך</w:t>
      </w:r>
      <w:r>
        <w:rPr>
          <w:rFonts w:hint="cs"/>
          <w:rtl/>
        </w:rPr>
        <w:t xml:space="preserve"> 3 חודשים</w:t>
      </w:r>
      <w:r>
        <w:rPr>
          <w:rtl/>
        </w:rPr>
        <w:t xml:space="preserve"> וזאת על תנאי למשך </w:t>
      </w:r>
      <w:r>
        <w:rPr>
          <w:rFonts w:hint="cs"/>
          <w:rtl/>
        </w:rPr>
        <w:t>שלוש שנים מיום שחרורו ממאסר</w:t>
      </w:r>
      <w:r>
        <w:rPr>
          <w:rtl/>
        </w:rPr>
        <w:t xml:space="preserve">, אם יעבור </w:t>
      </w:r>
      <w:r>
        <w:rPr>
          <w:rFonts w:ascii="Calibri" w:hAnsi="Calibri" w:hint="eastAsia"/>
          <w:rtl/>
        </w:rPr>
        <w:t>עבירת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cs"/>
          <w:rtl/>
        </w:rPr>
        <w:t>עוון</w:t>
      </w:r>
      <w:r>
        <w:rPr>
          <w:rFonts w:ascii="Calibri" w:hAnsi="Calibri"/>
          <w:rtl/>
        </w:rPr>
        <w:t>.</w:t>
      </w:r>
    </w:p>
    <w:p w14:paraId="73FACAE3" w14:textId="77777777" w:rsidR="001631BC" w:rsidRDefault="001631BC">
      <w:pPr>
        <w:spacing w:line="360" w:lineRule="auto"/>
        <w:jc w:val="both"/>
        <w:rPr>
          <w:rtl/>
        </w:rPr>
      </w:pPr>
    </w:p>
    <w:p w14:paraId="774656DB" w14:textId="77777777" w:rsidR="001631BC" w:rsidRDefault="00403C40">
      <w:pPr>
        <w:spacing w:line="360" w:lineRule="auto"/>
        <w:jc w:val="both"/>
        <w:rPr>
          <w:rtl/>
        </w:rPr>
      </w:pPr>
      <w:r>
        <w:rPr>
          <w:rtl/>
        </w:rPr>
        <w:t>הסם יושמד.</w:t>
      </w:r>
    </w:p>
    <w:p w14:paraId="607EFB14" w14:textId="77777777" w:rsidR="001631BC" w:rsidRDefault="001631BC">
      <w:pPr>
        <w:spacing w:line="360" w:lineRule="auto"/>
        <w:ind w:left="720" w:hanging="720"/>
        <w:jc w:val="both"/>
        <w:rPr>
          <w:b/>
          <w:bCs/>
          <w:rtl/>
        </w:rPr>
      </w:pPr>
    </w:p>
    <w:p w14:paraId="02732149" w14:textId="77777777" w:rsidR="001631BC" w:rsidRDefault="00403C40">
      <w:pPr>
        <w:spacing w:line="360" w:lineRule="auto"/>
        <w:ind w:left="720" w:hanging="720"/>
        <w:jc w:val="both"/>
        <w:rPr>
          <w:b/>
          <w:bCs/>
          <w:rtl/>
        </w:rPr>
      </w:pPr>
      <w:r>
        <w:rPr>
          <w:rtl/>
        </w:rPr>
        <w:t>זכות ערעור לבי</w:t>
      </w:r>
      <w:r>
        <w:rPr>
          <w:rFonts w:hint="cs"/>
          <w:rtl/>
        </w:rPr>
        <w:t xml:space="preserve">ת המשפט </w:t>
      </w:r>
      <w:r>
        <w:rPr>
          <w:rtl/>
        </w:rPr>
        <w:t>המחוזי בירושלים תוך 45 יום מהיום.</w:t>
      </w:r>
    </w:p>
    <w:p w14:paraId="15D09A08" w14:textId="77777777" w:rsidR="001631BC" w:rsidRPr="00403C40" w:rsidRDefault="00403C40">
      <w:pPr>
        <w:rPr>
          <w:color w:val="FFFFFF"/>
          <w:sz w:val="2"/>
          <w:szCs w:val="2"/>
          <w:rtl/>
        </w:rPr>
      </w:pPr>
      <w:r w:rsidRPr="00403C40">
        <w:rPr>
          <w:color w:val="FFFFFF"/>
          <w:sz w:val="2"/>
          <w:szCs w:val="2"/>
          <w:rtl/>
        </w:rPr>
        <w:t>5129371</w:t>
      </w:r>
    </w:p>
    <w:p w14:paraId="7EB1D456" w14:textId="77777777" w:rsidR="001631BC" w:rsidRPr="00403C40" w:rsidRDefault="00403C40">
      <w:pPr>
        <w:rPr>
          <w:color w:val="FFFFFF"/>
          <w:sz w:val="2"/>
          <w:szCs w:val="2"/>
          <w:rtl/>
        </w:rPr>
      </w:pPr>
      <w:r w:rsidRPr="00403C40">
        <w:rPr>
          <w:color w:val="FFFFFF"/>
          <w:sz w:val="2"/>
          <w:szCs w:val="2"/>
          <w:rtl/>
        </w:rPr>
        <w:t>54678313</w:t>
      </w:r>
    </w:p>
    <w:p w14:paraId="072BD744" w14:textId="77777777" w:rsidR="001631BC" w:rsidRDefault="001631BC">
      <w:pPr>
        <w:rPr>
          <w:rtl/>
        </w:rPr>
      </w:pPr>
    </w:p>
    <w:p w14:paraId="37EDEE19" w14:textId="77777777" w:rsidR="001631BC" w:rsidRDefault="00403C40">
      <w:pPr>
        <w:rPr>
          <w:rFonts w:cs="FrankRuehl"/>
          <w:sz w:val="28"/>
          <w:szCs w:val="28"/>
          <w:rtl/>
        </w:rPr>
      </w:pPr>
      <w:r>
        <w:rPr>
          <w:rFonts w:ascii="Arial" w:hAnsi="Arial"/>
          <w:rtl/>
        </w:rPr>
        <w:t xml:space="preserve">ניתן היום,  כ' חשוון תשע"ו, 02 נובמבר 2015. </w:t>
      </w:r>
    </w:p>
    <w:p w14:paraId="3DD3F6DF" w14:textId="77777777" w:rsidR="001631BC" w:rsidRDefault="00403C4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7B28EEC" w14:textId="77777777" w:rsidR="001631BC" w:rsidRDefault="001631BC">
      <w:pPr>
        <w:jc w:val="center"/>
        <w:rPr>
          <w:rFonts w:ascii="Arial" w:hAnsi="Arial" w:cs="FrankRuehl"/>
          <w:sz w:val="28"/>
          <w:szCs w:val="28"/>
          <w:rtl/>
        </w:rPr>
      </w:pPr>
    </w:p>
    <w:p w14:paraId="6821B944" w14:textId="77777777" w:rsidR="00403C40" w:rsidRPr="00403C40" w:rsidRDefault="00403C40" w:rsidP="00403C40">
      <w:pPr>
        <w:keepNext/>
        <w:rPr>
          <w:rFonts w:ascii="David" w:hAnsi="David"/>
          <w:color w:val="000000"/>
          <w:sz w:val="22"/>
          <w:szCs w:val="22"/>
          <w:rtl/>
        </w:rPr>
      </w:pPr>
    </w:p>
    <w:p w14:paraId="70CD551E" w14:textId="77777777" w:rsidR="00403C40" w:rsidRPr="00403C40" w:rsidRDefault="00403C40" w:rsidP="00403C40">
      <w:pPr>
        <w:keepNext/>
        <w:rPr>
          <w:rFonts w:ascii="David" w:hAnsi="David"/>
          <w:color w:val="000000"/>
          <w:sz w:val="22"/>
          <w:szCs w:val="22"/>
          <w:rtl/>
        </w:rPr>
      </w:pPr>
      <w:r w:rsidRPr="00403C40">
        <w:rPr>
          <w:rFonts w:ascii="David" w:hAnsi="David"/>
          <w:color w:val="000000"/>
          <w:sz w:val="22"/>
          <w:szCs w:val="22"/>
          <w:rtl/>
        </w:rPr>
        <w:t>מרדכי כדורי 54678313</w:t>
      </w:r>
    </w:p>
    <w:p w14:paraId="104763ED" w14:textId="77777777" w:rsidR="00403C40" w:rsidRDefault="00403C40" w:rsidP="00403C40">
      <w:r w:rsidRPr="00403C40">
        <w:rPr>
          <w:color w:val="000000"/>
          <w:rtl/>
        </w:rPr>
        <w:t>נוסח מסמך זה כפוף לשינויי ניסוח ועריכה</w:t>
      </w:r>
    </w:p>
    <w:p w14:paraId="1DD130AC" w14:textId="77777777" w:rsidR="00403C40" w:rsidRDefault="00403C40" w:rsidP="00403C40">
      <w:pPr>
        <w:rPr>
          <w:rtl/>
        </w:rPr>
      </w:pPr>
    </w:p>
    <w:p w14:paraId="7D450B73" w14:textId="77777777" w:rsidR="00403C40" w:rsidRDefault="00403C40" w:rsidP="00403C40">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5CD53A3B" w14:textId="77777777" w:rsidR="001631BC" w:rsidRDefault="001631BC" w:rsidP="00403C40">
      <w:pPr>
        <w:jc w:val="center"/>
        <w:rPr>
          <w:rFonts w:hint="cs"/>
          <w:color w:val="0000FF"/>
          <w:u w:val="single"/>
          <w:rtl/>
        </w:rPr>
      </w:pPr>
    </w:p>
    <w:p w14:paraId="7B27C238" w14:textId="77777777" w:rsidR="00BD747B" w:rsidRPr="00403C40" w:rsidRDefault="00BD747B" w:rsidP="00403C40">
      <w:pPr>
        <w:jc w:val="center"/>
        <w:rPr>
          <w:color w:val="0000FF"/>
          <w:u w:val="single"/>
        </w:rPr>
      </w:pPr>
    </w:p>
    <w:sectPr w:rsidR="00BD747B" w:rsidRPr="00403C40" w:rsidSect="00403C40">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977EC" w14:textId="77777777" w:rsidR="00F50935" w:rsidRDefault="00F50935">
      <w:r>
        <w:separator/>
      </w:r>
    </w:p>
  </w:endnote>
  <w:endnote w:type="continuationSeparator" w:id="0">
    <w:p w14:paraId="77111247" w14:textId="77777777" w:rsidR="00F50935" w:rsidRDefault="00F50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5912E" w14:textId="77777777" w:rsidR="005A103D" w:rsidRDefault="005A103D" w:rsidP="00403C4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10F71EC" w14:textId="77777777" w:rsidR="005A103D" w:rsidRPr="00403C40" w:rsidRDefault="005A103D" w:rsidP="00403C40">
    <w:pPr>
      <w:pStyle w:val="a4"/>
      <w:pBdr>
        <w:top w:val="single" w:sz="4" w:space="1" w:color="auto"/>
        <w:between w:val="single" w:sz="4" w:space="0" w:color="auto"/>
      </w:pBdr>
      <w:spacing w:after="60"/>
      <w:jc w:val="center"/>
      <w:rPr>
        <w:rFonts w:ascii="FrankRuehl" w:hAnsi="FrankRuehl" w:cs="FrankRuehl"/>
        <w:color w:val="000000"/>
      </w:rPr>
    </w:pPr>
    <w:r w:rsidRPr="00403C4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B4049" w14:textId="77777777" w:rsidR="005A103D" w:rsidRDefault="005A103D" w:rsidP="00403C4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5591">
      <w:rPr>
        <w:rFonts w:ascii="FrankRuehl" w:hAnsi="FrankRuehl" w:cs="FrankRuehl"/>
        <w:noProof/>
        <w:rtl/>
      </w:rPr>
      <w:t>1</w:t>
    </w:r>
    <w:r>
      <w:rPr>
        <w:rFonts w:ascii="FrankRuehl" w:hAnsi="FrankRuehl" w:cs="FrankRuehl"/>
        <w:rtl/>
      </w:rPr>
      <w:fldChar w:fldCharType="end"/>
    </w:r>
  </w:p>
  <w:p w14:paraId="310E1E97" w14:textId="77777777" w:rsidR="005A103D" w:rsidRPr="00403C40" w:rsidRDefault="005A103D" w:rsidP="00403C40">
    <w:pPr>
      <w:pStyle w:val="a4"/>
      <w:pBdr>
        <w:top w:val="single" w:sz="4" w:space="1" w:color="auto"/>
        <w:between w:val="single" w:sz="4" w:space="0" w:color="auto"/>
      </w:pBdr>
      <w:spacing w:after="60"/>
      <w:jc w:val="center"/>
      <w:rPr>
        <w:rFonts w:ascii="FrankRuehl" w:hAnsi="FrankRuehl" w:cs="FrankRuehl"/>
        <w:color w:val="000000"/>
      </w:rPr>
    </w:pPr>
    <w:r w:rsidRPr="00403C40">
      <w:rPr>
        <w:rFonts w:ascii="FrankRuehl" w:hAnsi="FrankRuehl" w:cs="FrankRuehl"/>
        <w:color w:val="000000"/>
      </w:rPr>
      <w:pict w14:anchorId="17DBE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7C25D" w14:textId="77777777" w:rsidR="00F50935" w:rsidRDefault="00F50935">
      <w:r>
        <w:separator/>
      </w:r>
    </w:p>
  </w:footnote>
  <w:footnote w:type="continuationSeparator" w:id="0">
    <w:p w14:paraId="6A501DAE" w14:textId="77777777" w:rsidR="00F50935" w:rsidRDefault="00F50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C827D" w14:textId="77777777" w:rsidR="005A103D" w:rsidRPr="00403C40" w:rsidRDefault="005A103D" w:rsidP="00403C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56159-05-13</w:t>
    </w:r>
    <w:r>
      <w:rPr>
        <w:rFonts w:ascii="David" w:hAnsi="David"/>
        <w:color w:val="000000"/>
        <w:sz w:val="22"/>
        <w:szCs w:val="22"/>
        <w:rtl/>
      </w:rPr>
      <w:tab/>
      <w:t xml:space="preserve"> מדינת ישראל נ' יעקב פרידמן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38FB6" w14:textId="77777777" w:rsidR="005A103D" w:rsidRPr="00403C40" w:rsidRDefault="005A103D" w:rsidP="00403C4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56159-05-13</w:t>
    </w:r>
    <w:r>
      <w:rPr>
        <w:rFonts w:ascii="David" w:hAnsi="David"/>
        <w:color w:val="000000"/>
        <w:sz w:val="22"/>
        <w:szCs w:val="22"/>
        <w:rtl/>
      </w:rPr>
      <w:tab/>
      <w:t xml:space="preserve"> מדינת ישראל נ' יעקב פרידמן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31BC"/>
    <w:rsid w:val="001631BC"/>
    <w:rsid w:val="00255591"/>
    <w:rsid w:val="00403C40"/>
    <w:rsid w:val="005763AA"/>
    <w:rsid w:val="005A103D"/>
    <w:rsid w:val="00710EE8"/>
    <w:rsid w:val="007A1F65"/>
    <w:rsid w:val="00867BAB"/>
    <w:rsid w:val="00A4198C"/>
    <w:rsid w:val="00BD747B"/>
    <w:rsid w:val="00ED68C7"/>
    <w:rsid w:val="00F50935"/>
    <w:rsid w:val="00F7479A"/>
    <w:rsid w:val="00F807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59ACEA"/>
  <w15:chartTrackingRefBased/>
  <w15:docId w15:val="{EEF22A12-CFE2-4DD6-8225-E9BB307A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31B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631BC"/>
    <w:pPr>
      <w:tabs>
        <w:tab w:val="center" w:pos="4153"/>
        <w:tab w:val="right" w:pos="8306"/>
      </w:tabs>
    </w:pPr>
  </w:style>
  <w:style w:type="paragraph" w:styleId="a4">
    <w:name w:val="footer"/>
    <w:basedOn w:val="a"/>
    <w:rsid w:val="001631BC"/>
    <w:pPr>
      <w:tabs>
        <w:tab w:val="center" w:pos="4153"/>
        <w:tab w:val="right" w:pos="8306"/>
      </w:tabs>
    </w:pPr>
  </w:style>
  <w:style w:type="character" w:styleId="a5">
    <w:name w:val="page number"/>
    <w:basedOn w:val="a0"/>
    <w:rsid w:val="001631BC"/>
  </w:style>
  <w:style w:type="character" w:styleId="Hyperlink">
    <w:name w:val="Hyperlink"/>
    <w:rsid w:val="00403C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6" TargetMode="External"/><Relationship Id="rId18" Type="http://schemas.openxmlformats.org/officeDocument/2006/relationships/hyperlink" Target="http://www.nevo.co.il/case/4001352"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419951" TargetMode="External"/><Relationship Id="rId7" Type="http://schemas.openxmlformats.org/officeDocument/2006/relationships/hyperlink" Target="http://www.nevo.co.il/law/4216/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10534714"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8448705" TargetMode="External"/><Relationship Id="rId20" Type="http://schemas.openxmlformats.org/officeDocument/2006/relationships/hyperlink" Target="http://www.nevo.co.il/law/4216"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4773189" TargetMode="External"/><Relationship Id="rId5" Type="http://schemas.openxmlformats.org/officeDocument/2006/relationships/endnotes" Target="endnotes.xml"/><Relationship Id="rId15" Type="http://schemas.openxmlformats.org/officeDocument/2006/relationships/hyperlink" Target="http://www.nevo.co.il/case/6030418" TargetMode="External"/><Relationship Id="rId23" Type="http://schemas.openxmlformats.org/officeDocument/2006/relationships/hyperlink" Target="http://www.nevo.co.il/case/5079155" TargetMode="External"/><Relationship Id="rId28"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9a" TargetMode="External"/><Relationship Id="rId14" Type="http://schemas.openxmlformats.org/officeDocument/2006/relationships/hyperlink" Target="http://www.nevo.co.il/case/17932979" TargetMode="External"/><Relationship Id="rId22" Type="http://schemas.openxmlformats.org/officeDocument/2006/relationships/hyperlink" Target="http://www.nevo.co.il/case/485572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1904</Words>
  <Characters>9520</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11402</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3866744</vt:i4>
      </vt:variant>
      <vt:variant>
        <vt:i4>54</vt:i4>
      </vt:variant>
      <vt:variant>
        <vt:i4>0</vt:i4>
      </vt:variant>
      <vt:variant>
        <vt:i4>5</vt:i4>
      </vt:variant>
      <vt:variant>
        <vt:lpwstr>http://www.nevo.co.il/case/4773189</vt:lpwstr>
      </vt:variant>
      <vt:variant>
        <vt:lpwstr/>
      </vt:variant>
      <vt:variant>
        <vt:i4>3539064</vt:i4>
      </vt:variant>
      <vt:variant>
        <vt:i4>51</vt:i4>
      </vt:variant>
      <vt:variant>
        <vt:i4>0</vt:i4>
      </vt:variant>
      <vt:variant>
        <vt:i4>5</vt:i4>
      </vt:variant>
      <vt:variant>
        <vt:lpwstr>http://www.nevo.co.il/case/5079155</vt:lpwstr>
      </vt:variant>
      <vt:variant>
        <vt:lpwstr/>
      </vt:variant>
      <vt:variant>
        <vt:i4>3604603</vt:i4>
      </vt:variant>
      <vt:variant>
        <vt:i4>48</vt:i4>
      </vt:variant>
      <vt:variant>
        <vt:i4>0</vt:i4>
      </vt:variant>
      <vt:variant>
        <vt:i4>5</vt:i4>
      </vt:variant>
      <vt:variant>
        <vt:lpwstr>http://www.nevo.co.il/case/4855721</vt:lpwstr>
      </vt:variant>
      <vt:variant>
        <vt:lpwstr/>
      </vt:variant>
      <vt:variant>
        <vt:i4>524364</vt:i4>
      </vt:variant>
      <vt:variant>
        <vt:i4>45</vt:i4>
      </vt:variant>
      <vt:variant>
        <vt:i4>0</vt:i4>
      </vt:variant>
      <vt:variant>
        <vt:i4>5</vt:i4>
      </vt:variant>
      <vt:variant>
        <vt:lpwstr>http://www.nevo.co.il/case/419951</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3473520</vt:i4>
      </vt:variant>
      <vt:variant>
        <vt:i4>36</vt:i4>
      </vt:variant>
      <vt:variant>
        <vt:i4>0</vt:i4>
      </vt:variant>
      <vt:variant>
        <vt:i4>5</vt:i4>
      </vt:variant>
      <vt:variant>
        <vt:lpwstr>http://www.nevo.co.il/case/4001352</vt:lpwstr>
      </vt:variant>
      <vt:variant>
        <vt:lpwstr/>
      </vt:variant>
      <vt:variant>
        <vt:i4>3211376</vt:i4>
      </vt:variant>
      <vt:variant>
        <vt:i4>33</vt:i4>
      </vt:variant>
      <vt:variant>
        <vt:i4>0</vt:i4>
      </vt:variant>
      <vt:variant>
        <vt:i4>5</vt:i4>
      </vt:variant>
      <vt:variant>
        <vt:lpwstr>http://www.nevo.co.il/case/10534714</vt:lpwstr>
      </vt:variant>
      <vt:variant>
        <vt:lpwstr/>
      </vt:variant>
      <vt:variant>
        <vt:i4>4063352</vt:i4>
      </vt:variant>
      <vt:variant>
        <vt:i4>30</vt:i4>
      </vt:variant>
      <vt:variant>
        <vt:i4>0</vt:i4>
      </vt:variant>
      <vt:variant>
        <vt:i4>5</vt:i4>
      </vt:variant>
      <vt:variant>
        <vt:lpwstr>http://www.nevo.co.il/case/8448705</vt:lpwstr>
      </vt:variant>
      <vt:variant>
        <vt:lpwstr/>
      </vt:variant>
      <vt:variant>
        <vt:i4>3735669</vt:i4>
      </vt:variant>
      <vt:variant>
        <vt:i4>27</vt:i4>
      </vt:variant>
      <vt:variant>
        <vt:i4>0</vt:i4>
      </vt:variant>
      <vt:variant>
        <vt:i4>5</vt:i4>
      </vt:variant>
      <vt:variant>
        <vt:lpwstr>http://www.nevo.co.il/case/6030418</vt:lpwstr>
      </vt:variant>
      <vt:variant>
        <vt:lpwstr/>
      </vt:variant>
      <vt:variant>
        <vt:i4>3997817</vt:i4>
      </vt:variant>
      <vt:variant>
        <vt:i4>24</vt:i4>
      </vt:variant>
      <vt:variant>
        <vt:i4>0</vt:i4>
      </vt:variant>
      <vt:variant>
        <vt:i4>5</vt:i4>
      </vt:variant>
      <vt:variant>
        <vt:lpwstr>http://www.nevo.co.il/case/17932979</vt:lpwstr>
      </vt:variant>
      <vt:variant>
        <vt:lpwstr/>
      </vt:variant>
      <vt:variant>
        <vt:i4>4718666</vt:i4>
      </vt:variant>
      <vt:variant>
        <vt:i4>21</vt:i4>
      </vt:variant>
      <vt:variant>
        <vt:i4>0</vt:i4>
      </vt:variant>
      <vt:variant>
        <vt:i4>5</vt:i4>
      </vt:variant>
      <vt:variant>
        <vt:lpwstr>http://www.nevo.co.il/law/4216/6</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2025-04-22T22:01:00Z</dcterms:created>
  <dcterms:modified xsi:type="dcterms:W3CDTF">2025-04-22T22:01:00Z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56159</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יעקב פרידמן</vt:lpwstr>
  </property>
  <property fmtid="{D5CDD505-2E9C-101B-9397-08002B2CF9AE}" pid="10" name="JUDGE">
    <vt:lpwstr>מרדכי כדורי</vt:lpwstr>
  </property>
  <property fmtid="{D5CDD505-2E9C-101B-9397-08002B2CF9AE}" pid="11" name="CITY">
    <vt:lpwstr>י-ם</vt:lpwstr>
  </property>
  <property fmtid="{D5CDD505-2E9C-101B-9397-08002B2CF9AE}" pid="12" name="DATE">
    <vt:lpwstr>20151102</vt:lpwstr>
  </property>
  <property fmtid="{D5CDD505-2E9C-101B-9397-08002B2CF9AE}" pid="13" name="TYPE_N_DATE">
    <vt:lpwstr>38020151102</vt:lpwstr>
  </property>
  <property fmtid="{D5CDD505-2E9C-101B-9397-08002B2CF9AE}" pid="14" name="WORDNUMPAGES">
    <vt:lpwstr>7</vt:lpwstr>
  </property>
  <property fmtid="{D5CDD505-2E9C-101B-9397-08002B2CF9AE}" pid="15" name="TYPE_ABS_DATE">
    <vt:lpwstr>380020151102</vt:lpwstr>
  </property>
  <property fmtid="{D5CDD505-2E9C-101B-9397-08002B2CF9AE}" pid="16" name="ISABSTRACT">
    <vt:lpwstr>Y</vt:lpwstr>
  </property>
  <property fmtid="{D5CDD505-2E9C-101B-9397-08002B2CF9AE}" pid="17" name="CASESLISTTMP1">
    <vt:lpwstr>17932979;6030418;8448705;10534714;4001352;419951;4855721;5079155;4773189</vt:lpwstr>
  </property>
  <property fmtid="{D5CDD505-2E9C-101B-9397-08002B2CF9AE}" pid="18" name="LAWLISTTMP1">
    <vt:lpwstr>4216/013;019a;006</vt:lpwstr>
  </property>
</Properties>
</file>