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2"/>
        <w:gridCol w:w="3659"/>
      </w:tblGrid>
      <w:tr w:rsidR="000B57FA" w:rsidRPr="00FB5682" w14:paraId="302414E7" w14:textId="77777777">
        <w:trPr>
          <w:trHeight w:hRule="exact" w:val="418"/>
          <w:jc w:val="center"/>
        </w:trPr>
        <w:tc>
          <w:tcPr>
            <w:tcW w:w="8721" w:type="dxa"/>
            <w:gridSpan w:val="2"/>
          </w:tcPr>
          <w:p w14:paraId="331E6561" w14:textId="77777777" w:rsidR="000B57FA" w:rsidRPr="00FB5682" w:rsidRDefault="00FB5682">
            <w:pPr>
              <w:pStyle w:val="a3"/>
              <w:jc w:val="center"/>
              <w:rPr>
                <w:rFonts w:ascii="Tahoma" w:hAnsi="Tahoma" w:cs="Tahoma"/>
                <w:color w:val="000080"/>
                <w:rtl/>
              </w:rPr>
            </w:pPr>
            <w:bookmarkStart w:id="0" w:name="LastJudge"/>
            <w:r w:rsidRPr="00FB5682">
              <w:rPr>
                <w:rFonts w:ascii="Tahoma" w:hAnsi="Tahoma" w:cs="Tahoma"/>
                <w:b/>
                <w:bCs/>
                <w:color w:val="000080"/>
                <w:rtl/>
              </w:rPr>
              <w:t>בית משפט השלום בירושלים</w:t>
            </w:r>
          </w:p>
        </w:tc>
      </w:tr>
      <w:tr w:rsidR="000B57FA" w:rsidRPr="00FB5682" w14:paraId="27460016" w14:textId="77777777">
        <w:trPr>
          <w:trHeight w:val="337"/>
          <w:jc w:val="center"/>
        </w:trPr>
        <w:tc>
          <w:tcPr>
            <w:tcW w:w="5062" w:type="dxa"/>
          </w:tcPr>
          <w:p w14:paraId="7342B383" w14:textId="77777777" w:rsidR="000B57FA" w:rsidRPr="00FB5682" w:rsidRDefault="00FB5682">
            <w:pPr>
              <w:rPr>
                <w:rFonts w:cs="FrankRuehl"/>
                <w:sz w:val="28"/>
                <w:szCs w:val="28"/>
                <w:rtl/>
              </w:rPr>
            </w:pPr>
            <w:r w:rsidRPr="00FB5682">
              <w:rPr>
                <w:rFonts w:cs="FrankRuehl"/>
                <w:sz w:val="28"/>
                <w:szCs w:val="28"/>
                <w:rtl/>
              </w:rPr>
              <w:t>ת"פ</w:t>
            </w:r>
            <w:r w:rsidRPr="00FB5682">
              <w:rPr>
                <w:rFonts w:cs="FrankRuehl" w:hint="cs"/>
                <w:sz w:val="28"/>
                <w:szCs w:val="28"/>
                <w:rtl/>
              </w:rPr>
              <w:t xml:space="preserve"> </w:t>
            </w:r>
            <w:r w:rsidRPr="00FB5682">
              <w:rPr>
                <w:rFonts w:cs="FrankRuehl"/>
                <w:sz w:val="28"/>
                <w:szCs w:val="28"/>
                <w:rtl/>
              </w:rPr>
              <w:t>56746-05-13</w:t>
            </w:r>
            <w:r w:rsidRPr="00FB5682">
              <w:rPr>
                <w:rFonts w:cs="FrankRuehl" w:hint="cs"/>
                <w:sz w:val="28"/>
                <w:szCs w:val="28"/>
                <w:rtl/>
              </w:rPr>
              <w:t xml:space="preserve"> </w:t>
            </w:r>
            <w:r w:rsidRPr="00FB5682">
              <w:rPr>
                <w:rFonts w:cs="FrankRuehl"/>
                <w:sz w:val="28"/>
                <w:szCs w:val="28"/>
                <w:rtl/>
              </w:rPr>
              <w:t>מדינת ישראל נ' עליאן(אחר/נוסף)</w:t>
            </w:r>
          </w:p>
          <w:p w14:paraId="60EDA15F" w14:textId="77777777" w:rsidR="000B57FA" w:rsidRPr="00FB5682" w:rsidRDefault="000B57FA">
            <w:pPr>
              <w:pStyle w:val="a3"/>
              <w:rPr>
                <w:rFonts w:cs="FrankRuehl"/>
                <w:sz w:val="28"/>
                <w:szCs w:val="28"/>
                <w:rtl/>
              </w:rPr>
            </w:pPr>
          </w:p>
        </w:tc>
        <w:tc>
          <w:tcPr>
            <w:tcW w:w="3659" w:type="dxa"/>
          </w:tcPr>
          <w:p w14:paraId="1754B239" w14:textId="77777777" w:rsidR="000B57FA" w:rsidRPr="00FB5682" w:rsidRDefault="000B57FA">
            <w:pPr>
              <w:pStyle w:val="a3"/>
              <w:jc w:val="right"/>
              <w:rPr>
                <w:rFonts w:cs="FrankRuehl"/>
                <w:sz w:val="28"/>
                <w:szCs w:val="28"/>
                <w:rtl/>
              </w:rPr>
            </w:pPr>
          </w:p>
        </w:tc>
      </w:tr>
    </w:tbl>
    <w:p w14:paraId="437E1B7E" w14:textId="77777777" w:rsidR="000B57FA" w:rsidRPr="00FB5682" w:rsidRDefault="00FB5682">
      <w:pPr>
        <w:pStyle w:val="a3"/>
        <w:rPr>
          <w:rtl/>
        </w:rPr>
      </w:pPr>
      <w:r w:rsidRPr="00FB5682">
        <w:rPr>
          <w:rFonts w:hint="cs"/>
          <w:rtl/>
        </w:rPr>
        <w:t xml:space="preserve"> </w:t>
      </w:r>
    </w:p>
    <w:p w14:paraId="57F17FE6" w14:textId="77777777" w:rsidR="000B57FA" w:rsidRPr="00FB5682" w:rsidRDefault="000B57F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0B57FA" w:rsidRPr="00FB5682" w14:paraId="4C5B34BB" w14:textId="77777777">
        <w:trPr>
          <w:trHeight w:val="295"/>
          <w:jc w:val="center"/>
        </w:trPr>
        <w:tc>
          <w:tcPr>
            <w:tcW w:w="923" w:type="dxa"/>
            <w:tcBorders>
              <w:top w:val="nil"/>
              <w:left w:val="nil"/>
              <w:bottom w:val="nil"/>
              <w:right w:val="nil"/>
            </w:tcBorders>
          </w:tcPr>
          <w:p w14:paraId="66C46D33" w14:textId="77777777" w:rsidR="000B57FA" w:rsidRPr="00FB5682" w:rsidRDefault="00FB5682">
            <w:pPr>
              <w:jc w:val="both"/>
              <w:rPr>
                <w:rFonts w:ascii="Arial" w:hAnsi="Arial" w:cs="FrankRuehl"/>
                <w:sz w:val="28"/>
                <w:szCs w:val="28"/>
              </w:rPr>
            </w:pPr>
            <w:r w:rsidRPr="00FB5682">
              <w:rPr>
                <w:rFonts w:ascii="Arial" w:hAnsi="Arial" w:cs="FrankRuehl" w:hint="cs"/>
                <w:sz w:val="28"/>
                <w:szCs w:val="28"/>
                <w:rtl/>
              </w:rPr>
              <w:t>ב</w:t>
            </w:r>
            <w:r w:rsidRPr="00FB5682">
              <w:rPr>
                <w:rFonts w:ascii="Arial" w:hAnsi="Arial" w:cs="FrankRuehl"/>
                <w:sz w:val="28"/>
                <w:szCs w:val="28"/>
                <w:rtl/>
              </w:rPr>
              <w:t xml:space="preserve">פני </w:t>
            </w:r>
          </w:p>
        </w:tc>
        <w:tc>
          <w:tcPr>
            <w:tcW w:w="7897" w:type="dxa"/>
            <w:gridSpan w:val="2"/>
            <w:tcBorders>
              <w:top w:val="nil"/>
              <w:left w:val="nil"/>
              <w:bottom w:val="nil"/>
              <w:right w:val="nil"/>
            </w:tcBorders>
          </w:tcPr>
          <w:p w14:paraId="189E24C8" w14:textId="77777777" w:rsidR="000B57FA" w:rsidRPr="00FB5682" w:rsidRDefault="00FB5682">
            <w:pPr>
              <w:rPr>
                <w:rFonts w:ascii="Arial" w:hAnsi="Arial"/>
                <w:b/>
                <w:bCs/>
                <w:rtl/>
              </w:rPr>
            </w:pPr>
            <w:r w:rsidRPr="00FB5682">
              <w:rPr>
                <w:rFonts w:ascii="Arial" w:hAnsi="Arial" w:hint="cs"/>
                <w:b/>
                <w:bCs/>
                <w:rtl/>
              </w:rPr>
              <w:t>כב' ה</w:t>
            </w:r>
            <w:r w:rsidRPr="00FB5682">
              <w:rPr>
                <w:rFonts w:hint="cs"/>
                <w:rtl/>
              </w:rPr>
              <w:t>שופט</w:t>
            </w:r>
            <w:r w:rsidRPr="00FB5682">
              <w:rPr>
                <w:rFonts w:ascii="Arial" w:hAnsi="Arial" w:hint="cs"/>
                <w:b/>
                <w:bCs/>
                <w:rtl/>
              </w:rPr>
              <w:t xml:space="preserve">  </w:t>
            </w:r>
            <w:r w:rsidRPr="00FB5682">
              <w:rPr>
                <w:rFonts w:hint="cs"/>
                <w:rtl/>
              </w:rPr>
              <w:t>שמואל הרבסט</w:t>
            </w:r>
          </w:p>
          <w:p w14:paraId="05F5CBAD" w14:textId="77777777" w:rsidR="000B57FA" w:rsidRPr="00FB5682" w:rsidRDefault="000B57FA">
            <w:pPr>
              <w:rPr>
                <w:rtl/>
              </w:rPr>
            </w:pPr>
          </w:p>
          <w:p w14:paraId="4193561C" w14:textId="77777777" w:rsidR="000B57FA" w:rsidRPr="00FB5682" w:rsidRDefault="000B57FA">
            <w:pPr>
              <w:jc w:val="both"/>
              <w:rPr>
                <w:rFonts w:ascii="Arial" w:hAnsi="Arial" w:cs="FrankRuehl"/>
                <w:sz w:val="28"/>
                <w:szCs w:val="28"/>
              </w:rPr>
            </w:pPr>
          </w:p>
        </w:tc>
      </w:tr>
      <w:tr w:rsidR="000B57FA" w:rsidRPr="00FB5682" w14:paraId="6114035A" w14:textId="77777777">
        <w:trPr>
          <w:trHeight w:val="355"/>
          <w:jc w:val="center"/>
        </w:trPr>
        <w:tc>
          <w:tcPr>
            <w:tcW w:w="923" w:type="dxa"/>
            <w:tcBorders>
              <w:top w:val="nil"/>
              <w:left w:val="nil"/>
              <w:bottom w:val="nil"/>
              <w:right w:val="nil"/>
            </w:tcBorders>
          </w:tcPr>
          <w:p w14:paraId="6202CB7D" w14:textId="77777777" w:rsidR="000B57FA" w:rsidRPr="00FB5682" w:rsidRDefault="00FB5682">
            <w:pPr>
              <w:jc w:val="both"/>
              <w:rPr>
                <w:rFonts w:ascii="Arial" w:hAnsi="Arial" w:cs="FrankRuehl"/>
                <w:sz w:val="28"/>
                <w:szCs w:val="28"/>
              </w:rPr>
            </w:pPr>
            <w:bookmarkStart w:id="1" w:name="FirstAppellant"/>
            <w:r w:rsidRPr="00FB5682">
              <w:rPr>
                <w:rFonts w:ascii="Arial" w:hAnsi="Arial" w:cs="FrankRuehl" w:hint="cs"/>
                <w:sz w:val="28"/>
                <w:szCs w:val="28"/>
                <w:rtl/>
              </w:rPr>
              <w:t>בעניין:</w:t>
            </w:r>
          </w:p>
        </w:tc>
        <w:tc>
          <w:tcPr>
            <w:tcW w:w="4126" w:type="dxa"/>
            <w:tcBorders>
              <w:top w:val="nil"/>
              <w:left w:val="nil"/>
              <w:bottom w:val="nil"/>
              <w:right w:val="nil"/>
            </w:tcBorders>
          </w:tcPr>
          <w:p w14:paraId="20456749" w14:textId="77777777" w:rsidR="000B57FA" w:rsidRPr="00FB5682" w:rsidRDefault="00FB5682">
            <w:r w:rsidRPr="00FB5682">
              <w:rPr>
                <w:rFonts w:hint="cs"/>
                <w:rtl/>
              </w:rPr>
              <w:t>מדינת ישראל</w:t>
            </w:r>
          </w:p>
        </w:tc>
        <w:tc>
          <w:tcPr>
            <w:tcW w:w="3771" w:type="dxa"/>
            <w:tcBorders>
              <w:top w:val="nil"/>
              <w:left w:val="nil"/>
              <w:bottom w:val="nil"/>
              <w:right w:val="nil"/>
            </w:tcBorders>
          </w:tcPr>
          <w:p w14:paraId="21980C13" w14:textId="77777777" w:rsidR="000B57FA" w:rsidRPr="00FB5682" w:rsidRDefault="000B57FA">
            <w:pPr>
              <w:jc w:val="both"/>
              <w:rPr>
                <w:rFonts w:ascii="Arial" w:hAnsi="Arial" w:cs="FrankRuehl"/>
                <w:sz w:val="28"/>
                <w:szCs w:val="28"/>
              </w:rPr>
            </w:pPr>
          </w:p>
        </w:tc>
      </w:tr>
      <w:bookmarkEnd w:id="1"/>
      <w:tr w:rsidR="000B57FA" w:rsidRPr="00FB5682" w14:paraId="0AE2E9BB" w14:textId="77777777">
        <w:trPr>
          <w:trHeight w:val="355"/>
          <w:jc w:val="center"/>
        </w:trPr>
        <w:tc>
          <w:tcPr>
            <w:tcW w:w="923" w:type="dxa"/>
            <w:tcBorders>
              <w:top w:val="nil"/>
              <w:left w:val="nil"/>
              <w:bottom w:val="nil"/>
              <w:right w:val="nil"/>
            </w:tcBorders>
          </w:tcPr>
          <w:p w14:paraId="57D1745A" w14:textId="77777777" w:rsidR="000B57FA" w:rsidRPr="00FB5682" w:rsidRDefault="000B57FA">
            <w:pPr>
              <w:jc w:val="both"/>
              <w:rPr>
                <w:rFonts w:ascii="Arial" w:hAnsi="Arial" w:cs="FrankRuehl"/>
                <w:sz w:val="28"/>
                <w:szCs w:val="28"/>
                <w:rtl/>
              </w:rPr>
            </w:pPr>
          </w:p>
        </w:tc>
        <w:tc>
          <w:tcPr>
            <w:tcW w:w="4126" w:type="dxa"/>
            <w:tcBorders>
              <w:top w:val="nil"/>
              <w:left w:val="nil"/>
              <w:bottom w:val="nil"/>
              <w:right w:val="nil"/>
            </w:tcBorders>
          </w:tcPr>
          <w:p w14:paraId="196986AD" w14:textId="77777777" w:rsidR="000B57FA" w:rsidRPr="00FB5682" w:rsidRDefault="000B57FA">
            <w:pPr>
              <w:jc w:val="both"/>
              <w:rPr>
                <w:rtl/>
              </w:rPr>
            </w:pPr>
          </w:p>
        </w:tc>
        <w:tc>
          <w:tcPr>
            <w:tcW w:w="3771" w:type="dxa"/>
            <w:tcBorders>
              <w:top w:val="nil"/>
              <w:left w:val="nil"/>
              <w:bottom w:val="nil"/>
              <w:right w:val="nil"/>
            </w:tcBorders>
          </w:tcPr>
          <w:p w14:paraId="0060567F" w14:textId="77777777" w:rsidR="000B57FA" w:rsidRPr="00FB5682" w:rsidRDefault="00FB5682">
            <w:pPr>
              <w:jc w:val="right"/>
              <w:rPr>
                <w:rFonts w:ascii="Arial" w:hAnsi="Arial" w:cs="FrankRuehl"/>
                <w:sz w:val="28"/>
                <w:szCs w:val="28"/>
                <w:rtl/>
              </w:rPr>
            </w:pPr>
            <w:r w:rsidRPr="00FB5682">
              <w:rPr>
                <w:rFonts w:ascii="Arial" w:hAnsi="Arial" w:cs="FrankRuehl" w:hint="cs"/>
                <w:sz w:val="28"/>
                <w:szCs w:val="28"/>
                <w:rtl/>
              </w:rPr>
              <w:t>ה</w:t>
            </w:r>
            <w:r w:rsidRPr="00FB5682">
              <w:rPr>
                <w:rFonts w:hint="cs"/>
                <w:rtl/>
              </w:rPr>
              <w:t>מאשימה</w:t>
            </w:r>
          </w:p>
        </w:tc>
      </w:tr>
      <w:tr w:rsidR="000B57FA" w:rsidRPr="00FB5682" w14:paraId="314B2463" w14:textId="77777777">
        <w:trPr>
          <w:trHeight w:val="355"/>
          <w:jc w:val="center"/>
        </w:trPr>
        <w:tc>
          <w:tcPr>
            <w:tcW w:w="923" w:type="dxa"/>
            <w:tcBorders>
              <w:top w:val="nil"/>
              <w:left w:val="nil"/>
              <w:bottom w:val="nil"/>
              <w:right w:val="nil"/>
            </w:tcBorders>
          </w:tcPr>
          <w:p w14:paraId="3E2D6920" w14:textId="77777777" w:rsidR="000B57FA" w:rsidRPr="00FB5682" w:rsidRDefault="000B57FA">
            <w:pPr>
              <w:jc w:val="both"/>
              <w:rPr>
                <w:rFonts w:ascii="Arial" w:hAnsi="Arial" w:cs="FrankRuehl"/>
                <w:sz w:val="28"/>
                <w:szCs w:val="28"/>
                <w:rtl/>
              </w:rPr>
            </w:pPr>
          </w:p>
        </w:tc>
        <w:tc>
          <w:tcPr>
            <w:tcW w:w="7897" w:type="dxa"/>
            <w:gridSpan w:val="2"/>
            <w:tcBorders>
              <w:top w:val="nil"/>
              <w:left w:val="nil"/>
              <w:bottom w:val="nil"/>
              <w:right w:val="nil"/>
            </w:tcBorders>
          </w:tcPr>
          <w:p w14:paraId="6F26CFB2" w14:textId="77777777" w:rsidR="000B57FA" w:rsidRPr="00FB5682" w:rsidRDefault="000B57FA">
            <w:pPr>
              <w:jc w:val="center"/>
              <w:rPr>
                <w:rFonts w:ascii="Arial" w:hAnsi="Arial" w:cs="FrankRuehl"/>
                <w:b/>
                <w:bCs/>
                <w:sz w:val="28"/>
                <w:szCs w:val="28"/>
                <w:rtl/>
              </w:rPr>
            </w:pPr>
          </w:p>
          <w:p w14:paraId="3EFAE3D7" w14:textId="77777777" w:rsidR="000B57FA" w:rsidRPr="00FB5682" w:rsidRDefault="00FB5682">
            <w:pPr>
              <w:jc w:val="center"/>
              <w:rPr>
                <w:rFonts w:ascii="Arial" w:hAnsi="Arial" w:cs="FrankRuehl"/>
                <w:b/>
                <w:bCs/>
                <w:sz w:val="28"/>
                <w:szCs w:val="28"/>
                <w:rtl/>
              </w:rPr>
            </w:pPr>
            <w:r w:rsidRPr="00FB5682">
              <w:rPr>
                <w:rFonts w:ascii="Arial" w:hAnsi="Arial" w:cs="FrankRuehl"/>
                <w:b/>
                <w:bCs/>
                <w:sz w:val="28"/>
                <w:szCs w:val="28"/>
                <w:rtl/>
              </w:rPr>
              <w:t>נגד</w:t>
            </w:r>
          </w:p>
          <w:p w14:paraId="3A037277" w14:textId="77777777" w:rsidR="000B57FA" w:rsidRPr="00FB5682" w:rsidRDefault="000B57FA">
            <w:pPr>
              <w:jc w:val="both"/>
              <w:rPr>
                <w:rFonts w:ascii="Arial" w:hAnsi="Arial" w:cs="FrankRuehl"/>
                <w:sz w:val="28"/>
                <w:szCs w:val="28"/>
              </w:rPr>
            </w:pPr>
          </w:p>
        </w:tc>
      </w:tr>
      <w:tr w:rsidR="000B57FA" w:rsidRPr="00FB5682" w14:paraId="59D90D1C" w14:textId="77777777">
        <w:trPr>
          <w:trHeight w:val="355"/>
          <w:jc w:val="center"/>
        </w:trPr>
        <w:tc>
          <w:tcPr>
            <w:tcW w:w="923" w:type="dxa"/>
            <w:tcBorders>
              <w:top w:val="nil"/>
              <w:left w:val="nil"/>
              <w:bottom w:val="nil"/>
              <w:right w:val="nil"/>
            </w:tcBorders>
          </w:tcPr>
          <w:p w14:paraId="2ABFA5AF" w14:textId="77777777" w:rsidR="000B57FA" w:rsidRPr="00FB5682" w:rsidRDefault="000B57FA">
            <w:pPr>
              <w:rPr>
                <w:rFonts w:ascii="Arial" w:hAnsi="Arial" w:cs="FrankRuehl"/>
                <w:sz w:val="28"/>
                <w:szCs w:val="28"/>
                <w:rtl/>
              </w:rPr>
            </w:pPr>
          </w:p>
        </w:tc>
        <w:tc>
          <w:tcPr>
            <w:tcW w:w="4126" w:type="dxa"/>
            <w:tcBorders>
              <w:top w:val="nil"/>
              <w:left w:val="nil"/>
              <w:bottom w:val="nil"/>
              <w:right w:val="nil"/>
            </w:tcBorders>
          </w:tcPr>
          <w:p w14:paraId="1543FB80" w14:textId="77777777" w:rsidR="000B57FA" w:rsidRPr="00FB5682" w:rsidRDefault="00FB5682">
            <w:pPr>
              <w:rPr>
                <w:rtl/>
              </w:rPr>
            </w:pPr>
            <w:r w:rsidRPr="00FB5682">
              <w:rPr>
                <w:rFonts w:hint="cs"/>
                <w:rtl/>
              </w:rPr>
              <w:t>קאסם עליאן (אחר/נוסף)</w:t>
            </w:r>
          </w:p>
        </w:tc>
        <w:tc>
          <w:tcPr>
            <w:tcW w:w="3771" w:type="dxa"/>
            <w:tcBorders>
              <w:top w:val="nil"/>
              <w:left w:val="nil"/>
              <w:bottom w:val="nil"/>
              <w:right w:val="nil"/>
            </w:tcBorders>
          </w:tcPr>
          <w:p w14:paraId="6C141791" w14:textId="77777777" w:rsidR="000B57FA" w:rsidRPr="00FB5682" w:rsidRDefault="000B57FA">
            <w:pPr>
              <w:jc w:val="right"/>
              <w:rPr>
                <w:rFonts w:ascii="Arial" w:hAnsi="Arial" w:cs="FrankRuehl"/>
                <w:sz w:val="28"/>
                <w:szCs w:val="28"/>
              </w:rPr>
            </w:pPr>
          </w:p>
        </w:tc>
      </w:tr>
      <w:tr w:rsidR="000B57FA" w:rsidRPr="00FB5682" w14:paraId="1618A471" w14:textId="77777777">
        <w:trPr>
          <w:trHeight w:val="355"/>
          <w:jc w:val="center"/>
        </w:trPr>
        <w:tc>
          <w:tcPr>
            <w:tcW w:w="923" w:type="dxa"/>
            <w:tcBorders>
              <w:top w:val="nil"/>
              <w:left w:val="nil"/>
              <w:bottom w:val="nil"/>
              <w:right w:val="nil"/>
            </w:tcBorders>
          </w:tcPr>
          <w:p w14:paraId="76D8D9B0" w14:textId="77777777" w:rsidR="000B57FA" w:rsidRPr="00FB5682" w:rsidRDefault="000B57FA">
            <w:pPr>
              <w:jc w:val="both"/>
              <w:rPr>
                <w:rFonts w:ascii="Arial" w:hAnsi="Arial" w:cs="FrankRuehl"/>
                <w:sz w:val="28"/>
                <w:szCs w:val="28"/>
                <w:rtl/>
              </w:rPr>
            </w:pPr>
          </w:p>
        </w:tc>
        <w:tc>
          <w:tcPr>
            <w:tcW w:w="4126" w:type="dxa"/>
            <w:tcBorders>
              <w:top w:val="nil"/>
              <w:left w:val="nil"/>
              <w:bottom w:val="nil"/>
              <w:right w:val="nil"/>
            </w:tcBorders>
          </w:tcPr>
          <w:p w14:paraId="78243211" w14:textId="77777777" w:rsidR="000B57FA" w:rsidRPr="00FB5682" w:rsidRDefault="000B57FA">
            <w:pPr>
              <w:jc w:val="both"/>
              <w:rPr>
                <w:rtl/>
              </w:rPr>
            </w:pPr>
          </w:p>
        </w:tc>
        <w:tc>
          <w:tcPr>
            <w:tcW w:w="3771" w:type="dxa"/>
            <w:tcBorders>
              <w:top w:val="nil"/>
              <w:left w:val="nil"/>
              <w:bottom w:val="nil"/>
              <w:right w:val="nil"/>
            </w:tcBorders>
          </w:tcPr>
          <w:p w14:paraId="1FA19D34" w14:textId="77777777" w:rsidR="000B57FA" w:rsidRPr="00FB5682" w:rsidRDefault="00FB5682">
            <w:pPr>
              <w:jc w:val="right"/>
              <w:rPr>
                <w:rFonts w:ascii="Arial" w:hAnsi="Arial" w:cs="FrankRuehl"/>
                <w:sz w:val="28"/>
                <w:szCs w:val="28"/>
              </w:rPr>
            </w:pPr>
            <w:r w:rsidRPr="00FB5682">
              <w:rPr>
                <w:rFonts w:ascii="Arial" w:hAnsi="Arial" w:cs="FrankRuehl" w:hint="cs"/>
                <w:sz w:val="28"/>
                <w:szCs w:val="28"/>
                <w:rtl/>
              </w:rPr>
              <w:t>ה</w:t>
            </w:r>
            <w:r w:rsidRPr="00FB5682">
              <w:rPr>
                <w:rFonts w:hint="cs"/>
                <w:rtl/>
              </w:rPr>
              <w:t>נאשם</w:t>
            </w:r>
          </w:p>
        </w:tc>
      </w:tr>
    </w:tbl>
    <w:p w14:paraId="4A6940A4" w14:textId="77777777" w:rsidR="00CE3FB7" w:rsidRDefault="00CE3FB7">
      <w:pPr>
        <w:rPr>
          <w:rtl/>
        </w:rPr>
      </w:pPr>
      <w:bookmarkStart w:id="2" w:name="LawTable"/>
      <w:bookmarkEnd w:id="2"/>
    </w:p>
    <w:p w14:paraId="42E1B942" w14:textId="77777777" w:rsidR="00CE3FB7" w:rsidRPr="00CE3FB7" w:rsidRDefault="00CE3FB7" w:rsidP="00CE3FB7">
      <w:pPr>
        <w:spacing w:after="120" w:line="240" w:lineRule="exact"/>
        <w:ind w:left="283" w:hanging="283"/>
        <w:jc w:val="both"/>
        <w:rPr>
          <w:rFonts w:ascii="FrankRuehl" w:hAnsi="FrankRuehl" w:cs="FrankRuehl"/>
          <w:rtl/>
        </w:rPr>
      </w:pPr>
    </w:p>
    <w:p w14:paraId="688CDF1B" w14:textId="77777777" w:rsidR="00CE3FB7" w:rsidRPr="00CE3FB7" w:rsidRDefault="00CE3FB7" w:rsidP="00CE3FB7">
      <w:pPr>
        <w:spacing w:after="120" w:line="240" w:lineRule="exact"/>
        <w:ind w:left="283" w:hanging="283"/>
        <w:jc w:val="both"/>
        <w:rPr>
          <w:rFonts w:ascii="FrankRuehl" w:hAnsi="FrankRuehl" w:cs="FrankRuehl"/>
          <w:rtl/>
        </w:rPr>
      </w:pPr>
      <w:r w:rsidRPr="00CE3FB7">
        <w:rPr>
          <w:rFonts w:ascii="FrankRuehl" w:hAnsi="FrankRuehl" w:cs="FrankRuehl"/>
          <w:rtl/>
        </w:rPr>
        <w:t xml:space="preserve">חקיקה שאוזכרה: </w:t>
      </w:r>
    </w:p>
    <w:p w14:paraId="7F580F9B" w14:textId="77777777" w:rsidR="00CE3FB7" w:rsidRPr="00CE3FB7" w:rsidRDefault="00CE3FB7" w:rsidP="00CE3FB7">
      <w:pPr>
        <w:spacing w:after="120" w:line="240" w:lineRule="exact"/>
        <w:ind w:left="283" w:hanging="283"/>
        <w:jc w:val="both"/>
        <w:rPr>
          <w:rFonts w:ascii="FrankRuehl" w:hAnsi="FrankRuehl" w:cs="FrankRuehl"/>
          <w:rtl/>
        </w:rPr>
      </w:pPr>
      <w:hyperlink r:id="rId7" w:history="1">
        <w:r w:rsidRPr="00CE3FB7">
          <w:rPr>
            <w:rFonts w:ascii="FrankRuehl" w:hAnsi="FrankRuehl" w:cs="FrankRuehl"/>
            <w:color w:val="0000FF"/>
            <w:u w:val="single"/>
            <w:rtl/>
          </w:rPr>
          <w:t>פקודת הסמים המסוכנים [נוסח חדש], תשל"ג-1973</w:t>
        </w:r>
      </w:hyperlink>
      <w:r w:rsidRPr="00CE3FB7">
        <w:rPr>
          <w:rFonts w:ascii="FrankRuehl" w:hAnsi="FrankRuehl" w:cs="FrankRuehl"/>
          <w:rtl/>
        </w:rPr>
        <w:t xml:space="preserve">: סע'  </w:t>
      </w:r>
      <w:hyperlink r:id="rId8" w:history="1">
        <w:r w:rsidRPr="00CE3FB7">
          <w:rPr>
            <w:rFonts w:ascii="FrankRuehl" w:hAnsi="FrankRuehl" w:cs="FrankRuehl"/>
            <w:color w:val="0000FF"/>
            <w:u w:val="single"/>
            <w:rtl/>
          </w:rPr>
          <w:t>13</w:t>
        </w:r>
      </w:hyperlink>
      <w:r w:rsidRPr="00CE3FB7">
        <w:rPr>
          <w:rFonts w:ascii="FrankRuehl" w:hAnsi="FrankRuehl" w:cs="FrankRuehl"/>
          <w:rtl/>
        </w:rPr>
        <w:t xml:space="preserve">, </w:t>
      </w:r>
      <w:hyperlink r:id="rId9" w:history="1">
        <w:r w:rsidRPr="00CE3FB7">
          <w:rPr>
            <w:rFonts w:ascii="FrankRuehl" w:hAnsi="FrankRuehl" w:cs="FrankRuehl"/>
            <w:color w:val="0000FF"/>
            <w:u w:val="single"/>
            <w:rtl/>
          </w:rPr>
          <w:t>19א</w:t>
        </w:r>
      </w:hyperlink>
    </w:p>
    <w:p w14:paraId="705BB6B9" w14:textId="77777777" w:rsidR="00CE3FB7" w:rsidRPr="00CE3FB7" w:rsidRDefault="00CE3FB7" w:rsidP="00CE3FB7">
      <w:pPr>
        <w:spacing w:after="120" w:line="240" w:lineRule="exact"/>
        <w:ind w:left="283" w:hanging="283"/>
        <w:jc w:val="both"/>
        <w:rPr>
          <w:rFonts w:ascii="FrankRuehl" w:hAnsi="FrankRuehl" w:cs="FrankRuehl"/>
          <w:rtl/>
        </w:rPr>
      </w:pPr>
      <w:hyperlink r:id="rId10" w:history="1">
        <w:r w:rsidRPr="00CE3FB7">
          <w:rPr>
            <w:rFonts w:ascii="FrankRuehl" w:hAnsi="FrankRuehl" w:cs="FrankRuehl"/>
            <w:color w:val="0000FF"/>
            <w:u w:val="single"/>
            <w:rtl/>
          </w:rPr>
          <w:t>תקנות בריאות העם (עוסקים בסיעוד בבתי חולים), תשמ"ט-1988</w:t>
        </w:r>
      </w:hyperlink>
      <w:r w:rsidRPr="00CE3FB7">
        <w:rPr>
          <w:rFonts w:ascii="FrankRuehl" w:hAnsi="FrankRuehl" w:cs="FrankRuehl"/>
          <w:rtl/>
        </w:rPr>
        <w:t xml:space="preserve">: סע'  </w:t>
      </w:r>
      <w:hyperlink r:id="rId11" w:history="1">
        <w:r w:rsidRPr="00CE3FB7">
          <w:rPr>
            <w:rFonts w:ascii="FrankRuehl" w:hAnsi="FrankRuehl" w:cs="FrankRuehl"/>
            <w:color w:val="0000FF"/>
            <w:u w:val="single"/>
            <w:rtl/>
          </w:rPr>
          <w:t>5</w:t>
        </w:r>
      </w:hyperlink>
    </w:p>
    <w:p w14:paraId="097DDC82" w14:textId="77777777" w:rsidR="00CE3FB7" w:rsidRPr="00CE3FB7" w:rsidRDefault="00CE3FB7" w:rsidP="00CE3FB7">
      <w:pPr>
        <w:spacing w:after="120" w:line="240" w:lineRule="exact"/>
        <w:ind w:left="283" w:hanging="283"/>
        <w:jc w:val="both"/>
        <w:rPr>
          <w:rFonts w:ascii="FrankRuehl" w:hAnsi="FrankRuehl" w:cs="FrankRuehl"/>
          <w:rtl/>
        </w:rPr>
      </w:pPr>
      <w:hyperlink r:id="rId12" w:history="1">
        <w:r w:rsidRPr="00CE3FB7">
          <w:rPr>
            <w:rFonts w:ascii="FrankRuehl" w:hAnsi="FrankRuehl" w:cs="FrankRuehl"/>
            <w:color w:val="0000FF"/>
            <w:u w:val="single"/>
            <w:rtl/>
          </w:rPr>
          <w:t>תקנות בריאות העם (צוות סיעודי במרפאות), תשמ"א-1981</w:t>
        </w:r>
      </w:hyperlink>
      <w:r w:rsidRPr="00CE3FB7">
        <w:rPr>
          <w:rFonts w:ascii="FrankRuehl" w:hAnsi="FrankRuehl" w:cs="FrankRuehl"/>
          <w:rtl/>
        </w:rPr>
        <w:t xml:space="preserve">: סע'  </w:t>
      </w:r>
      <w:hyperlink r:id="rId13" w:history="1">
        <w:r w:rsidRPr="00CE3FB7">
          <w:rPr>
            <w:rFonts w:ascii="FrankRuehl" w:hAnsi="FrankRuehl" w:cs="FrankRuehl"/>
            <w:color w:val="0000FF"/>
            <w:u w:val="single"/>
            <w:rtl/>
          </w:rPr>
          <w:t>11</w:t>
        </w:r>
      </w:hyperlink>
    </w:p>
    <w:p w14:paraId="3C812019" w14:textId="77777777" w:rsidR="00CE3FB7" w:rsidRPr="00CE3FB7" w:rsidRDefault="00CE3FB7" w:rsidP="00CE3FB7">
      <w:pPr>
        <w:spacing w:after="120" w:line="240" w:lineRule="exact"/>
        <w:ind w:left="283" w:hanging="283"/>
        <w:jc w:val="both"/>
        <w:rPr>
          <w:rFonts w:ascii="FrankRuehl" w:hAnsi="FrankRuehl" w:cs="FrankRuehl"/>
          <w:rtl/>
        </w:rPr>
      </w:pPr>
      <w:hyperlink r:id="rId14" w:history="1">
        <w:r w:rsidRPr="00CE3FB7">
          <w:rPr>
            <w:rFonts w:ascii="FrankRuehl" w:hAnsi="FrankRuehl" w:cs="FrankRuehl"/>
            <w:color w:val="0000FF"/>
            <w:u w:val="single"/>
            <w:rtl/>
          </w:rPr>
          <w:t>חוק העונשין, תשל"ז-1977</w:t>
        </w:r>
      </w:hyperlink>
    </w:p>
    <w:p w14:paraId="40B933C0" w14:textId="77777777" w:rsidR="00CE3FB7" w:rsidRPr="00CE3FB7" w:rsidRDefault="00CE3FB7" w:rsidP="00CE3FB7">
      <w:pPr>
        <w:spacing w:after="120" w:line="240" w:lineRule="exact"/>
        <w:ind w:left="283" w:hanging="283"/>
        <w:jc w:val="both"/>
        <w:rPr>
          <w:rFonts w:ascii="FrankRuehl" w:hAnsi="FrankRuehl" w:cs="FrankRuehl"/>
          <w:rtl/>
        </w:rPr>
      </w:pPr>
    </w:p>
    <w:p w14:paraId="1C033055" w14:textId="77777777" w:rsidR="000B57FA" w:rsidRPr="00FB5682" w:rsidRDefault="000B57FA">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B57FA" w14:paraId="6798AEE8" w14:textId="77777777">
        <w:trPr>
          <w:trHeight w:val="355"/>
          <w:jc w:val="center"/>
        </w:trPr>
        <w:tc>
          <w:tcPr>
            <w:tcW w:w="8820" w:type="dxa"/>
            <w:tcBorders>
              <w:top w:val="nil"/>
              <w:left w:val="nil"/>
              <w:bottom w:val="nil"/>
              <w:right w:val="nil"/>
            </w:tcBorders>
          </w:tcPr>
          <w:p w14:paraId="4161EFB7" w14:textId="77777777" w:rsidR="00FB5682" w:rsidRPr="00FB5682" w:rsidRDefault="00FB5682" w:rsidP="00FB5682">
            <w:pPr>
              <w:jc w:val="center"/>
              <w:rPr>
                <w:rFonts w:ascii="Arial" w:hAnsi="Arial" w:cs="FrankRuehl"/>
                <w:b/>
                <w:bCs/>
                <w:sz w:val="32"/>
                <w:szCs w:val="32"/>
                <w:u w:val="single"/>
                <w:rtl/>
              </w:rPr>
            </w:pPr>
            <w:bookmarkStart w:id="4" w:name="PsakDin" w:colFirst="0" w:colLast="0"/>
            <w:bookmarkEnd w:id="0"/>
            <w:r w:rsidRPr="00FB5682">
              <w:rPr>
                <w:rFonts w:ascii="Arial" w:hAnsi="Arial" w:cs="FrankRuehl"/>
                <w:b/>
                <w:bCs/>
                <w:sz w:val="32"/>
                <w:szCs w:val="32"/>
                <w:u w:val="single"/>
                <w:rtl/>
              </w:rPr>
              <w:t>גזר דין</w:t>
            </w:r>
          </w:p>
          <w:p w14:paraId="65361A37" w14:textId="77777777" w:rsidR="000B57FA" w:rsidRPr="00FB5682" w:rsidRDefault="000B57FA" w:rsidP="00FB5682">
            <w:pPr>
              <w:jc w:val="center"/>
              <w:rPr>
                <w:rFonts w:ascii="Arial" w:hAnsi="Arial" w:cs="FrankRuehl"/>
                <w:bCs/>
                <w:sz w:val="32"/>
                <w:szCs w:val="32"/>
                <w:u w:val="single"/>
                <w:rtl/>
              </w:rPr>
            </w:pPr>
          </w:p>
        </w:tc>
      </w:tr>
      <w:bookmarkEnd w:id="4"/>
    </w:tbl>
    <w:p w14:paraId="677AEEF1" w14:textId="77777777" w:rsidR="000B57FA" w:rsidRDefault="000B57FA">
      <w:pPr>
        <w:rPr>
          <w:rFonts w:ascii="Arial" w:hAnsi="Arial"/>
          <w:rtl/>
        </w:rPr>
      </w:pPr>
    </w:p>
    <w:p w14:paraId="722D8CA2" w14:textId="77777777" w:rsidR="000B57FA" w:rsidRDefault="00FB5682">
      <w:pPr>
        <w:spacing w:line="360" w:lineRule="auto"/>
      </w:pPr>
      <w:bookmarkStart w:id="5" w:name="ABSTRACT_START"/>
      <w:bookmarkEnd w:id="5"/>
      <w:r>
        <w:rPr>
          <w:rFonts w:hint="cs"/>
          <w:rtl/>
        </w:rPr>
        <w:t xml:space="preserve">הנאשם הודה והורשע בביצועה של עסקת סחר בסם מסוכן מסוג חשיש, על פי </w:t>
      </w:r>
      <w:hyperlink r:id="rId15" w:history="1">
        <w:r w:rsidR="00CE3FB7" w:rsidRPr="00CE3FB7">
          <w:rPr>
            <w:color w:val="0000FF"/>
            <w:u w:val="single"/>
            <w:rtl/>
          </w:rPr>
          <w:t>סעיפים 13</w:t>
        </w:r>
      </w:hyperlink>
      <w:r>
        <w:rPr>
          <w:rFonts w:hint="cs"/>
          <w:rtl/>
        </w:rPr>
        <w:t xml:space="preserve"> ו-</w:t>
      </w:r>
      <w:hyperlink r:id="rId16" w:history="1">
        <w:r w:rsidR="00CE3FB7" w:rsidRPr="00CE3FB7">
          <w:rPr>
            <w:color w:val="0000FF"/>
            <w:u w:val="single"/>
            <w:rtl/>
          </w:rPr>
          <w:t>19א</w:t>
        </w:r>
      </w:hyperlink>
      <w:r>
        <w:rPr>
          <w:rFonts w:hint="cs"/>
          <w:rtl/>
        </w:rPr>
        <w:t xml:space="preserve"> ל</w:t>
      </w:r>
      <w:hyperlink r:id="rId17" w:history="1">
        <w:r w:rsidRPr="00FB5682">
          <w:rPr>
            <w:color w:val="0000FF"/>
            <w:u w:val="single"/>
            <w:rtl/>
          </w:rPr>
          <w:t>פקודת הסמים המסוכנים</w:t>
        </w:r>
      </w:hyperlink>
      <w:r>
        <w:rPr>
          <w:rFonts w:hint="cs"/>
          <w:rtl/>
        </w:rPr>
        <w:t xml:space="preserve"> [נוסח חדש], התשל"ג – 1977 (להלן:"הפקודה").</w:t>
      </w:r>
    </w:p>
    <w:p w14:paraId="58791112" w14:textId="77777777" w:rsidR="000B57FA" w:rsidRDefault="000B57FA">
      <w:pPr>
        <w:spacing w:line="360" w:lineRule="auto"/>
        <w:rPr>
          <w:rtl/>
        </w:rPr>
      </w:pPr>
      <w:bookmarkStart w:id="6" w:name="ABSTRACT_END"/>
      <w:bookmarkEnd w:id="6"/>
    </w:p>
    <w:p w14:paraId="3790C0DF" w14:textId="77777777" w:rsidR="000B57FA" w:rsidRDefault="00FB5682">
      <w:pPr>
        <w:spacing w:line="360" w:lineRule="auto"/>
        <w:rPr>
          <w:rtl/>
        </w:rPr>
      </w:pPr>
      <w:r>
        <w:rPr>
          <w:rFonts w:hint="cs"/>
          <w:rtl/>
        </w:rPr>
        <w:t>על פי האמור בכתב האישום, ביום 23.9.12 סמוך לשעה 23:00, מכר הנאשם לסוכן משטרתי  סם מסוכן מסוג חשיש במשקל של כ-90 גרם בקירוב תמורת סך של 2,240 ₪, ללא שיש בידיו היתר כדין.</w:t>
      </w:r>
    </w:p>
    <w:p w14:paraId="474402FA" w14:textId="77777777" w:rsidR="000B57FA" w:rsidRDefault="00FB5682">
      <w:pPr>
        <w:spacing w:line="360" w:lineRule="auto"/>
        <w:rPr>
          <w:rtl/>
        </w:rPr>
      </w:pPr>
      <w:r>
        <w:rPr>
          <w:rFonts w:hint="cs"/>
          <w:rtl/>
        </w:rPr>
        <w:t>המכירה נעשתה לאחר שהסוכן המשטרתי פנה אל הנאשם והתעניין ברכישת סם.</w:t>
      </w:r>
    </w:p>
    <w:p w14:paraId="1733141A" w14:textId="77777777" w:rsidR="000B57FA" w:rsidRDefault="000B57FA">
      <w:pPr>
        <w:spacing w:line="360" w:lineRule="auto"/>
        <w:rPr>
          <w:rtl/>
        </w:rPr>
      </w:pPr>
    </w:p>
    <w:p w14:paraId="1D96F6C6" w14:textId="77777777" w:rsidR="000B57FA" w:rsidRDefault="00FB5682">
      <w:pPr>
        <w:spacing w:line="360" w:lineRule="auto"/>
        <w:rPr>
          <w:rtl/>
        </w:rPr>
      </w:pPr>
      <w:r>
        <w:rPr>
          <w:rFonts w:hint="cs"/>
          <w:b/>
          <w:bCs/>
          <w:rtl/>
        </w:rPr>
        <w:t>ב"כ המאשימה,</w:t>
      </w:r>
      <w:r>
        <w:rPr>
          <w:rFonts w:hint="cs"/>
          <w:rtl/>
        </w:rPr>
        <w:t xml:space="preserve"> עוד נ. בינשטוק, תיאר בטיעוניו את חומרת המעשה ואת השלכותיו ההרסניות על החברה כולה ולא רק על הנאשם עצמו. עוד טען ב"כ המאשימה, כי ניתן ללמוד ממעורבותו של </w:t>
      </w:r>
      <w:r>
        <w:rPr>
          <w:rFonts w:hint="cs"/>
          <w:rtl/>
        </w:rPr>
        <w:lastRenderedPageBreak/>
        <w:t>הנאשם ומכמות הסם שנמכרה, כי מידת בקיאותו בשוק הסמים רבה ויש להתייחס לכך כאל נקודת חומרה נוספת בעת גזירת דינו.</w:t>
      </w:r>
    </w:p>
    <w:p w14:paraId="4385CECA" w14:textId="77777777" w:rsidR="000B57FA" w:rsidRDefault="000B57FA">
      <w:pPr>
        <w:spacing w:line="360" w:lineRule="auto"/>
        <w:rPr>
          <w:rtl/>
        </w:rPr>
      </w:pPr>
    </w:p>
    <w:p w14:paraId="7F5AF272" w14:textId="77777777" w:rsidR="000B57FA" w:rsidRDefault="00FB5682">
      <w:pPr>
        <w:spacing w:line="360" w:lineRule="auto"/>
        <w:rPr>
          <w:rtl/>
        </w:rPr>
      </w:pPr>
      <w:r>
        <w:rPr>
          <w:rFonts w:hint="cs"/>
          <w:rtl/>
        </w:rPr>
        <w:t>בבואו להתייחס לתסקיר שירות המבחן, הטעים ב"כ המאשימה כי התסקיר הינו תסקיר "שלילי" בשל העובדה כי אין למצוא בו נכונות לקבלת סמכות ומרות טיפול או פנייה לאפיק שיקומי כזה או אחר.</w:t>
      </w:r>
    </w:p>
    <w:p w14:paraId="5F14022A" w14:textId="77777777" w:rsidR="000B57FA" w:rsidRDefault="00FB5682">
      <w:pPr>
        <w:spacing w:line="360" w:lineRule="auto"/>
        <w:rPr>
          <w:rtl/>
        </w:rPr>
      </w:pPr>
      <w:r>
        <w:rPr>
          <w:rFonts w:hint="cs"/>
          <w:rtl/>
        </w:rPr>
        <w:t>עוד נאמר בתסקיר, כי קצין המבחן התרשם ממוטיבציה גבוהה של הנאשם ומגיוס כוחות לכיוון נורמטיבי, וכעת הוא "</w:t>
      </w:r>
      <w:r>
        <w:rPr>
          <w:rFonts w:hint="cs"/>
          <w:b/>
          <w:bCs/>
          <w:rtl/>
        </w:rPr>
        <w:t>נכון לקבל את סמכות הוריו ולפתור את הקונפליקטים איתם</w:t>
      </w:r>
      <w:r>
        <w:rPr>
          <w:rFonts w:hint="cs"/>
          <w:rtl/>
        </w:rPr>
        <w:t>".</w:t>
      </w:r>
    </w:p>
    <w:p w14:paraId="1DA3DDC0" w14:textId="77777777" w:rsidR="000B57FA" w:rsidRDefault="000B57FA">
      <w:pPr>
        <w:spacing w:line="360" w:lineRule="auto"/>
        <w:rPr>
          <w:rtl/>
        </w:rPr>
      </w:pPr>
    </w:p>
    <w:p w14:paraId="327ED615" w14:textId="77777777" w:rsidR="000B57FA" w:rsidRDefault="00FB5682">
      <w:pPr>
        <w:spacing w:line="360" w:lineRule="auto"/>
        <w:rPr>
          <w:rtl/>
        </w:rPr>
      </w:pPr>
      <w:r>
        <w:rPr>
          <w:rFonts w:hint="cs"/>
          <w:rtl/>
        </w:rPr>
        <w:t xml:space="preserve">בסיום דבריו, ביקש ב"כ המאשימה לטעון, כי מתחם הענישה הראוי ניצב בין </w:t>
      </w:r>
      <w:r>
        <w:rPr>
          <w:rFonts w:hint="cs"/>
          <w:b/>
          <w:bCs/>
          <w:rtl/>
        </w:rPr>
        <w:t xml:space="preserve">12-24 </w:t>
      </w:r>
      <w:r>
        <w:rPr>
          <w:rFonts w:hint="cs"/>
          <w:rtl/>
        </w:rPr>
        <w:t xml:space="preserve">חודשי מאסר בפועל וכי יש לבחור בחלקו </w:t>
      </w:r>
      <w:r>
        <w:rPr>
          <w:rFonts w:hint="cs"/>
          <w:b/>
          <w:bCs/>
          <w:rtl/>
        </w:rPr>
        <w:t>התחתון</w:t>
      </w:r>
      <w:r>
        <w:rPr>
          <w:rFonts w:hint="cs"/>
          <w:rtl/>
        </w:rPr>
        <w:t xml:space="preserve"> במקרה דנן, היינו </w:t>
      </w:r>
      <w:r>
        <w:rPr>
          <w:rFonts w:hint="cs"/>
          <w:b/>
          <w:bCs/>
          <w:rtl/>
        </w:rPr>
        <w:t>חמישה עשר</w:t>
      </w:r>
      <w:r>
        <w:rPr>
          <w:rFonts w:hint="cs"/>
          <w:rtl/>
        </w:rPr>
        <w:t xml:space="preserve"> חודשי מאסר בפועל, וכן מאסר מותנה ארוך ומרתיע. הנאשם היה עצור בין המועדים 27.5.13-24.6.13.</w:t>
      </w:r>
    </w:p>
    <w:p w14:paraId="46E7BA78" w14:textId="77777777" w:rsidR="000B57FA" w:rsidRDefault="000B57FA">
      <w:pPr>
        <w:spacing w:line="360" w:lineRule="auto"/>
        <w:rPr>
          <w:rtl/>
        </w:rPr>
      </w:pPr>
    </w:p>
    <w:p w14:paraId="42E97B70" w14:textId="77777777" w:rsidR="000B57FA" w:rsidRDefault="00FB5682">
      <w:pPr>
        <w:spacing w:line="360" w:lineRule="auto"/>
        <w:rPr>
          <w:rtl/>
        </w:rPr>
      </w:pPr>
      <w:r>
        <w:rPr>
          <w:rFonts w:hint="cs"/>
          <w:b/>
          <w:bCs/>
          <w:rtl/>
        </w:rPr>
        <w:t>ב"כ הנאשם</w:t>
      </w:r>
      <w:r>
        <w:rPr>
          <w:rFonts w:hint="cs"/>
          <w:rtl/>
        </w:rPr>
        <w:t xml:space="preserve"> ביקש לציין כי מדובר במעידה חד פעמית והנאשם הינו אדם נורמטיבי וצעיר שעתידו כולו מונח לפניו. כיום, לדבריו הוא "נקי" מסמים, סולד מהם ושיקומו עלה יפה. </w:t>
      </w:r>
    </w:p>
    <w:p w14:paraId="12315C78" w14:textId="77777777" w:rsidR="000B57FA" w:rsidRDefault="00FB5682">
      <w:pPr>
        <w:spacing w:line="360" w:lineRule="auto"/>
        <w:rPr>
          <w:rtl/>
        </w:rPr>
      </w:pPr>
      <w:r>
        <w:rPr>
          <w:rFonts w:hint="cs"/>
          <w:rtl/>
        </w:rPr>
        <w:t>הנאשם ניצל את תקופת מעצר הבית שלו, השקיע מאמצים וממון בלימודיו, ניגש לבחינה הפסיכומטרית, עבר אותה בציון משביע רצון ואף נרשם ללימודי סיעוד באוניברסיטת בן גוריון בבאר שבע.</w:t>
      </w:r>
    </w:p>
    <w:p w14:paraId="0AB526D6" w14:textId="77777777" w:rsidR="000B57FA" w:rsidRDefault="00FB5682">
      <w:pPr>
        <w:spacing w:line="360" w:lineRule="auto"/>
        <w:rPr>
          <w:rtl/>
        </w:rPr>
      </w:pPr>
      <w:r>
        <w:rPr>
          <w:rFonts w:hint="cs"/>
          <w:rtl/>
        </w:rPr>
        <w:t xml:space="preserve">בשל כל אלו, ובשל עברו ונערותו המורכבת כפי שהיא באה לידי ביטוי בתסקיר שירות המבחן,  הוא עותר לעונש של אי הרשעה בשל הנזק שייגרם לו מעונש של מאסר בפועל ובשל העובדה כי אם כך ייעשה, הרי שכל הליך שיקומו יירד לטמיון. </w:t>
      </w:r>
    </w:p>
    <w:p w14:paraId="629F9EE8" w14:textId="77777777" w:rsidR="000B57FA" w:rsidRDefault="00FB5682">
      <w:pPr>
        <w:spacing w:line="360" w:lineRule="auto"/>
        <w:rPr>
          <w:rtl/>
        </w:rPr>
      </w:pPr>
      <w:r>
        <w:rPr>
          <w:rFonts w:hint="cs"/>
          <w:rtl/>
        </w:rPr>
        <w:t>עוד ציין ב"כ הנאשם, כי הרשעתו של הנאשם יש בה כדי לסכל את לימודי הסיעוד אליהם נרשם הנאשם.</w:t>
      </w:r>
    </w:p>
    <w:p w14:paraId="20A008D8" w14:textId="77777777" w:rsidR="000B57FA" w:rsidRDefault="00FB5682">
      <w:pPr>
        <w:spacing w:line="360" w:lineRule="auto"/>
        <w:rPr>
          <w:rtl/>
        </w:rPr>
      </w:pPr>
      <w:r>
        <w:rPr>
          <w:rFonts w:hint="cs"/>
          <w:rtl/>
        </w:rPr>
        <w:t>עוד הצביע בא כוח הנאשם על האחריות אותה הוא נוטל לביצוע העבירה, ומקיומה של מערכת משפחתית מתפקדת שהיא גורם "</w:t>
      </w:r>
      <w:r>
        <w:rPr>
          <w:rFonts w:hint="cs"/>
          <w:b/>
          <w:bCs/>
          <w:rtl/>
        </w:rPr>
        <w:t>תומך ומציב גבולות</w:t>
      </w:r>
      <w:r>
        <w:rPr>
          <w:rFonts w:hint="cs"/>
          <w:rtl/>
        </w:rPr>
        <w:t>".</w:t>
      </w:r>
    </w:p>
    <w:p w14:paraId="368002C9" w14:textId="77777777" w:rsidR="000B57FA" w:rsidRDefault="000B57FA">
      <w:pPr>
        <w:spacing w:line="360" w:lineRule="auto"/>
        <w:rPr>
          <w:rtl/>
        </w:rPr>
      </w:pPr>
    </w:p>
    <w:p w14:paraId="67F7BB53" w14:textId="77777777" w:rsidR="000B57FA" w:rsidRDefault="00FB5682">
      <w:pPr>
        <w:spacing w:line="360" w:lineRule="auto"/>
        <w:rPr>
          <w:rtl/>
        </w:rPr>
      </w:pPr>
      <w:r>
        <w:rPr>
          <w:rFonts w:hint="cs"/>
          <w:rtl/>
        </w:rPr>
        <w:t>הנאשם בדברו האחרון הביע חרטה על הטעות שעשה, וביקש את רחמי בית המשפט.</w:t>
      </w:r>
    </w:p>
    <w:p w14:paraId="25DA44FB" w14:textId="77777777" w:rsidR="000B57FA" w:rsidRDefault="000B57FA">
      <w:pPr>
        <w:spacing w:line="360" w:lineRule="auto"/>
        <w:rPr>
          <w:b/>
          <w:bCs/>
          <w:u w:val="single"/>
          <w:rtl/>
        </w:rPr>
      </w:pPr>
    </w:p>
    <w:p w14:paraId="41952541" w14:textId="77777777" w:rsidR="000B57FA" w:rsidRDefault="00FB5682">
      <w:pPr>
        <w:spacing w:line="360" w:lineRule="auto"/>
        <w:rPr>
          <w:b/>
          <w:bCs/>
          <w:u w:val="single"/>
          <w:rtl/>
        </w:rPr>
      </w:pPr>
      <w:r>
        <w:rPr>
          <w:rFonts w:hint="cs"/>
          <w:b/>
          <w:bCs/>
          <w:u w:val="single"/>
          <w:rtl/>
        </w:rPr>
        <w:t>דיון והכרעה- מתחם הענישה ההולם</w:t>
      </w:r>
    </w:p>
    <w:p w14:paraId="11C300D0" w14:textId="77777777" w:rsidR="000B57FA" w:rsidRDefault="000B57FA">
      <w:pPr>
        <w:spacing w:line="360" w:lineRule="auto"/>
        <w:rPr>
          <w:rtl/>
        </w:rPr>
      </w:pPr>
    </w:p>
    <w:p w14:paraId="0102E902" w14:textId="77777777" w:rsidR="000B57FA" w:rsidRDefault="00FB5682">
      <w:pPr>
        <w:spacing w:line="360" w:lineRule="auto"/>
        <w:rPr>
          <w:rtl/>
        </w:rPr>
      </w:pPr>
      <w:r>
        <w:rPr>
          <w:rFonts w:hint="cs"/>
          <w:rtl/>
        </w:rPr>
        <w:t>העבירות אותן ביצע הנאשם חמורות,  נפוצותן רבה ופגיעתן קשה ביותר. קלות ביצוען של עבירות מסוג זה והרווח הכספי הנובע מהן, מחייבות תגובה עונשית הולמת.</w:t>
      </w:r>
    </w:p>
    <w:p w14:paraId="67B1A31A" w14:textId="77777777" w:rsidR="000B57FA" w:rsidRDefault="000B57FA">
      <w:pPr>
        <w:spacing w:line="360" w:lineRule="auto"/>
        <w:rPr>
          <w:rtl/>
        </w:rPr>
      </w:pPr>
    </w:p>
    <w:p w14:paraId="24CB1130" w14:textId="77777777" w:rsidR="000B57FA" w:rsidRDefault="00FB5682">
      <w:pPr>
        <w:spacing w:line="360" w:lineRule="auto"/>
        <w:rPr>
          <w:rtl/>
        </w:rPr>
      </w:pPr>
      <w:r>
        <w:rPr>
          <w:rFonts w:hint="cs"/>
          <w:rtl/>
        </w:rPr>
        <w:lastRenderedPageBreak/>
        <w:t>נסיבותיה של העבירה אותה ביצע הנאשם עומדות לחובתו ואינן מביאות להקלה בעונשו. תומך אני בגישת ב"כ המאשימה כי כמות הסם שנמכרה וצורת ניהול העסקה תוך שימוש ב"שפת הסחר" המקובלת בכגון דא, מוליכות למסקנה כי בפנינו אדם המתהלך בשוק הסמים כבקיא ורגיל בו.</w:t>
      </w:r>
    </w:p>
    <w:p w14:paraId="1D5F1D3B" w14:textId="77777777" w:rsidR="000B57FA" w:rsidRDefault="000B57FA">
      <w:pPr>
        <w:spacing w:line="360" w:lineRule="auto"/>
        <w:rPr>
          <w:rtl/>
        </w:rPr>
      </w:pPr>
    </w:p>
    <w:p w14:paraId="64F11C26" w14:textId="77777777" w:rsidR="000B57FA" w:rsidRDefault="00FB5682">
      <w:pPr>
        <w:spacing w:line="360" w:lineRule="auto"/>
        <w:rPr>
          <w:rtl/>
        </w:rPr>
      </w:pPr>
      <w:r>
        <w:rPr>
          <w:rFonts w:hint="cs"/>
          <w:rtl/>
        </w:rPr>
        <w:t xml:space="preserve">בשל ערך מוגן זה, נסיבות העבירה והפסיקה הנוהגת, אני סבור כי מתחם הענישה ההולם צריך שיעמוד על </w:t>
      </w:r>
      <w:r>
        <w:rPr>
          <w:rFonts w:hint="cs"/>
          <w:b/>
          <w:bCs/>
          <w:rtl/>
        </w:rPr>
        <w:t>מאסר בפועל שירוצה בעבודות שירות ועד למאסר בפועל בן 15 חודשי מאסר בפועל ממש .</w:t>
      </w:r>
    </w:p>
    <w:p w14:paraId="10D1D518" w14:textId="77777777" w:rsidR="000B57FA" w:rsidRDefault="000B57FA">
      <w:pPr>
        <w:spacing w:line="360" w:lineRule="auto"/>
        <w:rPr>
          <w:rtl/>
        </w:rPr>
      </w:pPr>
    </w:p>
    <w:p w14:paraId="5CE8B3C9" w14:textId="77777777" w:rsidR="000B57FA" w:rsidRDefault="00FB5682">
      <w:pPr>
        <w:spacing w:line="360" w:lineRule="auto"/>
        <w:rPr>
          <w:b/>
          <w:bCs/>
          <w:rtl/>
        </w:rPr>
      </w:pPr>
      <w:r>
        <w:rPr>
          <w:rFonts w:hint="cs"/>
          <w:b/>
          <w:bCs/>
          <w:rtl/>
        </w:rPr>
        <w:t>עד כאן ה"מעשה", ומכאן ואילך – ה"עושה".</w:t>
      </w:r>
    </w:p>
    <w:p w14:paraId="66461D74" w14:textId="77777777" w:rsidR="000B57FA" w:rsidRDefault="000B57FA">
      <w:pPr>
        <w:spacing w:line="360" w:lineRule="auto"/>
        <w:rPr>
          <w:b/>
          <w:bCs/>
          <w:rtl/>
        </w:rPr>
      </w:pPr>
    </w:p>
    <w:p w14:paraId="2AE4D983" w14:textId="77777777" w:rsidR="000B57FA" w:rsidRDefault="000B57FA">
      <w:pPr>
        <w:spacing w:line="360" w:lineRule="auto"/>
        <w:rPr>
          <w:b/>
          <w:bCs/>
          <w:u w:val="single"/>
          <w:rtl/>
        </w:rPr>
      </w:pPr>
    </w:p>
    <w:p w14:paraId="28793F6C" w14:textId="77777777" w:rsidR="000B57FA" w:rsidRDefault="000B57FA">
      <w:pPr>
        <w:spacing w:line="360" w:lineRule="auto"/>
        <w:rPr>
          <w:b/>
          <w:bCs/>
          <w:u w:val="single"/>
          <w:rtl/>
        </w:rPr>
      </w:pPr>
    </w:p>
    <w:p w14:paraId="4E82DAFD" w14:textId="77777777" w:rsidR="000B57FA" w:rsidRDefault="000B57FA">
      <w:pPr>
        <w:spacing w:line="360" w:lineRule="auto"/>
        <w:rPr>
          <w:b/>
          <w:bCs/>
          <w:u w:val="single"/>
          <w:rtl/>
        </w:rPr>
      </w:pPr>
    </w:p>
    <w:p w14:paraId="0D180410" w14:textId="77777777" w:rsidR="000B57FA" w:rsidRDefault="00FB5682">
      <w:pPr>
        <w:spacing w:line="360" w:lineRule="auto"/>
        <w:rPr>
          <w:b/>
          <w:bCs/>
          <w:u w:val="single"/>
          <w:rtl/>
        </w:rPr>
      </w:pPr>
      <w:r>
        <w:rPr>
          <w:rFonts w:hint="cs"/>
          <w:b/>
          <w:bCs/>
          <w:u w:val="single"/>
          <w:rtl/>
        </w:rPr>
        <w:t>העונש הראוי</w:t>
      </w:r>
    </w:p>
    <w:p w14:paraId="6D609FB8" w14:textId="77777777" w:rsidR="000B57FA" w:rsidRDefault="000B57FA">
      <w:pPr>
        <w:spacing w:line="360" w:lineRule="auto"/>
        <w:rPr>
          <w:rtl/>
        </w:rPr>
      </w:pPr>
    </w:p>
    <w:p w14:paraId="2EDC41BE" w14:textId="77777777" w:rsidR="000B57FA" w:rsidRDefault="00FB5682">
      <w:pPr>
        <w:spacing w:line="360" w:lineRule="auto"/>
        <w:rPr>
          <w:rtl/>
        </w:rPr>
      </w:pPr>
      <w:r>
        <w:rPr>
          <w:rFonts w:hint="cs"/>
          <w:rtl/>
        </w:rPr>
        <w:t>הנאשם, יליד שנת 1993,  בן 21 שנים,  ועברו נקי ונטול הרשעות קודמות.</w:t>
      </w:r>
    </w:p>
    <w:p w14:paraId="52D2DF14" w14:textId="77777777" w:rsidR="000B57FA" w:rsidRDefault="000B57FA">
      <w:pPr>
        <w:spacing w:line="360" w:lineRule="auto"/>
        <w:rPr>
          <w:rtl/>
        </w:rPr>
      </w:pPr>
    </w:p>
    <w:p w14:paraId="7EC4DFEC" w14:textId="77777777" w:rsidR="000B57FA" w:rsidRDefault="00FB5682">
      <w:pPr>
        <w:spacing w:line="360" w:lineRule="auto"/>
        <w:rPr>
          <w:rtl/>
        </w:rPr>
      </w:pPr>
      <w:r>
        <w:rPr>
          <w:rFonts w:hint="cs"/>
          <w:rtl/>
        </w:rPr>
        <w:t>חלקו של הנאשם בביצוע העבירה הוא הכרחי, דומיננטי וסגולי, הנזק מביצוע העבירה גדול ורחב והמניע לעבירה הינו ממוני. כל אלו עומדים לחובתו של הנאשם.</w:t>
      </w:r>
    </w:p>
    <w:p w14:paraId="61CF62E2" w14:textId="77777777" w:rsidR="000B57FA" w:rsidRDefault="000B57FA">
      <w:pPr>
        <w:spacing w:line="360" w:lineRule="auto"/>
        <w:rPr>
          <w:rtl/>
        </w:rPr>
      </w:pPr>
    </w:p>
    <w:p w14:paraId="6C116592" w14:textId="77777777" w:rsidR="000B57FA" w:rsidRDefault="00FB5682">
      <w:pPr>
        <w:spacing w:line="360" w:lineRule="auto"/>
        <w:rPr>
          <w:rtl/>
        </w:rPr>
      </w:pPr>
      <w:r>
        <w:rPr>
          <w:rFonts w:hint="cs"/>
          <w:rtl/>
        </w:rPr>
        <w:t xml:space="preserve">מנגד לא אתעלם מגילו הצעיר, ונטילת האחריות על מעשיו בפני קצינת המבחן בבחינת "מוטב מאוחר מאשר לעולם לא". </w:t>
      </w:r>
    </w:p>
    <w:p w14:paraId="72727A56" w14:textId="77777777" w:rsidR="000B57FA" w:rsidRDefault="00FB5682">
      <w:pPr>
        <w:spacing w:line="360" w:lineRule="auto"/>
        <w:rPr>
          <w:rtl/>
        </w:rPr>
      </w:pPr>
      <w:r>
        <w:rPr>
          <w:rFonts w:hint="cs"/>
          <w:rtl/>
        </w:rPr>
        <w:t>המהפך שביצע הנאשם בחייו, השקעתו המרובה בלימודים והסימנים אותם הוא מראה בכיוונם של לימודים אקדמיים וחיים נורמטיביים,  יש בו כדי להמתיק את עונשו במידת מה בשל ההבטחה הטמונה בצעד זה, הבטחה שיש בה צעידה משותפת לקראת דרך חדשה שאינה עבריינית ואין בה זכר לסמים מסוכנים ולשכמותם.</w:t>
      </w:r>
    </w:p>
    <w:p w14:paraId="2CCC2F74" w14:textId="77777777" w:rsidR="000B57FA" w:rsidRDefault="00FB5682">
      <w:pPr>
        <w:spacing w:line="360" w:lineRule="auto"/>
        <w:rPr>
          <w:rtl/>
        </w:rPr>
      </w:pPr>
      <w:r>
        <w:rPr>
          <w:rFonts w:hint="cs"/>
          <w:rtl/>
        </w:rPr>
        <w:t>הנאשם מצוי בעיצומו של אפיק טיפולי, ולדברי מדריכיו ובני משפחתו הוא עובר שינויים חיוביים ומהותיים, בין היתר, בגין ההליך המשפטי התלוי ועומד כנגדו.</w:t>
      </w:r>
    </w:p>
    <w:p w14:paraId="30453282" w14:textId="77777777" w:rsidR="000B57FA" w:rsidRDefault="000B57FA">
      <w:pPr>
        <w:spacing w:line="360" w:lineRule="auto"/>
        <w:rPr>
          <w:rtl/>
        </w:rPr>
      </w:pPr>
    </w:p>
    <w:p w14:paraId="69AF75FF" w14:textId="77777777" w:rsidR="000B57FA" w:rsidRDefault="00FB5682">
      <w:pPr>
        <w:spacing w:line="360" w:lineRule="auto"/>
        <w:rPr>
          <w:rtl/>
        </w:rPr>
      </w:pPr>
      <w:r>
        <w:rPr>
          <w:rFonts w:hint="cs"/>
          <w:rtl/>
        </w:rPr>
        <w:t>קצינת המבחן אינה באה בהמלצה חד משמעית שלא להרשיעו בדין, וזאת בשל חומרת העבירה המיוחסת לנאשם, ומאידך המלצתה היא לעונש של מאסר שירוצה בעבודות שירות יחד עם צו פיקוח לשנה תוך מעקב אחר מצבו ושילובו בקבוצה טיפולית.</w:t>
      </w:r>
    </w:p>
    <w:p w14:paraId="0B4EB080" w14:textId="77777777" w:rsidR="000B57FA" w:rsidRDefault="000B57FA">
      <w:pPr>
        <w:spacing w:line="360" w:lineRule="auto"/>
        <w:rPr>
          <w:rtl/>
        </w:rPr>
      </w:pPr>
    </w:p>
    <w:p w14:paraId="64D5D173" w14:textId="77777777" w:rsidR="000B57FA" w:rsidRDefault="00FB5682">
      <w:pPr>
        <w:spacing w:line="360" w:lineRule="auto"/>
      </w:pPr>
      <w:r>
        <w:rPr>
          <w:rFonts w:hint="cs"/>
          <w:rtl/>
        </w:rPr>
        <w:t xml:space="preserve">הערך המוגן בעניין זה הוא ברור ובהיר כפי שפירטתיו לעיל, ונסיבות העבירה חמורות הן. </w:t>
      </w:r>
    </w:p>
    <w:p w14:paraId="79D11665" w14:textId="77777777" w:rsidR="000B57FA" w:rsidRDefault="00FB5682">
      <w:pPr>
        <w:spacing w:line="360" w:lineRule="auto"/>
        <w:rPr>
          <w:rtl/>
        </w:rPr>
      </w:pPr>
      <w:r>
        <w:rPr>
          <w:rFonts w:hint="cs"/>
          <w:rtl/>
        </w:rPr>
        <w:t>בנסיבות אלו, הרשעה הינה בלתי נמנעת, וכך אני קובע.</w:t>
      </w:r>
    </w:p>
    <w:p w14:paraId="655516ED" w14:textId="77777777" w:rsidR="000B57FA" w:rsidRDefault="000B57FA">
      <w:pPr>
        <w:spacing w:line="360" w:lineRule="auto"/>
        <w:rPr>
          <w:rtl/>
        </w:rPr>
      </w:pPr>
    </w:p>
    <w:p w14:paraId="0C5D7438" w14:textId="77777777" w:rsidR="000B57FA" w:rsidRDefault="00FB5682">
      <w:pPr>
        <w:spacing w:line="360" w:lineRule="auto"/>
        <w:rPr>
          <w:rFonts w:eastAsia="Calibri"/>
          <w:rtl/>
        </w:rPr>
      </w:pPr>
      <w:r>
        <w:rPr>
          <w:rFonts w:eastAsia="Calibri" w:hint="cs"/>
          <w:rtl/>
        </w:rPr>
        <w:t xml:space="preserve">ובכל הכרוך בעבודה בסיעוד בבתי חולים נקבע על פי </w:t>
      </w:r>
      <w:hyperlink r:id="rId18" w:history="1">
        <w:r w:rsidR="00CE3FB7" w:rsidRPr="00CE3FB7">
          <w:rPr>
            <w:rFonts w:eastAsia="Calibri"/>
            <w:color w:val="0000FF"/>
            <w:u w:val="single"/>
            <w:rtl/>
          </w:rPr>
          <w:t>סעיף 5</w:t>
        </w:r>
      </w:hyperlink>
      <w:r>
        <w:rPr>
          <w:rFonts w:eastAsia="Calibri" w:hint="cs"/>
          <w:rtl/>
        </w:rPr>
        <w:t xml:space="preserve"> ל</w:t>
      </w:r>
      <w:hyperlink r:id="rId19" w:history="1">
        <w:r w:rsidRPr="00FB5682">
          <w:rPr>
            <w:rFonts w:eastAsia="Calibri"/>
            <w:color w:val="0000FF"/>
            <w:u w:val="single"/>
            <w:rtl/>
          </w:rPr>
          <w:t>תקנות בריאות העם (עוסקים בסיעוד בבתי חולים)</w:t>
        </w:r>
      </w:hyperlink>
      <w:r>
        <w:rPr>
          <w:rFonts w:eastAsia="Calibri" w:hint="cs"/>
          <w:rtl/>
        </w:rPr>
        <w:t>, התשמ"ט - 1988 נקבע כי: "</w:t>
      </w:r>
      <w:r>
        <w:rPr>
          <w:rFonts w:eastAsia="Calibri" w:hint="cs"/>
          <w:b/>
          <w:bCs/>
          <w:rtl/>
        </w:rPr>
        <w:t>זכאי להיות רשום בפנקס...וכי לא הורשע בעבירה שדינה מאסר שיש בה, לדעת האחות הראשית כדי למנוע עיסוק בסיעוד...</w:t>
      </w:r>
      <w:r>
        <w:rPr>
          <w:rFonts w:eastAsia="Calibri" w:hint="cs"/>
          <w:rtl/>
        </w:rPr>
        <w:t>".</w:t>
      </w:r>
    </w:p>
    <w:p w14:paraId="78402DF4" w14:textId="77777777" w:rsidR="000B57FA" w:rsidRDefault="00FB5682">
      <w:pPr>
        <w:spacing w:line="360" w:lineRule="auto"/>
        <w:rPr>
          <w:rFonts w:eastAsia="Calibri"/>
          <w:rtl/>
        </w:rPr>
      </w:pPr>
      <w:r>
        <w:rPr>
          <w:rFonts w:eastAsia="Calibri" w:hint="cs"/>
          <w:rtl/>
        </w:rPr>
        <w:t xml:space="preserve"> </w:t>
      </w:r>
    </w:p>
    <w:p w14:paraId="512FF0E3" w14:textId="77777777" w:rsidR="000B57FA" w:rsidRDefault="00FB5682">
      <w:pPr>
        <w:spacing w:line="360" w:lineRule="auto"/>
        <w:rPr>
          <w:rFonts w:eastAsia="Calibri"/>
          <w:rtl/>
        </w:rPr>
      </w:pPr>
      <w:r>
        <w:rPr>
          <w:rFonts w:eastAsia="Calibri" w:hint="cs"/>
          <w:rtl/>
        </w:rPr>
        <w:t xml:space="preserve">מדברי חיקוק אלו עולה, כי ההרשעה אינה מחסום אוטומטי בפני המעוניין לעסוק בסיעוד, אלא הדבר מסור לשיקול דעתם של הפקידים הממונים (האחות הראשית ו/או ה"מנהל" הוא מנכ"ל משרד הבריאות כהגדרתו בתקנות). </w:t>
      </w:r>
    </w:p>
    <w:p w14:paraId="3739090F" w14:textId="77777777" w:rsidR="000B57FA" w:rsidRDefault="000B57FA">
      <w:pPr>
        <w:spacing w:line="360" w:lineRule="auto"/>
        <w:rPr>
          <w:rFonts w:eastAsia="Calibri"/>
          <w:rtl/>
        </w:rPr>
      </w:pPr>
    </w:p>
    <w:p w14:paraId="221D6110" w14:textId="77777777" w:rsidR="000B57FA" w:rsidRDefault="00FB5682">
      <w:pPr>
        <w:spacing w:line="360" w:lineRule="auto"/>
        <w:rPr>
          <w:rFonts w:eastAsia="Calibri"/>
          <w:rtl/>
        </w:rPr>
      </w:pPr>
      <w:r>
        <w:rPr>
          <w:rFonts w:eastAsia="Calibri" w:hint="cs"/>
          <w:rtl/>
        </w:rPr>
        <w:t xml:space="preserve">בכל הכרוך בעבודה בסיעוד במרפאות, על פי </w:t>
      </w:r>
      <w:hyperlink r:id="rId20" w:history="1">
        <w:r w:rsidR="00CE3FB7" w:rsidRPr="00CE3FB7">
          <w:rPr>
            <w:rFonts w:eastAsia="Calibri"/>
            <w:color w:val="0000FF"/>
            <w:u w:val="single"/>
            <w:rtl/>
          </w:rPr>
          <w:t>סעיף 11</w:t>
        </w:r>
      </w:hyperlink>
      <w:r>
        <w:rPr>
          <w:rFonts w:eastAsia="Calibri" w:hint="cs"/>
          <w:rtl/>
        </w:rPr>
        <w:t xml:space="preserve"> ל</w:t>
      </w:r>
      <w:hyperlink r:id="rId21" w:history="1">
        <w:r w:rsidRPr="00FB5682">
          <w:rPr>
            <w:rFonts w:eastAsia="Calibri"/>
            <w:color w:val="0000FF"/>
            <w:u w:val="single"/>
            <w:rtl/>
          </w:rPr>
          <w:t>תקנות בריאות העם (צוות סיעודי במרפאות)</w:t>
        </w:r>
      </w:hyperlink>
      <w:r>
        <w:rPr>
          <w:rFonts w:eastAsia="Calibri" w:hint="cs"/>
          <w:rtl/>
        </w:rPr>
        <w:t>, התשמ"א 1981 נקבע כי:</w:t>
      </w:r>
    </w:p>
    <w:p w14:paraId="5C2169C5" w14:textId="77777777" w:rsidR="000B57FA" w:rsidRDefault="00FB5682">
      <w:pPr>
        <w:spacing w:line="360" w:lineRule="auto"/>
        <w:rPr>
          <w:rFonts w:eastAsia="Calibri"/>
          <w:rtl/>
        </w:rPr>
      </w:pPr>
      <w:r>
        <w:rPr>
          <w:rFonts w:eastAsia="Calibri" w:hint="cs"/>
          <w:rtl/>
        </w:rPr>
        <w:t xml:space="preserve"> </w:t>
      </w:r>
    </w:p>
    <w:p w14:paraId="08E384EF" w14:textId="77777777" w:rsidR="000B57FA" w:rsidRDefault="00FB5682">
      <w:pPr>
        <w:spacing w:line="360" w:lineRule="auto"/>
        <w:rPr>
          <w:rFonts w:eastAsia="Calibri"/>
          <w:rtl/>
        </w:rPr>
      </w:pPr>
      <w:r>
        <w:rPr>
          <w:rFonts w:eastAsia="Calibri" w:hint="cs"/>
          <w:rtl/>
        </w:rPr>
        <w:t>"</w:t>
      </w:r>
      <w:r>
        <w:rPr>
          <w:rFonts w:eastAsia="Calibri" w:hint="cs"/>
          <w:b/>
          <w:bCs/>
          <w:rtl/>
        </w:rPr>
        <w:t xml:space="preserve">המנהל </w:t>
      </w:r>
      <w:r>
        <w:rPr>
          <w:rFonts w:eastAsia="Calibri" w:hint="cs"/>
          <w:rtl/>
        </w:rPr>
        <w:t>(מנכ"ל משרד הבריאות או מי מטעמו - ש.ה.)</w:t>
      </w:r>
      <w:r>
        <w:rPr>
          <w:rFonts w:eastAsia="Calibri" w:hint="cs"/>
          <w:b/>
          <w:bCs/>
          <w:rtl/>
        </w:rPr>
        <w:t xml:space="preserve"> רשאי להורות שלא לרשום בפנקס אדם...אם המבקש הורשע בעבירה שיש עימה קלון או שיש בה כדי להראות שהוא חסר האחריות הדרושה לעיסוק בסיעוד, וטרם חלפו עשר שנים אחרי שריצה את עונשו או אחרי שנסתיימה תקופת התנאי לפי סעיף 52(ב) ל</w:t>
      </w:r>
      <w:hyperlink r:id="rId22" w:history="1">
        <w:r w:rsidRPr="00FB5682">
          <w:rPr>
            <w:rFonts w:eastAsia="Calibri"/>
            <w:b/>
            <w:bCs/>
            <w:color w:val="0000FF"/>
            <w:u w:val="single"/>
            <w:rtl/>
          </w:rPr>
          <w:t>חוק העונשין</w:t>
        </w:r>
      </w:hyperlink>
      <w:r>
        <w:rPr>
          <w:rFonts w:eastAsia="Calibri" w:hint="cs"/>
          <w:b/>
          <w:bCs/>
          <w:rtl/>
        </w:rPr>
        <w:t>, התשל"ז- 1977, הכל לפי העניין והמאוחר יותר...</w:t>
      </w:r>
      <w:r>
        <w:rPr>
          <w:rFonts w:eastAsia="Calibri" w:hint="cs"/>
          <w:rtl/>
        </w:rPr>
        <w:t>"</w:t>
      </w:r>
    </w:p>
    <w:p w14:paraId="1B6F7A8D" w14:textId="77777777" w:rsidR="000B57FA" w:rsidRDefault="00FB5682">
      <w:pPr>
        <w:spacing w:line="360" w:lineRule="auto"/>
        <w:rPr>
          <w:rtl/>
        </w:rPr>
      </w:pPr>
      <w:r>
        <w:rPr>
          <w:rFonts w:hint="cs"/>
          <w:rtl/>
        </w:rPr>
        <w:t xml:space="preserve"> </w:t>
      </w:r>
      <w:r>
        <w:rPr>
          <w:rFonts w:hint="cs"/>
          <w:b/>
          <w:bCs/>
          <w:rtl/>
        </w:rPr>
        <w:t>בהלכת כתב</w:t>
      </w:r>
      <w:r>
        <w:rPr>
          <w:rFonts w:hint="cs"/>
          <w:rtl/>
        </w:rPr>
        <w:t xml:space="preserve"> (ראו </w:t>
      </w:r>
      <w:hyperlink r:id="rId23" w:history="1">
        <w:r w:rsidRPr="00FB5682">
          <w:rPr>
            <w:color w:val="0000FF"/>
            <w:u w:val="single"/>
            <w:rtl/>
          </w:rPr>
          <w:t>ע"פ 2083/96 תמר כתב נ' מדינת ישראל פ"ד נב</w:t>
        </w:r>
      </w:hyperlink>
      <w:r>
        <w:rPr>
          <w:rFonts w:hint="cs"/>
          <w:rtl/>
        </w:rPr>
        <w:t>(3), 337, 342, 344) נקבע כי:</w:t>
      </w:r>
    </w:p>
    <w:p w14:paraId="1EBD2FC4" w14:textId="77777777" w:rsidR="000B57FA" w:rsidRDefault="00FB5682">
      <w:pPr>
        <w:spacing w:line="360" w:lineRule="auto"/>
        <w:rPr>
          <w:b/>
          <w:bCs/>
          <w:rtl/>
        </w:rPr>
      </w:pPr>
      <w:r>
        <w:rPr>
          <w:rFonts w:hint="cs"/>
          <w:rtl/>
        </w:rPr>
        <w:t>"</w:t>
      </w:r>
      <w:r>
        <w:rPr>
          <w:rFonts w:hint="cs"/>
          <w:b/>
          <w:bCs/>
          <w:rtl/>
        </w:rPr>
        <w:t>הכלל הוא כי להרשיע נאשם שעבר עבירה, ומי שטוען ההיפך, שומה עליו לשכנע את בית המשפט, ששיקולי השיקום גוברים במקרה האינדיווידואלי על השיקולים שבאינטרס הציבורי"</w:t>
      </w:r>
    </w:p>
    <w:p w14:paraId="5ADE430D" w14:textId="77777777" w:rsidR="000B57FA" w:rsidRDefault="000B57FA">
      <w:pPr>
        <w:spacing w:line="360" w:lineRule="auto"/>
        <w:rPr>
          <w:rtl/>
        </w:rPr>
      </w:pPr>
    </w:p>
    <w:p w14:paraId="1BBF2331" w14:textId="77777777" w:rsidR="000B57FA" w:rsidRDefault="00FB5682">
      <w:pPr>
        <w:spacing w:line="360" w:lineRule="auto"/>
        <w:rPr>
          <w:u w:val="single"/>
          <w:rtl/>
        </w:rPr>
      </w:pPr>
      <w:r>
        <w:rPr>
          <w:rFonts w:hint="cs"/>
          <w:u w:val="single"/>
          <w:rtl/>
        </w:rPr>
        <w:t xml:space="preserve">לטעמי, במקרה דנן, גוברים שיקולי האינטרס הציבורי על השיקולים שבאינטרס הפרטי. </w:t>
      </w:r>
    </w:p>
    <w:p w14:paraId="0EB5BDA2" w14:textId="77777777" w:rsidR="000B57FA" w:rsidRDefault="000B57FA">
      <w:pPr>
        <w:spacing w:line="360" w:lineRule="auto"/>
        <w:rPr>
          <w:rtl/>
        </w:rPr>
      </w:pPr>
    </w:p>
    <w:p w14:paraId="6D38B77B" w14:textId="77777777" w:rsidR="000B57FA" w:rsidRDefault="00FB5682">
      <w:pPr>
        <w:spacing w:line="360" w:lineRule="auto"/>
        <w:rPr>
          <w:rtl/>
        </w:rPr>
      </w:pPr>
      <w:r>
        <w:rPr>
          <w:rFonts w:hint="cs"/>
          <w:rtl/>
        </w:rPr>
        <w:t xml:space="preserve">לכל אלו יוסף, כי מדובר בנאשם שהוא "בגיר צעיר" בעת ביצוע העבירות המיוחסות לו, על כל המשתמש בכך, ויש להביט על מעשיו בעין שונה במקצת מזו המשמשת לגזירת דינם של בגירים מיושבים בדעתם, וזאת בשל העובדה כי דעתם של הבגירים הצעירים נוטה להיות ככזו של הקטינים, לעיתים תזזיתית ולעיתים לא מיושבת, ובכך, כפי שמורה הפסיקה, יש להתחשב בעת גזירת העונש. </w:t>
      </w:r>
    </w:p>
    <w:p w14:paraId="33E3DC66" w14:textId="77777777" w:rsidR="000B57FA" w:rsidRDefault="00FB5682">
      <w:pPr>
        <w:spacing w:line="360" w:lineRule="auto"/>
        <w:rPr>
          <w:rtl/>
        </w:rPr>
      </w:pPr>
      <w:r>
        <w:rPr>
          <w:rFonts w:hint="cs"/>
          <w:rtl/>
        </w:rPr>
        <w:t>הנאשם נמצא מתאים לביצוע עבודות שירות, וככל הנראה, נערכו לו בדיקות שתן מבלי שהתגלו ממצאים שליליים.</w:t>
      </w:r>
    </w:p>
    <w:p w14:paraId="478B127D" w14:textId="77777777" w:rsidR="000B57FA" w:rsidRDefault="00FB5682">
      <w:pPr>
        <w:spacing w:line="360" w:lineRule="auto"/>
        <w:rPr>
          <w:rtl/>
        </w:rPr>
      </w:pPr>
      <w:r>
        <w:rPr>
          <w:rFonts w:hint="cs"/>
          <w:rtl/>
        </w:rPr>
        <w:t>לקולה, אשקול גם את העובדה כי נטל אחריות על מעשיו, הודה בחטאו וחסך מזמנם של הצדדים ומזמנו של בית המשפט.</w:t>
      </w:r>
    </w:p>
    <w:p w14:paraId="3D5132A8" w14:textId="77777777" w:rsidR="000B57FA" w:rsidRDefault="000B57FA">
      <w:pPr>
        <w:spacing w:line="360" w:lineRule="auto"/>
        <w:rPr>
          <w:rtl/>
        </w:rPr>
      </w:pPr>
    </w:p>
    <w:p w14:paraId="6F112A6D" w14:textId="77777777" w:rsidR="000B57FA" w:rsidRDefault="00FB5682">
      <w:pPr>
        <w:spacing w:line="360" w:lineRule="auto"/>
        <w:rPr>
          <w:rtl/>
        </w:rPr>
      </w:pPr>
      <w:r>
        <w:rPr>
          <w:rFonts w:hint="cs"/>
          <w:rtl/>
        </w:rPr>
        <w:t>לאחר ששקלתי את הנימוקים לחומרה ולקולה, ויתר הנתונים הצריכים לעניין, אני גוזר על הנאשם את העונשים הבאים:</w:t>
      </w:r>
    </w:p>
    <w:p w14:paraId="009577CF" w14:textId="77777777" w:rsidR="000B57FA" w:rsidRDefault="000B57FA">
      <w:pPr>
        <w:spacing w:line="360" w:lineRule="auto"/>
        <w:rPr>
          <w:rtl/>
        </w:rPr>
      </w:pPr>
    </w:p>
    <w:p w14:paraId="0121FC5F" w14:textId="77777777" w:rsidR="000B57FA" w:rsidRDefault="00FB5682">
      <w:pPr>
        <w:numPr>
          <w:ilvl w:val="0"/>
          <w:numId w:val="1"/>
        </w:numPr>
        <w:spacing w:line="360" w:lineRule="auto"/>
        <w:rPr>
          <w:b/>
          <w:bCs/>
          <w:rtl/>
        </w:rPr>
      </w:pPr>
      <w:r>
        <w:rPr>
          <w:rFonts w:hint="cs"/>
          <w:b/>
          <w:bCs/>
          <w:rtl/>
        </w:rPr>
        <w:t>שישה חודשי מאסר בפועל שירוצו בעבודות שירות על פי חוות דעתו של הממונה על עבודות השירות ובכפוף לה. הנאשם לא יחל בריצויין של עבודות השירות לפני יום 1.9.14. יובהר, כי ריצויין של עבודות השירות מותנה בבדיקות שתן עיתיות שייערכו לנאשם, ובהיותו "נקי" מסמים מסוכנים.</w:t>
      </w:r>
    </w:p>
    <w:p w14:paraId="0FDB7686" w14:textId="77777777" w:rsidR="000B57FA" w:rsidRDefault="00FB5682">
      <w:pPr>
        <w:numPr>
          <w:ilvl w:val="0"/>
          <w:numId w:val="1"/>
        </w:numPr>
        <w:spacing w:line="360" w:lineRule="auto"/>
        <w:rPr>
          <w:b/>
          <w:bCs/>
          <w:rtl/>
        </w:rPr>
      </w:pPr>
      <w:r>
        <w:rPr>
          <w:rFonts w:hint="cs"/>
          <w:b/>
          <w:bCs/>
          <w:rtl/>
        </w:rPr>
        <w:t>שישה חודשי מאסר אותם לא יירצה אלא אם יעבור עבירה על פי סעיף 13 לפקודת הסמים וזאת למשך 3 שנים מיום מתן גזר הדין.</w:t>
      </w:r>
    </w:p>
    <w:p w14:paraId="715E9F85" w14:textId="77777777" w:rsidR="000B57FA" w:rsidRDefault="00FB5682">
      <w:pPr>
        <w:numPr>
          <w:ilvl w:val="0"/>
          <w:numId w:val="1"/>
        </w:numPr>
        <w:spacing w:line="360" w:lineRule="auto"/>
        <w:rPr>
          <w:b/>
          <w:bCs/>
        </w:rPr>
      </w:pPr>
      <w:r>
        <w:rPr>
          <w:rFonts w:hint="cs"/>
          <w:b/>
          <w:bCs/>
          <w:rtl/>
        </w:rPr>
        <w:t>קנס בסך 7,000 ₪ או 60 ימי מאסר תמורתו. הקנס ישולם עד ליום 1.12.14.</w:t>
      </w:r>
    </w:p>
    <w:p w14:paraId="561AA2A5" w14:textId="77777777" w:rsidR="000B57FA" w:rsidRDefault="00FB5682">
      <w:pPr>
        <w:numPr>
          <w:ilvl w:val="0"/>
          <w:numId w:val="1"/>
        </w:numPr>
        <w:spacing w:line="360" w:lineRule="auto"/>
        <w:rPr>
          <w:b/>
          <w:bCs/>
        </w:rPr>
      </w:pPr>
      <w:r>
        <w:rPr>
          <w:rFonts w:hint="cs"/>
          <w:b/>
          <w:bCs/>
          <w:rtl/>
        </w:rPr>
        <w:t>צו מבחן לשנה.</w:t>
      </w:r>
    </w:p>
    <w:p w14:paraId="56DE76C5" w14:textId="77777777" w:rsidR="000B57FA" w:rsidRDefault="00FB5682">
      <w:pPr>
        <w:numPr>
          <w:ilvl w:val="0"/>
          <w:numId w:val="1"/>
        </w:numPr>
        <w:spacing w:line="360" w:lineRule="auto"/>
        <w:rPr>
          <w:b/>
          <w:bCs/>
        </w:rPr>
      </w:pPr>
      <w:r>
        <w:rPr>
          <w:rFonts w:hint="cs"/>
          <w:b/>
          <w:bCs/>
          <w:rtl/>
        </w:rPr>
        <w:t>המוצגים יחלטו ו/או יושמדו לפי חוות דעתו של רשם המוצגים.</w:t>
      </w:r>
    </w:p>
    <w:p w14:paraId="2F7F53CF" w14:textId="77777777" w:rsidR="000B57FA" w:rsidRDefault="000B57FA">
      <w:pPr>
        <w:spacing w:line="360" w:lineRule="auto"/>
      </w:pPr>
    </w:p>
    <w:p w14:paraId="42BF09C9" w14:textId="77777777" w:rsidR="000B57FA" w:rsidRDefault="00FB5682">
      <w:pPr>
        <w:spacing w:line="360" w:lineRule="auto"/>
        <w:ind w:left="360"/>
        <w:rPr>
          <w:rtl/>
        </w:rPr>
      </w:pPr>
      <w:r>
        <w:rPr>
          <w:rFonts w:hint="cs"/>
          <w:rtl/>
        </w:rPr>
        <w:t>ניתן והודע במעמד ב"כ המאשימה, ב"כ הנאשם והנאשם בעצמו.</w:t>
      </w:r>
    </w:p>
    <w:p w14:paraId="35E738D7" w14:textId="77777777" w:rsidR="000B57FA" w:rsidRDefault="000B57FA">
      <w:pPr>
        <w:spacing w:line="360" w:lineRule="auto"/>
        <w:ind w:left="360"/>
        <w:rPr>
          <w:rtl/>
        </w:rPr>
      </w:pPr>
    </w:p>
    <w:p w14:paraId="027C5B43" w14:textId="77777777" w:rsidR="000B57FA" w:rsidRDefault="00FB5682">
      <w:pPr>
        <w:spacing w:line="360" w:lineRule="auto"/>
        <w:ind w:left="360"/>
        <w:rPr>
          <w:rtl/>
        </w:rPr>
      </w:pPr>
      <w:r>
        <w:rPr>
          <w:rFonts w:hint="cs"/>
          <w:rtl/>
        </w:rPr>
        <w:t>זכות ערעור לבית המשפט המחוזי תוך 45 יום.</w:t>
      </w:r>
    </w:p>
    <w:p w14:paraId="77C5D3EE" w14:textId="77777777" w:rsidR="000B57FA" w:rsidRDefault="000B57FA">
      <w:pPr>
        <w:rPr>
          <w:rFonts w:cs="Times New Roman"/>
          <w:rtl/>
        </w:rPr>
      </w:pPr>
    </w:p>
    <w:p w14:paraId="7B605350" w14:textId="77777777" w:rsidR="000B57FA" w:rsidRDefault="000B57FA">
      <w:pPr>
        <w:rPr>
          <w:rtl/>
        </w:rPr>
      </w:pPr>
      <w:bookmarkStart w:id="7" w:name="_GoBack"/>
      <w:bookmarkEnd w:id="7"/>
    </w:p>
    <w:p w14:paraId="39690C97" w14:textId="77777777" w:rsidR="000B57FA" w:rsidRDefault="000B57FA">
      <w:pPr>
        <w:rPr>
          <w:rtl/>
        </w:rPr>
      </w:pPr>
    </w:p>
    <w:p w14:paraId="0E14BF52" w14:textId="77777777" w:rsidR="000B57FA" w:rsidRPr="00FB5682" w:rsidRDefault="00FB5682">
      <w:pPr>
        <w:rPr>
          <w:color w:val="FFFFFF"/>
          <w:sz w:val="2"/>
          <w:szCs w:val="2"/>
          <w:rtl/>
        </w:rPr>
      </w:pPr>
      <w:r w:rsidRPr="00FB5682">
        <w:rPr>
          <w:color w:val="FFFFFF"/>
          <w:sz w:val="2"/>
          <w:szCs w:val="2"/>
          <w:rtl/>
        </w:rPr>
        <w:t>5129371</w:t>
      </w:r>
    </w:p>
    <w:p w14:paraId="4CFC64AF" w14:textId="77777777" w:rsidR="000B57FA" w:rsidRDefault="00FB5682">
      <w:pPr>
        <w:rPr>
          <w:rFonts w:cs="FrankRuehl"/>
          <w:sz w:val="28"/>
          <w:szCs w:val="28"/>
          <w:rtl/>
        </w:rPr>
      </w:pPr>
      <w:r w:rsidRPr="00FB5682">
        <w:rPr>
          <w:rFonts w:ascii="Arial" w:hAnsi="Arial"/>
          <w:color w:val="FFFFFF"/>
          <w:sz w:val="2"/>
          <w:szCs w:val="2"/>
          <w:rtl/>
        </w:rPr>
        <w:t>54678313</w:t>
      </w:r>
      <w:r>
        <w:rPr>
          <w:rFonts w:ascii="Arial" w:hAnsi="Arial"/>
          <w:rtl/>
        </w:rPr>
        <w:t xml:space="preserve">ניתן היום,  י' תמוז תשע"ד, 08 יולי 2014, בהעדר הצדדים. </w:t>
      </w:r>
    </w:p>
    <w:p w14:paraId="09AF7AC0" w14:textId="77777777" w:rsidR="000B57FA" w:rsidRDefault="00FB5682">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C04BDD1" w14:textId="77777777" w:rsidR="000B57FA" w:rsidRDefault="000B57FA">
      <w:pPr>
        <w:jc w:val="center"/>
        <w:rPr>
          <w:rFonts w:ascii="Arial" w:hAnsi="Arial" w:cs="FrankRuehl"/>
          <w:sz w:val="28"/>
          <w:szCs w:val="28"/>
          <w:rtl/>
        </w:rPr>
      </w:pPr>
    </w:p>
    <w:p w14:paraId="4CF2B8E4" w14:textId="77777777" w:rsidR="000B57FA" w:rsidRDefault="000B57FA">
      <w:pPr>
        <w:rPr>
          <w:rFonts w:cs="FrankRuehl"/>
          <w:sz w:val="28"/>
          <w:szCs w:val="28"/>
          <w:rtl/>
        </w:rPr>
      </w:pPr>
    </w:p>
    <w:p w14:paraId="16ABE4FD" w14:textId="77777777" w:rsidR="000B57FA" w:rsidRDefault="000B57FA">
      <w:pPr>
        <w:pStyle w:val="a3"/>
        <w:jc w:val="center"/>
        <w:rPr>
          <w:rtl/>
        </w:rPr>
      </w:pPr>
    </w:p>
    <w:p w14:paraId="5B7C6F70" w14:textId="77777777" w:rsidR="00FB5682" w:rsidRPr="00FB5682" w:rsidRDefault="00FB5682" w:rsidP="00FB5682">
      <w:pPr>
        <w:keepNext/>
        <w:rPr>
          <w:rFonts w:ascii="David" w:hAnsi="David"/>
          <w:color w:val="000000"/>
          <w:sz w:val="22"/>
          <w:szCs w:val="22"/>
          <w:rtl/>
        </w:rPr>
      </w:pPr>
    </w:p>
    <w:p w14:paraId="4FCBF800" w14:textId="77777777" w:rsidR="00FB5682" w:rsidRPr="00FB5682" w:rsidRDefault="00FB5682" w:rsidP="00FB5682">
      <w:pPr>
        <w:keepNext/>
        <w:rPr>
          <w:rFonts w:ascii="David" w:hAnsi="David"/>
          <w:color w:val="000000"/>
          <w:sz w:val="22"/>
          <w:szCs w:val="22"/>
          <w:rtl/>
        </w:rPr>
      </w:pPr>
      <w:r w:rsidRPr="00FB5682">
        <w:rPr>
          <w:rFonts w:ascii="David" w:hAnsi="David"/>
          <w:color w:val="000000"/>
          <w:sz w:val="22"/>
          <w:szCs w:val="22"/>
          <w:rtl/>
        </w:rPr>
        <w:t>שמואל הרבסט 54678313</w:t>
      </w:r>
    </w:p>
    <w:p w14:paraId="5EF5E972" w14:textId="77777777" w:rsidR="00FB5682" w:rsidRDefault="00FB5682" w:rsidP="00FB5682">
      <w:r w:rsidRPr="00FB5682">
        <w:rPr>
          <w:color w:val="000000"/>
          <w:rtl/>
        </w:rPr>
        <w:t>נוסח מסמך זה כפוף לשינויי ניסוח ועריכה</w:t>
      </w:r>
    </w:p>
    <w:p w14:paraId="1B09A544" w14:textId="77777777" w:rsidR="00FB5682" w:rsidRDefault="00FB5682" w:rsidP="00FB5682">
      <w:pPr>
        <w:rPr>
          <w:rtl/>
        </w:rPr>
      </w:pPr>
    </w:p>
    <w:p w14:paraId="5C15D5ED" w14:textId="77777777" w:rsidR="00FB5682" w:rsidRDefault="00FB5682" w:rsidP="00FB5682">
      <w:pPr>
        <w:jc w:val="center"/>
        <w:rPr>
          <w:color w:val="0000FF"/>
          <w:u w:val="single"/>
        </w:rPr>
      </w:pPr>
      <w:hyperlink r:id="rId24" w:history="1">
        <w:r>
          <w:rPr>
            <w:color w:val="0000FF"/>
            <w:u w:val="single"/>
            <w:rtl/>
          </w:rPr>
          <w:t>בעניין עריכה ושינויים במסמכי פסיקה, חקיקה ועוד באתר נבו – הקש כאן</w:t>
        </w:r>
      </w:hyperlink>
    </w:p>
    <w:p w14:paraId="4CBCD617" w14:textId="77777777" w:rsidR="000B57FA" w:rsidRPr="00FB5682" w:rsidRDefault="000B57FA" w:rsidP="00FB5682">
      <w:pPr>
        <w:jc w:val="center"/>
        <w:rPr>
          <w:color w:val="0000FF"/>
          <w:u w:val="single"/>
        </w:rPr>
      </w:pPr>
    </w:p>
    <w:sectPr w:rsidR="000B57FA" w:rsidRPr="00FB5682" w:rsidSect="00FB5682">
      <w:headerReference w:type="even" r:id="rId25"/>
      <w:headerReference w:type="default" r:id="rId26"/>
      <w:footerReference w:type="even" r:id="rId27"/>
      <w:footerReference w:type="default" r:id="rId2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209D6A" w14:textId="77777777" w:rsidR="00A4202D" w:rsidRPr="00625826" w:rsidRDefault="00A4202D">
      <w:pPr>
        <w:rPr>
          <w:rFonts w:cs="Arial"/>
          <w:szCs w:val="20"/>
        </w:rPr>
      </w:pPr>
      <w:r>
        <w:separator/>
      </w:r>
    </w:p>
  </w:endnote>
  <w:endnote w:type="continuationSeparator" w:id="0">
    <w:p w14:paraId="4B6AB8E4" w14:textId="77777777" w:rsidR="00A4202D" w:rsidRPr="00625826" w:rsidRDefault="00A4202D">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A624B2" w14:textId="77777777" w:rsidR="00FB5682" w:rsidRDefault="00FB5682" w:rsidP="00FB568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CDA8945" w14:textId="77777777" w:rsidR="000B57FA" w:rsidRPr="00FB5682" w:rsidRDefault="00FB5682" w:rsidP="00FB5682">
    <w:pPr>
      <w:pStyle w:val="a4"/>
      <w:pBdr>
        <w:top w:val="single" w:sz="4" w:space="1" w:color="auto"/>
        <w:between w:val="single" w:sz="4" w:space="0" w:color="auto"/>
      </w:pBdr>
      <w:spacing w:after="60"/>
      <w:jc w:val="center"/>
      <w:rPr>
        <w:rFonts w:ascii="FrankRuehl" w:hAnsi="FrankRuehl" w:cs="FrankRuehl"/>
        <w:color w:val="000000"/>
      </w:rPr>
    </w:pPr>
    <w:r w:rsidRPr="00FB568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84F64E" w14:textId="77777777" w:rsidR="00FB5682" w:rsidRDefault="00FB5682" w:rsidP="00FB568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72019">
      <w:rPr>
        <w:rFonts w:ascii="FrankRuehl" w:hAnsi="FrankRuehl" w:cs="FrankRuehl"/>
        <w:noProof/>
        <w:rtl/>
      </w:rPr>
      <w:t>1</w:t>
    </w:r>
    <w:r>
      <w:rPr>
        <w:rFonts w:ascii="FrankRuehl" w:hAnsi="FrankRuehl" w:cs="FrankRuehl"/>
        <w:rtl/>
      </w:rPr>
      <w:fldChar w:fldCharType="end"/>
    </w:r>
  </w:p>
  <w:p w14:paraId="0CE9F990" w14:textId="77777777" w:rsidR="000B57FA" w:rsidRPr="00FB5682" w:rsidRDefault="00FB5682" w:rsidP="00FB5682">
    <w:pPr>
      <w:pStyle w:val="a4"/>
      <w:pBdr>
        <w:top w:val="single" w:sz="4" w:space="1" w:color="auto"/>
        <w:between w:val="single" w:sz="4" w:space="0" w:color="auto"/>
      </w:pBdr>
      <w:spacing w:after="60"/>
      <w:jc w:val="center"/>
      <w:rPr>
        <w:rFonts w:ascii="FrankRuehl" w:hAnsi="FrankRuehl" w:cs="FrankRuehl"/>
        <w:color w:val="000000"/>
      </w:rPr>
    </w:pPr>
    <w:r w:rsidRPr="00FB5682">
      <w:rPr>
        <w:rFonts w:ascii="FrankRuehl" w:hAnsi="FrankRuehl" w:cs="FrankRuehl"/>
        <w:color w:val="000000"/>
      </w:rPr>
      <w:pict w14:anchorId="4A619B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0B7787" w14:textId="77777777" w:rsidR="00A4202D" w:rsidRPr="00625826" w:rsidRDefault="00A4202D">
      <w:pPr>
        <w:rPr>
          <w:rFonts w:cs="Arial"/>
          <w:szCs w:val="20"/>
        </w:rPr>
      </w:pPr>
      <w:r>
        <w:separator/>
      </w:r>
    </w:p>
  </w:footnote>
  <w:footnote w:type="continuationSeparator" w:id="0">
    <w:p w14:paraId="0D62B5A9" w14:textId="77777777" w:rsidR="00A4202D" w:rsidRPr="00625826" w:rsidRDefault="00A4202D">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C5DA2C" w14:textId="77777777" w:rsidR="00FB5682" w:rsidRPr="00FB5682" w:rsidRDefault="00FB5682" w:rsidP="00FB568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56746-05-13</w:t>
    </w:r>
    <w:r>
      <w:rPr>
        <w:rFonts w:ascii="David" w:hAnsi="David"/>
        <w:color w:val="000000"/>
        <w:sz w:val="22"/>
        <w:szCs w:val="22"/>
        <w:rtl/>
      </w:rPr>
      <w:tab/>
      <w:t xml:space="preserve"> מדינת ישראל נ' קאסם עליאן (אחר/נוסף)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2FE89E" w14:textId="77777777" w:rsidR="00FB5682" w:rsidRPr="00FB5682" w:rsidRDefault="00FB5682" w:rsidP="00FB568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56746-05-13</w:t>
    </w:r>
    <w:r>
      <w:rPr>
        <w:rFonts w:ascii="David" w:hAnsi="David"/>
        <w:color w:val="000000"/>
        <w:sz w:val="22"/>
        <w:szCs w:val="22"/>
        <w:rtl/>
      </w:rPr>
      <w:tab/>
      <w:t xml:space="preserve"> מדינת ישראל נ' קאסם עליאן (אחר/נוסף)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D3986"/>
    <w:multiLevelType w:val="hybridMultilevel"/>
    <w:tmpl w:val="E8328E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3021246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B57FA"/>
    <w:rsid w:val="000B57FA"/>
    <w:rsid w:val="00A4202D"/>
    <w:rsid w:val="00B72019"/>
    <w:rsid w:val="00BD4025"/>
    <w:rsid w:val="00CE3FB7"/>
    <w:rsid w:val="00FB5682"/>
    <w:rsid w:val="00FC3F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0AB94F5"/>
  <w15:chartTrackingRefBased/>
  <w15:docId w15:val="{7AA0FC75-BF76-4C1A-8560-74A609ECC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B57FA"/>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0B57FA"/>
    <w:pPr>
      <w:tabs>
        <w:tab w:val="center" w:pos="4153"/>
        <w:tab w:val="right" w:pos="8306"/>
      </w:tabs>
    </w:pPr>
  </w:style>
  <w:style w:type="paragraph" w:styleId="a4">
    <w:name w:val="footer"/>
    <w:basedOn w:val="a"/>
    <w:rsid w:val="000B57FA"/>
    <w:pPr>
      <w:tabs>
        <w:tab w:val="center" w:pos="4153"/>
        <w:tab w:val="right" w:pos="8306"/>
      </w:tabs>
    </w:pPr>
  </w:style>
  <w:style w:type="character" w:styleId="a5">
    <w:name w:val="page number"/>
    <w:basedOn w:val="a0"/>
    <w:rsid w:val="000B57FA"/>
  </w:style>
  <w:style w:type="character" w:styleId="Hyperlink">
    <w:name w:val="Hyperlink"/>
    <w:basedOn w:val="a0"/>
    <w:rsid w:val="00FB56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3" TargetMode="External"/><Relationship Id="rId13" Type="http://schemas.openxmlformats.org/officeDocument/2006/relationships/hyperlink" Target="http://www.nevo.co.il/law/74733/11" TargetMode="External"/><Relationship Id="rId18" Type="http://schemas.openxmlformats.org/officeDocument/2006/relationships/hyperlink" Target="http://www.nevo.co.il/law/74747/5"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nevo.co.il/law/74733" TargetMode="External"/><Relationship Id="rId7" Type="http://schemas.openxmlformats.org/officeDocument/2006/relationships/hyperlink" Target="http://www.nevo.co.il/law/4216" TargetMode="External"/><Relationship Id="rId12" Type="http://schemas.openxmlformats.org/officeDocument/2006/relationships/hyperlink" Target="http://www.nevo.co.il/law/74733" TargetMode="External"/><Relationship Id="rId17" Type="http://schemas.openxmlformats.org/officeDocument/2006/relationships/hyperlink" Target="http://www.nevo.co.il/law/4216"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law/4216/19a" TargetMode="External"/><Relationship Id="rId20" Type="http://schemas.openxmlformats.org/officeDocument/2006/relationships/hyperlink" Target="http://www.nevo.co.il/law/74733/11"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4747/5" TargetMode="External"/><Relationship Id="rId24"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case/5810781" TargetMode="External"/><Relationship Id="rId28" Type="http://schemas.openxmlformats.org/officeDocument/2006/relationships/footer" Target="footer2.xml"/><Relationship Id="rId10" Type="http://schemas.openxmlformats.org/officeDocument/2006/relationships/hyperlink" Target="http://www.nevo.co.il/law/74747" TargetMode="External"/><Relationship Id="rId19" Type="http://schemas.openxmlformats.org/officeDocument/2006/relationships/hyperlink" Target="http://www.nevo.co.il/law/74747"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1292</Words>
  <Characters>6463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7740</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3276916</vt:i4>
      </vt:variant>
      <vt:variant>
        <vt:i4>48</vt:i4>
      </vt:variant>
      <vt:variant>
        <vt:i4>0</vt:i4>
      </vt:variant>
      <vt:variant>
        <vt:i4>5</vt:i4>
      </vt:variant>
      <vt:variant>
        <vt:lpwstr>http://www.nevo.co.il/case/5810781</vt:lpwstr>
      </vt:variant>
      <vt:variant>
        <vt:lpwstr/>
      </vt:variant>
      <vt:variant>
        <vt:i4>7995492</vt:i4>
      </vt:variant>
      <vt:variant>
        <vt:i4>45</vt:i4>
      </vt:variant>
      <vt:variant>
        <vt:i4>0</vt:i4>
      </vt:variant>
      <vt:variant>
        <vt:i4>5</vt:i4>
      </vt:variant>
      <vt:variant>
        <vt:lpwstr>http://www.nevo.co.il/law/70301</vt:lpwstr>
      </vt:variant>
      <vt:variant>
        <vt:lpwstr/>
      </vt:variant>
      <vt:variant>
        <vt:i4>8192096</vt:i4>
      </vt:variant>
      <vt:variant>
        <vt:i4>42</vt:i4>
      </vt:variant>
      <vt:variant>
        <vt:i4>0</vt:i4>
      </vt:variant>
      <vt:variant>
        <vt:i4>5</vt:i4>
      </vt:variant>
      <vt:variant>
        <vt:lpwstr>http://www.nevo.co.il/law/74733</vt:lpwstr>
      </vt:variant>
      <vt:variant>
        <vt:lpwstr/>
      </vt:variant>
      <vt:variant>
        <vt:i4>6488162</vt:i4>
      </vt:variant>
      <vt:variant>
        <vt:i4>39</vt:i4>
      </vt:variant>
      <vt:variant>
        <vt:i4>0</vt:i4>
      </vt:variant>
      <vt:variant>
        <vt:i4>5</vt:i4>
      </vt:variant>
      <vt:variant>
        <vt:lpwstr>http://www.nevo.co.il/law/74733/11</vt:lpwstr>
      </vt:variant>
      <vt:variant>
        <vt:lpwstr/>
      </vt:variant>
      <vt:variant>
        <vt:i4>7995488</vt:i4>
      </vt:variant>
      <vt:variant>
        <vt:i4>36</vt:i4>
      </vt:variant>
      <vt:variant>
        <vt:i4>0</vt:i4>
      </vt:variant>
      <vt:variant>
        <vt:i4>5</vt:i4>
      </vt:variant>
      <vt:variant>
        <vt:lpwstr>http://www.nevo.co.il/law/74747</vt:lpwstr>
      </vt:variant>
      <vt:variant>
        <vt:lpwstr/>
      </vt:variant>
      <vt:variant>
        <vt:i4>5570647</vt:i4>
      </vt:variant>
      <vt:variant>
        <vt:i4>33</vt:i4>
      </vt:variant>
      <vt:variant>
        <vt:i4>0</vt:i4>
      </vt:variant>
      <vt:variant>
        <vt:i4>5</vt:i4>
      </vt:variant>
      <vt:variant>
        <vt:lpwstr>http://www.nevo.co.il/law/74747/5</vt:lpwstr>
      </vt:variant>
      <vt:variant>
        <vt:lpwstr/>
      </vt:variant>
      <vt:variant>
        <vt:i4>8257637</vt:i4>
      </vt:variant>
      <vt:variant>
        <vt:i4>30</vt:i4>
      </vt:variant>
      <vt:variant>
        <vt:i4>0</vt:i4>
      </vt:variant>
      <vt:variant>
        <vt:i4>5</vt:i4>
      </vt:variant>
      <vt:variant>
        <vt:lpwstr>http://www.nevo.co.il/law/4216</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7995492</vt:i4>
      </vt:variant>
      <vt:variant>
        <vt:i4>21</vt:i4>
      </vt:variant>
      <vt:variant>
        <vt:i4>0</vt:i4>
      </vt:variant>
      <vt:variant>
        <vt:i4>5</vt:i4>
      </vt:variant>
      <vt:variant>
        <vt:lpwstr>http://www.nevo.co.il/law/70301</vt:lpwstr>
      </vt:variant>
      <vt:variant>
        <vt:lpwstr/>
      </vt:variant>
      <vt:variant>
        <vt:i4>6488162</vt:i4>
      </vt:variant>
      <vt:variant>
        <vt:i4>18</vt:i4>
      </vt:variant>
      <vt:variant>
        <vt:i4>0</vt:i4>
      </vt:variant>
      <vt:variant>
        <vt:i4>5</vt:i4>
      </vt:variant>
      <vt:variant>
        <vt:lpwstr>http://www.nevo.co.il/law/74733/11</vt:lpwstr>
      </vt:variant>
      <vt:variant>
        <vt:lpwstr/>
      </vt:variant>
      <vt:variant>
        <vt:i4>8192096</vt:i4>
      </vt:variant>
      <vt:variant>
        <vt:i4>15</vt:i4>
      </vt:variant>
      <vt:variant>
        <vt:i4>0</vt:i4>
      </vt:variant>
      <vt:variant>
        <vt:i4>5</vt:i4>
      </vt:variant>
      <vt:variant>
        <vt:lpwstr>http://www.nevo.co.il/law/74733</vt:lpwstr>
      </vt:variant>
      <vt:variant>
        <vt:lpwstr/>
      </vt:variant>
      <vt:variant>
        <vt:i4>5570647</vt:i4>
      </vt:variant>
      <vt:variant>
        <vt:i4>12</vt:i4>
      </vt:variant>
      <vt:variant>
        <vt:i4>0</vt:i4>
      </vt:variant>
      <vt:variant>
        <vt:i4>5</vt:i4>
      </vt:variant>
      <vt:variant>
        <vt:lpwstr>http://www.nevo.co.il/law/74747/5</vt:lpwstr>
      </vt:variant>
      <vt:variant>
        <vt:lpwstr/>
      </vt:variant>
      <vt:variant>
        <vt:i4>7995488</vt:i4>
      </vt:variant>
      <vt:variant>
        <vt:i4>9</vt:i4>
      </vt:variant>
      <vt:variant>
        <vt:i4>0</vt:i4>
      </vt:variant>
      <vt:variant>
        <vt:i4>5</vt:i4>
      </vt:variant>
      <vt:variant>
        <vt:lpwstr>http://www.nevo.co.il/law/74747</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2025-04-22T22:01:00Z</dcterms:created>
  <dcterms:modified xsi:type="dcterms:W3CDTF">2025-04-22T22:01:00Z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56746</vt:lpwstr>
  </property>
  <property fmtid="{D5CDD505-2E9C-101B-9397-08002B2CF9AE}" pid="6" name="NEWPARTB">
    <vt:lpwstr>05</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קאסם עליאן (אחר/נוסף)</vt:lpwstr>
  </property>
  <property fmtid="{D5CDD505-2E9C-101B-9397-08002B2CF9AE}" pid="10" name="JUDGE">
    <vt:lpwstr>שמואל הרבסט</vt:lpwstr>
  </property>
  <property fmtid="{D5CDD505-2E9C-101B-9397-08002B2CF9AE}" pid="11" name="CITY">
    <vt:lpwstr>י-ם</vt:lpwstr>
  </property>
  <property fmtid="{D5CDD505-2E9C-101B-9397-08002B2CF9AE}" pid="12" name="DATE">
    <vt:lpwstr>20140708</vt:lpwstr>
  </property>
  <property fmtid="{D5CDD505-2E9C-101B-9397-08002B2CF9AE}" pid="13" name="TYPE_N_DATE">
    <vt:lpwstr>38020140708</vt:lpwstr>
  </property>
  <property fmtid="{D5CDD505-2E9C-101B-9397-08002B2CF9AE}" pid="14" name="CASESLISTTMP1">
    <vt:lpwstr>5810781</vt:lpwstr>
  </property>
  <property fmtid="{D5CDD505-2E9C-101B-9397-08002B2CF9AE}" pid="15" name="WORDNUMPAGES">
    <vt:lpwstr>5</vt:lpwstr>
  </property>
  <property fmtid="{D5CDD505-2E9C-101B-9397-08002B2CF9AE}" pid="16" name="TYPE_ABS_DATE">
    <vt:lpwstr>380020140708</vt:lpwstr>
  </property>
  <property fmtid="{D5CDD505-2E9C-101B-9397-08002B2CF9AE}" pid="17" name="ISABSTRACT">
    <vt:lpwstr>Y</vt:lpwstr>
  </property>
  <property fmtid="{D5CDD505-2E9C-101B-9397-08002B2CF9AE}" pid="18" name="LAWLISTTMP1">
    <vt:lpwstr>4216/013;019a</vt:lpwstr>
  </property>
  <property fmtid="{D5CDD505-2E9C-101B-9397-08002B2CF9AE}" pid="19" name="LAWLISTTMP2">
    <vt:lpwstr>74747/005</vt:lpwstr>
  </property>
  <property fmtid="{D5CDD505-2E9C-101B-9397-08002B2CF9AE}" pid="20" name="LAWLISTTMP3">
    <vt:lpwstr>74733/011</vt:lpwstr>
  </property>
  <property fmtid="{D5CDD505-2E9C-101B-9397-08002B2CF9AE}" pid="21" name="LAWLISTTMP4">
    <vt:lpwstr>70301</vt:lpwstr>
  </property>
</Properties>
</file>