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6"/>
        <w:gridCol w:w="3655"/>
      </w:tblGrid>
      <w:tr w:rsidR="00382394" w:rsidRPr="00A174BA" w14:paraId="1FB9891D" w14:textId="77777777">
        <w:trPr>
          <w:trHeight w:hRule="exact" w:val="418"/>
          <w:jc w:val="center"/>
        </w:trPr>
        <w:tc>
          <w:tcPr>
            <w:tcW w:w="8721" w:type="dxa"/>
            <w:gridSpan w:val="2"/>
          </w:tcPr>
          <w:p w14:paraId="2B02A67B" w14:textId="77777777" w:rsidR="00382394" w:rsidRPr="00A174BA" w:rsidRDefault="00A174BA">
            <w:pPr>
              <w:pStyle w:val="a3"/>
              <w:jc w:val="center"/>
              <w:rPr>
                <w:rFonts w:ascii="Tahoma" w:hAnsi="Tahoma" w:cs="Tahoma"/>
                <w:color w:val="000080"/>
                <w:rtl/>
              </w:rPr>
            </w:pPr>
            <w:bookmarkStart w:id="0" w:name="LastJudge"/>
            <w:r w:rsidRPr="00A174BA">
              <w:rPr>
                <w:rFonts w:ascii="Tahoma" w:hAnsi="Tahoma" w:cs="Tahoma"/>
                <w:b/>
                <w:bCs/>
                <w:color w:val="000080"/>
                <w:rtl/>
              </w:rPr>
              <w:t>בית משפט השלום בירושלים</w:t>
            </w:r>
          </w:p>
        </w:tc>
      </w:tr>
      <w:tr w:rsidR="00382394" w:rsidRPr="00A174BA" w14:paraId="33B1850C" w14:textId="77777777">
        <w:trPr>
          <w:trHeight w:val="337"/>
          <w:jc w:val="center"/>
        </w:trPr>
        <w:tc>
          <w:tcPr>
            <w:tcW w:w="5066" w:type="dxa"/>
          </w:tcPr>
          <w:p w14:paraId="2BCDDB81" w14:textId="77777777" w:rsidR="00382394" w:rsidRPr="00A174BA" w:rsidRDefault="00A174BA">
            <w:pPr>
              <w:rPr>
                <w:rFonts w:cs="FrankRuehl"/>
                <w:sz w:val="28"/>
                <w:szCs w:val="28"/>
                <w:rtl/>
              </w:rPr>
            </w:pPr>
            <w:r w:rsidRPr="00A174BA">
              <w:rPr>
                <w:rFonts w:cs="FrankRuehl"/>
                <w:sz w:val="28"/>
                <w:szCs w:val="28"/>
                <w:rtl/>
              </w:rPr>
              <w:t>ת"פ</w:t>
            </w:r>
            <w:r w:rsidRPr="00A174BA">
              <w:rPr>
                <w:rFonts w:cs="FrankRuehl" w:hint="cs"/>
                <w:sz w:val="28"/>
                <w:szCs w:val="28"/>
                <w:rtl/>
              </w:rPr>
              <w:t xml:space="preserve"> </w:t>
            </w:r>
            <w:r w:rsidRPr="00A174BA">
              <w:rPr>
                <w:rFonts w:cs="FrankRuehl"/>
                <w:sz w:val="28"/>
                <w:szCs w:val="28"/>
                <w:rtl/>
              </w:rPr>
              <w:t>57334-05-13</w:t>
            </w:r>
            <w:r w:rsidRPr="00A174BA">
              <w:rPr>
                <w:rFonts w:cs="FrankRuehl" w:hint="cs"/>
                <w:sz w:val="28"/>
                <w:szCs w:val="28"/>
                <w:rtl/>
              </w:rPr>
              <w:t xml:space="preserve"> </w:t>
            </w:r>
            <w:r w:rsidRPr="00A174BA">
              <w:rPr>
                <w:rFonts w:cs="FrankRuehl"/>
                <w:sz w:val="28"/>
                <w:szCs w:val="28"/>
                <w:rtl/>
              </w:rPr>
              <w:t>מדינת ישראל נ' עוודאללה(אחר/נוסף)</w:t>
            </w:r>
          </w:p>
          <w:p w14:paraId="136A9FA9" w14:textId="77777777" w:rsidR="00382394" w:rsidRPr="00A174BA" w:rsidRDefault="00382394">
            <w:pPr>
              <w:pStyle w:val="a3"/>
              <w:rPr>
                <w:rFonts w:cs="FrankRuehl"/>
                <w:sz w:val="28"/>
                <w:szCs w:val="28"/>
                <w:rtl/>
              </w:rPr>
            </w:pPr>
          </w:p>
        </w:tc>
        <w:tc>
          <w:tcPr>
            <w:tcW w:w="3655" w:type="dxa"/>
          </w:tcPr>
          <w:p w14:paraId="7C7BC7EB" w14:textId="77777777" w:rsidR="00382394" w:rsidRPr="00A174BA" w:rsidRDefault="00382394">
            <w:pPr>
              <w:pStyle w:val="a3"/>
              <w:jc w:val="right"/>
              <w:rPr>
                <w:rFonts w:cs="FrankRuehl"/>
                <w:sz w:val="28"/>
                <w:szCs w:val="28"/>
                <w:rtl/>
              </w:rPr>
            </w:pPr>
          </w:p>
        </w:tc>
      </w:tr>
    </w:tbl>
    <w:p w14:paraId="3C49EECF" w14:textId="77777777" w:rsidR="00382394" w:rsidRPr="00A174BA" w:rsidRDefault="00A174BA">
      <w:pPr>
        <w:pStyle w:val="a3"/>
        <w:rPr>
          <w:rtl/>
        </w:rPr>
      </w:pPr>
      <w:r w:rsidRPr="00A174BA">
        <w:rPr>
          <w:rFonts w:hint="cs"/>
          <w:rtl/>
        </w:rPr>
        <w:t xml:space="preserve"> </w:t>
      </w:r>
    </w:p>
    <w:p w14:paraId="7B5B3FAE" w14:textId="77777777" w:rsidR="00382394" w:rsidRPr="00A174BA" w:rsidRDefault="003823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82394" w:rsidRPr="00A174BA" w14:paraId="51E624F7" w14:textId="77777777">
        <w:trPr>
          <w:trHeight w:val="295"/>
          <w:jc w:val="center"/>
        </w:trPr>
        <w:tc>
          <w:tcPr>
            <w:tcW w:w="923" w:type="dxa"/>
            <w:tcBorders>
              <w:top w:val="nil"/>
              <w:left w:val="nil"/>
              <w:bottom w:val="nil"/>
              <w:right w:val="nil"/>
            </w:tcBorders>
          </w:tcPr>
          <w:p w14:paraId="76A6F729" w14:textId="77777777" w:rsidR="00382394" w:rsidRPr="00A174BA" w:rsidRDefault="00A174BA">
            <w:pPr>
              <w:jc w:val="both"/>
              <w:rPr>
                <w:rFonts w:ascii="Arial" w:hAnsi="Arial" w:cs="FrankRuehl"/>
                <w:sz w:val="28"/>
                <w:szCs w:val="28"/>
              </w:rPr>
            </w:pPr>
            <w:r w:rsidRPr="00A174BA">
              <w:rPr>
                <w:rFonts w:ascii="Arial" w:hAnsi="Arial" w:cs="FrankRuehl" w:hint="cs"/>
                <w:sz w:val="28"/>
                <w:szCs w:val="28"/>
                <w:rtl/>
              </w:rPr>
              <w:t>ב</w:t>
            </w:r>
            <w:r w:rsidRPr="00A174BA">
              <w:rPr>
                <w:rFonts w:ascii="Arial" w:hAnsi="Arial" w:cs="FrankRuehl"/>
                <w:sz w:val="28"/>
                <w:szCs w:val="28"/>
                <w:rtl/>
              </w:rPr>
              <w:t xml:space="preserve">פני </w:t>
            </w:r>
          </w:p>
        </w:tc>
        <w:tc>
          <w:tcPr>
            <w:tcW w:w="7897" w:type="dxa"/>
            <w:gridSpan w:val="2"/>
            <w:tcBorders>
              <w:top w:val="nil"/>
              <w:left w:val="nil"/>
              <w:bottom w:val="nil"/>
              <w:right w:val="nil"/>
            </w:tcBorders>
          </w:tcPr>
          <w:p w14:paraId="7E64D0F5" w14:textId="77777777" w:rsidR="00382394" w:rsidRPr="00A174BA" w:rsidRDefault="00A174BA">
            <w:pPr>
              <w:rPr>
                <w:rFonts w:ascii="Arial" w:hAnsi="Arial"/>
                <w:b/>
                <w:bCs/>
                <w:rtl/>
              </w:rPr>
            </w:pPr>
            <w:r w:rsidRPr="00A174BA">
              <w:rPr>
                <w:rFonts w:ascii="Arial" w:hAnsi="Arial" w:hint="cs"/>
                <w:b/>
                <w:bCs/>
                <w:rtl/>
              </w:rPr>
              <w:t>כב' ה</w:t>
            </w:r>
            <w:r w:rsidRPr="00A174BA">
              <w:rPr>
                <w:rFonts w:hint="cs"/>
                <w:rtl/>
              </w:rPr>
              <w:t>שופט</w:t>
            </w:r>
            <w:r w:rsidRPr="00A174BA">
              <w:rPr>
                <w:rFonts w:ascii="Arial" w:hAnsi="Arial" w:hint="cs"/>
                <w:b/>
                <w:bCs/>
                <w:rtl/>
              </w:rPr>
              <w:t xml:space="preserve">  </w:t>
            </w:r>
            <w:r w:rsidRPr="00A174BA">
              <w:rPr>
                <w:rFonts w:hint="cs"/>
                <w:rtl/>
              </w:rPr>
              <w:t>איתן קורנהאוזר</w:t>
            </w:r>
          </w:p>
          <w:p w14:paraId="7CB14AF3" w14:textId="77777777" w:rsidR="00382394" w:rsidRPr="00A174BA" w:rsidRDefault="00382394">
            <w:pPr>
              <w:rPr>
                <w:rtl/>
              </w:rPr>
            </w:pPr>
          </w:p>
          <w:p w14:paraId="38954789" w14:textId="77777777" w:rsidR="00382394" w:rsidRPr="00A174BA" w:rsidRDefault="00382394">
            <w:pPr>
              <w:jc w:val="both"/>
              <w:rPr>
                <w:rFonts w:ascii="Arial" w:hAnsi="Arial" w:cs="FrankRuehl"/>
                <w:sz w:val="28"/>
                <w:szCs w:val="28"/>
              </w:rPr>
            </w:pPr>
          </w:p>
        </w:tc>
      </w:tr>
      <w:tr w:rsidR="00382394" w:rsidRPr="00A174BA" w14:paraId="769BAE91" w14:textId="77777777">
        <w:trPr>
          <w:trHeight w:val="355"/>
          <w:jc w:val="center"/>
        </w:trPr>
        <w:tc>
          <w:tcPr>
            <w:tcW w:w="923" w:type="dxa"/>
            <w:tcBorders>
              <w:top w:val="nil"/>
              <w:left w:val="nil"/>
              <w:bottom w:val="nil"/>
              <w:right w:val="nil"/>
            </w:tcBorders>
          </w:tcPr>
          <w:p w14:paraId="0524FB8A" w14:textId="77777777" w:rsidR="00382394" w:rsidRPr="00A174BA" w:rsidRDefault="00A174BA">
            <w:pPr>
              <w:jc w:val="both"/>
              <w:rPr>
                <w:rFonts w:ascii="Arial" w:hAnsi="Arial" w:cs="FrankRuehl"/>
                <w:sz w:val="28"/>
                <w:szCs w:val="28"/>
              </w:rPr>
            </w:pPr>
            <w:bookmarkStart w:id="1" w:name="FirstAppellant"/>
            <w:r w:rsidRPr="00A174BA">
              <w:rPr>
                <w:rFonts w:ascii="Arial" w:hAnsi="Arial" w:cs="FrankRuehl" w:hint="cs"/>
                <w:sz w:val="28"/>
                <w:szCs w:val="28"/>
                <w:rtl/>
              </w:rPr>
              <w:t>בעניין:</w:t>
            </w:r>
          </w:p>
        </w:tc>
        <w:tc>
          <w:tcPr>
            <w:tcW w:w="4126" w:type="dxa"/>
            <w:tcBorders>
              <w:top w:val="nil"/>
              <w:left w:val="nil"/>
              <w:bottom w:val="nil"/>
              <w:right w:val="nil"/>
            </w:tcBorders>
          </w:tcPr>
          <w:p w14:paraId="76D28E82" w14:textId="77777777" w:rsidR="00382394" w:rsidRPr="00A174BA" w:rsidRDefault="00A174BA">
            <w:r w:rsidRPr="00A174BA">
              <w:rPr>
                <w:rFonts w:hint="cs"/>
                <w:rtl/>
              </w:rPr>
              <w:t>מדינת ישראל</w:t>
            </w:r>
          </w:p>
        </w:tc>
        <w:tc>
          <w:tcPr>
            <w:tcW w:w="3771" w:type="dxa"/>
            <w:tcBorders>
              <w:top w:val="nil"/>
              <w:left w:val="nil"/>
              <w:bottom w:val="nil"/>
              <w:right w:val="nil"/>
            </w:tcBorders>
          </w:tcPr>
          <w:p w14:paraId="06B205F8" w14:textId="77777777" w:rsidR="00382394" w:rsidRPr="00A174BA" w:rsidRDefault="00382394">
            <w:pPr>
              <w:jc w:val="both"/>
              <w:rPr>
                <w:rFonts w:ascii="Arial" w:hAnsi="Arial" w:cs="FrankRuehl"/>
                <w:sz w:val="28"/>
                <w:szCs w:val="28"/>
              </w:rPr>
            </w:pPr>
          </w:p>
        </w:tc>
      </w:tr>
      <w:bookmarkEnd w:id="1"/>
      <w:tr w:rsidR="00382394" w:rsidRPr="00A174BA" w14:paraId="407765D3" w14:textId="77777777">
        <w:trPr>
          <w:trHeight w:val="355"/>
          <w:jc w:val="center"/>
        </w:trPr>
        <w:tc>
          <w:tcPr>
            <w:tcW w:w="923" w:type="dxa"/>
            <w:tcBorders>
              <w:top w:val="nil"/>
              <w:left w:val="nil"/>
              <w:bottom w:val="nil"/>
              <w:right w:val="nil"/>
            </w:tcBorders>
          </w:tcPr>
          <w:p w14:paraId="4D84E8B6" w14:textId="77777777" w:rsidR="00382394" w:rsidRPr="00A174BA" w:rsidRDefault="00382394">
            <w:pPr>
              <w:jc w:val="both"/>
              <w:rPr>
                <w:rFonts w:ascii="Arial" w:hAnsi="Arial" w:cs="FrankRuehl"/>
                <w:sz w:val="28"/>
                <w:szCs w:val="28"/>
                <w:rtl/>
              </w:rPr>
            </w:pPr>
          </w:p>
        </w:tc>
        <w:tc>
          <w:tcPr>
            <w:tcW w:w="4126" w:type="dxa"/>
            <w:tcBorders>
              <w:top w:val="nil"/>
              <w:left w:val="nil"/>
              <w:bottom w:val="nil"/>
              <w:right w:val="nil"/>
            </w:tcBorders>
          </w:tcPr>
          <w:p w14:paraId="7EE067A7" w14:textId="77777777" w:rsidR="00382394" w:rsidRPr="00A174BA" w:rsidRDefault="00382394">
            <w:pPr>
              <w:jc w:val="both"/>
              <w:rPr>
                <w:rtl/>
              </w:rPr>
            </w:pPr>
          </w:p>
        </w:tc>
        <w:tc>
          <w:tcPr>
            <w:tcW w:w="3771" w:type="dxa"/>
            <w:tcBorders>
              <w:top w:val="nil"/>
              <w:left w:val="nil"/>
              <w:bottom w:val="nil"/>
              <w:right w:val="nil"/>
            </w:tcBorders>
          </w:tcPr>
          <w:p w14:paraId="01F57432" w14:textId="77777777" w:rsidR="00382394" w:rsidRPr="00A174BA" w:rsidRDefault="00A174BA">
            <w:pPr>
              <w:jc w:val="right"/>
              <w:rPr>
                <w:rFonts w:ascii="Arial" w:hAnsi="Arial" w:cs="FrankRuehl"/>
                <w:sz w:val="28"/>
                <w:szCs w:val="28"/>
                <w:rtl/>
              </w:rPr>
            </w:pPr>
            <w:r w:rsidRPr="00A174BA">
              <w:rPr>
                <w:rFonts w:ascii="Arial" w:hAnsi="Arial" w:cs="FrankRuehl" w:hint="cs"/>
                <w:sz w:val="28"/>
                <w:szCs w:val="28"/>
                <w:rtl/>
              </w:rPr>
              <w:t>ה</w:t>
            </w:r>
            <w:r w:rsidRPr="00A174BA">
              <w:rPr>
                <w:rFonts w:hint="cs"/>
                <w:rtl/>
              </w:rPr>
              <w:t>מאשימה</w:t>
            </w:r>
          </w:p>
        </w:tc>
      </w:tr>
      <w:tr w:rsidR="00382394" w:rsidRPr="00A174BA" w14:paraId="12FF4FE0" w14:textId="77777777">
        <w:trPr>
          <w:trHeight w:val="355"/>
          <w:jc w:val="center"/>
        </w:trPr>
        <w:tc>
          <w:tcPr>
            <w:tcW w:w="923" w:type="dxa"/>
            <w:tcBorders>
              <w:top w:val="nil"/>
              <w:left w:val="nil"/>
              <w:bottom w:val="nil"/>
              <w:right w:val="nil"/>
            </w:tcBorders>
          </w:tcPr>
          <w:p w14:paraId="3F8A2A51" w14:textId="77777777" w:rsidR="00382394" w:rsidRPr="00A174BA" w:rsidRDefault="00382394">
            <w:pPr>
              <w:jc w:val="both"/>
              <w:rPr>
                <w:rFonts w:ascii="Arial" w:hAnsi="Arial" w:cs="FrankRuehl"/>
                <w:sz w:val="28"/>
                <w:szCs w:val="28"/>
                <w:rtl/>
              </w:rPr>
            </w:pPr>
          </w:p>
        </w:tc>
        <w:tc>
          <w:tcPr>
            <w:tcW w:w="7897" w:type="dxa"/>
            <w:gridSpan w:val="2"/>
            <w:tcBorders>
              <w:top w:val="nil"/>
              <w:left w:val="nil"/>
              <w:bottom w:val="nil"/>
              <w:right w:val="nil"/>
            </w:tcBorders>
          </w:tcPr>
          <w:p w14:paraId="32864E07" w14:textId="77777777" w:rsidR="00382394" w:rsidRPr="00A174BA" w:rsidRDefault="00382394">
            <w:pPr>
              <w:jc w:val="center"/>
              <w:rPr>
                <w:rFonts w:ascii="Arial" w:hAnsi="Arial" w:cs="FrankRuehl"/>
                <w:b/>
                <w:bCs/>
                <w:sz w:val="28"/>
                <w:szCs w:val="28"/>
                <w:rtl/>
              </w:rPr>
            </w:pPr>
          </w:p>
          <w:p w14:paraId="656C2BE5" w14:textId="77777777" w:rsidR="00382394" w:rsidRPr="00A174BA" w:rsidRDefault="00A174BA">
            <w:pPr>
              <w:jc w:val="center"/>
              <w:rPr>
                <w:rFonts w:ascii="Arial" w:hAnsi="Arial" w:cs="FrankRuehl"/>
                <w:b/>
                <w:bCs/>
                <w:sz w:val="28"/>
                <w:szCs w:val="28"/>
                <w:rtl/>
              </w:rPr>
            </w:pPr>
            <w:r w:rsidRPr="00A174BA">
              <w:rPr>
                <w:rFonts w:ascii="Arial" w:hAnsi="Arial" w:cs="FrankRuehl"/>
                <w:b/>
                <w:bCs/>
                <w:sz w:val="28"/>
                <w:szCs w:val="28"/>
                <w:rtl/>
              </w:rPr>
              <w:t>נגד</w:t>
            </w:r>
          </w:p>
          <w:p w14:paraId="01DCE9BB" w14:textId="77777777" w:rsidR="00382394" w:rsidRPr="00A174BA" w:rsidRDefault="00382394">
            <w:pPr>
              <w:jc w:val="both"/>
              <w:rPr>
                <w:rFonts w:ascii="Arial" w:hAnsi="Arial" w:cs="FrankRuehl"/>
                <w:sz w:val="28"/>
                <w:szCs w:val="28"/>
              </w:rPr>
            </w:pPr>
          </w:p>
        </w:tc>
      </w:tr>
      <w:tr w:rsidR="00382394" w:rsidRPr="00A174BA" w14:paraId="73FA6844" w14:textId="77777777">
        <w:trPr>
          <w:trHeight w:val="355"/>
          <w:jc w:val="center"/>
        </w:trPr>
        <w:tc>
          <w:tcPr>
            <w:tcW w:w="923" w:type="dxa"/>
            <w:tcBorders>
              <w:top w:val="nil"/>
              <w:left w:val="nil"/>
              <w:bottom w:val="nil"/>
              <w:right w:val="nil"/>
            </w:tcBorders>
          </w:tcPr>
          <w:p w14:paraId="67A80CE8" w14:textId="77777777" w:rsidR="00382394" w:rsidRPr="00A174BA" w:rsidRDefault="00382394">
            <w:pPr>
              <w:rPr>
                <w:rFonts w:ascii="Arial" w:hAnsi="Arial" w:cs="FrankRuehl"/>
                <w:sz w:val="28"/>
                <w:szCs w:val="28"/>
                <w:rtl/>
              </w:rPr>
            </w:pPr>
          </w:p>
        </w:tc>
        <w:tc>
          <w:tcPr>
            <w:tcW w:w="4126" w:type="dxa"/>
            <w:tcBorders>
              <w:top w:val="nil"/>
              <w:left w:val="nil"/>
              <w:bottom w:val="nil"/>
              <w:right w:val="nil"/>
            </w:tcBorders>
          </w:tcPr>
          <w:p w14:paraId="35040A88" w14:textId="77777777" w:rsidR="00382394" w:rsidRPr="00A174BA" w:rsidRDefault="00A174BA">
            <w:pPr>
              <w:rPr>
                <w:rtl/>
              </w:rPr>
            </w:pPr>
            <w:r w:rsidRPr="00A174BA">
              <w:rPr>
                <w:rFonts w:hint="cs"/>
                <w:rtl/>
              </w:rPr>
              <w:t>שריף עוודאללה (אחר/נוסף)</w:t>
            </w:r>
          </w:p>
        </w:tc>
        <w:tc>
          <w:tcPr>
            <w:tcW w:w="3771" w:type="dxa"/>
            <w:tcBorders>
              <w:top w:val="nil"/>
              <w:left w:val="nil"/>
              <w:bottom w:val="nil"/>
              <w:right w:val="nil"/>
            </w:tcBorders>
          </w:tcPr>
          <w:p w14:paraId="7714CC9C" w14:textId="77777777" w:rsidR="00382394" w:rsidRPr="00A174BA" w:rsidRDefault="00382394">
            <w:pPr>
              <w:jc w:val="right"/>
              <w:rPr>
                <w:rFonts w:ascii="Arial" w:hAnsi="Arial" w:cs="FrankRuehl"/>
                <w:sz w:val="28"/>
                <w:szCs w:val="28"/>
              </w:rPr>
            </w:pPr>
          </w:p>
        </w:tc>
      </w:tr>
      <w:tr w:rsidR="00382394" w:rsidRPr="00A174BA" w14:paraId="739170FD" w14:textId="77777777">
        <w:trPr>
          <w:trHeight w:val="355"/>
          <w:jc w:val="center"/>
        </w:trPr>
        <w:tc>
          <w:tcPr>
            <w:tcW w:w="923" w:type="dxa"/>
            <w:tcBorders>
              <w:top w:val="nil"/>
              <w:left w:val="nil"/>
              <w:bottom w:val="nil"/>
              <w:right w:val="nil"/>
            </w:tcBorders>
          </w:tcPr>
          <w:p w14:paraId="687EF29C" w14:textId="77777777" w:rsidR="00382394" w:rsidRPr="00A174BA" w:rsidRDefault="00382394">
            <w:pPr>
              <w:jc w:val="both"/>
              <w:rPr>
                <w:rFonts w:ascii="Arial" w:hAnsi="Arial" w:cs="FrankRuehl"/>
                <w:sz w:val="28"/>
                <w:szCs w:val="28"/>
                <w:rtl/>
              </w:rPr>
            </w:pPr>
          </w:p>
        </w:tc>
        <w:tc>
          <w:tcPr>
            <w:tcW w:w="4126" w:type="dxa"/>
            <w:tcBorders>
              <w:top w:val="nil"/>
              <w:left w:val="nil"/>
              <w:bottom w:val="nil"/>
              <w:right w:val="nil"/>
            </w:tcBorders>
          </w:tcPr>
          <w:p w14:paraId="692E38E4" w14:textId="77777777" w:rsidR="00382394" w:rsidRPr="00A174BA" w:rsidRDefault="00382394">
            <w:pPr>
              <w:jc w:val="both"/>
              <w:rPr>
                <w:rtl/>
              </w:rPr>
            </w:pPr>
          </w:p>
        </w:tc>
        <w:tc>
          <w:tcPr>
            <w:tcW w:w="3771" w:type="dxa"/>
            <w:tcBorders>
              <w:top w:val="nil"/>
              <w:left w:val="nil"/>
              <w:bottom w:val="nil"/>
              <w:right w:val="nil"/>
            </w:tcBorders>
          </w:tcPr>
          <w:p w14:paraId="2D496416" w14:textId="77777777" w:rsidR="00382394" w:rsidRPr="00A174BA" w:rsidRDefault="00A174BA">
            <w:pPr>
              <w:jc w:val="right"/>
              <w:rPr>
                <w:rFonts w:ascii="Arial" w:hAnsi="Arial" w:cs="FrankRuehl"/>
                <w:sz w:val="28"/>
                <w:szCs w:val="28"/>
              </w:rPr>
            </w:pPr>
            <w:r w:rsidRPr="00A174BA">
              <w:rPr>
                <w:rFonts w:ascii="Arial" w:hAnsi="Arial" w:cs="FrankRuehl" w:hint="cs"/>
                <w:sz w:val="28"/>
                <w:szCs w:val="28"/>
                <w:rtl/>
              </w:rPr>
              <w:t>ה</w:t>
            </w:r>
            <w:r w:rsidRPr="00A174BA">
              <w:rPr>
                <w:rFonts w:hint="cs"/>
                <w:rtl/>
              </w:rPr>
              <w:t>נאשם</w:t>
            </w:r>
          </w:p>
        </w:tc>
      </w:tr>
    </w:tbl>
    <w:p w14:paraId="2DA88150" w14:textId="77777777" w:rsidR="008219E6" w:rsidRDefault="008219E6">
      <w:pPr>
        <w:rPr>
          <w:rtl/>
        </w:rPr>
      </w:pPr>
      <w:bookmarkStart w:id="2" w:name="LawTable"/>
      <w:bookmarkEnd w:id="2"/>
    </w:p>
    <w:p w14:paraId="3475A704" w14:textId="77777777" w:rsidR="008219E6" w:rsidRPr="008219E6" w:rsidRDefault="008219E6" w:rsidP="008219E6">
      <w:pPr>
        <w:spacing w:after="120" w:line="240" w:lineRule="exact"/>
        <w:ind w:left="283" w:hanging="283"/>
        <w:jc w:val="both"/>
        <w:rPr>
          <w:rFonts w:ascii="FrankRuehl" w:hAnsi="FrankRuehl" w:cs="FrankRuehl"/>
          <w:rtl/>
        </w:rPr>
      </w:pPr>
    </w:p>
    <w:p w14:paraId="20950CD6" w14:textId="77777777" w:rsidR="008219E6" w:rsidRPr="008219E6" w:rsidRDefault="008219E6" w:rsidP="008219E6">
      <w:pPr>
        <w:spacing w:after="120" w:line="240" w:lineRule="exact"/>
        <w:ind w:left="283" w:hanging="283"/>
        <w:jc w:val="both"/>
        <w:rPr>
          <w:rFonts w:ascii="FrankRuehl" w:hAnsi="FrankRuehl" w:cs="FrankRuehl"/>
          <w:rtl/>
        </w:rPr>
      </w:pPr>
      <w:r w:rsidRPr="008219E6">
        <w:rPr>
          <w:rFonts w:ascii="FrankRuehl" w:hAnsi="FrankRuehl" w:cs="FrankRuehl"/>
          <w:rtl/>
        </w:rPr>
        <w:t xml:space="preserve">חקיקה שאוזכרה: </w:t>
      </w:r>
    </w:p>
    <w:p w14:paraId="111A330E" w14:textId="77777777" w:rsidR="008219E6" w:rsidRPr="008219E6" w:rsidRDefault="008219E6" w:rsidP="008219E6">
      <w:pPr>
        <w:spacing w:after="120" w:line="240" w:lineRule="exact"/>
        <w:ind w:left="283" w:hanging="283"/>
        <w:jc w:val="both"/>
        <w:rPr>
          <w:rFonts w:ascii="FrankRuehl" w:hAnsi="FrankRuehl" w:cs="FrankRuehl"/>
          <w:color w:val="0000FF"/>
          <w:u w:val="single"/>
          <w:rtl/>
        </w:rPr>
      </w:pPr>
      <w:hyperlink r:id="rId6" w:history="1">
        <w:r w:rsidRPr="008219E6">
          <w:rPr>
            <w:rStyle w:val="Hyperlink"/>
            <w:rFonts w:ascii="FrankRuehl" w:hAnsi="FrankRuehl" w:cs="FrankRuehl"/>
            <w:rtl/>
          </w:rPr>
          <w:t>פקודת הסמים המסוכנים [נוסח חדש], תשל"ג-1973</w:t>
        </w:r>
      </w:hyperlink>
      <w:r w:rsidRPr="008219E6">
        <w:rPr>
          <w:rFonts w:ascii="FrankRuehl" w:hAnsi="FrankRuehl" w:cs="FrankRuehl"/>
          <w:color w:val="0000FF"/>
          <w:u w:val="single"/>
          <w:rtl/>
        </w:rPr>
        <w:t xml:space="preserve">: סע'  </w:t>
      </w:r>
      <w:hyperlink r:id="rId7" w:history="1">
        <w:r w:rsidRPr="008219E6">
          <w:rPr>
            <w:rStyle w:val="Hyperlink"/>
            <w:rFonts w:ascii="FrankRuehl" w:hAnsi="FrankRuehl" w:cs="FrankRuehl"/>
          </w:rPr>
          <w:t>13</w:t>
        </w:r>
      </w:hyperlink>
    </w:p>
    <w:p w14:paraId="3525543D" w14:textId="77777777" w:rsidR="008219E6" w:rsidRPr="008219E6" w:rsidRDefault="008219E6" w:rsidP="008219E6">
      <w:pPr>
        <w:spacing w:after="120" w:line="240" w:lineRule="exact"/>
        <w:ind w:left="283" w:hanging="283"/>
        <w:jc w:val="both"/>
        <w:rPr>
          <w:rFonts w:ascii="FrankRuehl" w:hAnsi="FrankRuehl" w:cs="FrankRuehl"/>
          <w:rtl/>
        </w:rPr>
      </w:pPr>
    </w:p>
    <w:p w14:paraId="741D6BD1" w14:textId="77777777" w:rsidR="00382394" w:rsidRPr="00A174BA" w:rsidRDefault="00382394">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2394" w14:paraId="7E19C952" w14:textId="77777777">
        <w:trPr>
          <w:trHeight w:val="355"/>
          <w:jc w:val="center"/>
        </w:trPr>
        <w:tc>
          <w:tcPr>
            <w:tcW w:w="8820" w:type="dxa"/>
            <w:tcBorders>
              <w:top w:val="nil"/>
              <w:left w:val="nil"/>
              <w:bottom w:val="nil"/>
              <w:right w:val="nil"/>
            </w:tcBorders>
          </w:tcPr>
          <w:p w14:paraId="27BE31F4" w14:textId="77777777" w:rsidR="00A174BA" w:rsidRPr="00A174BA" w:rsidRDefault="00A174BA" w:rsidP="00A174BA">
            <w:pPr>
              <w:jc w:val="center"/>
              <w:rPr>
                <w:rFonts w:ascii="Arial" w:hAnsi="Arial" w:cs="FrankRuehl"/>
                <w:b/>
                <w:bCs/>
                <w:sz w:val="32"/>
                <w:szCs w:val="32"/>
                <w:u w:val="single"/>
                <w:rtl/>
              </w:rPr>
            </w:pPr>
            <w:bookmarkStart w:id="4" w:name="PsakDin" w:colFirst="0" w:colLast="0"/>
            <w:bookmarkEnd w:id="0"/>
            <w:r w:rsidRPr="00A174BA">
              <w:rPr>
                <w:rFonts w:ascii="Arial" w:hAnsi="Arial" w:cs="FrankRuehl"/>
                <w:b/>
                <w:bCs/>
                <w:sz w:val="32"/>
                <w:szCs w:val="32"/>
                <w:u w:val="single"/>
                <w:rtl/>
              </w:rPr>
              <w:t>גזר דין</w:t>
            </w:r>
          </w:p>
          <w:p w14:paraId="468F2F63" w14:textId="77777777" w:rsidR="00382394" w:rsidRPr="00A174BA" w:rsidRDefault="00382394" w:rsidP="00A174BA">
            <w:pPr>
              <w:jc w:val="center"/>
              <w:rPr>
                <w:rFonts w:ascii="Arial" w:hAnsi="Arial" w:cs="FrankRuehl"/>
                <w:bCs/>
                <w:sz w:val="32"/>
                <w:szCs w:val="32"/>
                <w:u w:val="single"/>
                <w:rtl/>
              </w:rPr>
            </w:pPr>
          </w:p>
        </w:tc>
      </w:tr>
      <w:bookmarkEnd w:id="4"/>
    </w:tbl>
    <w:p w14:paraId="3E4D3F42" w14:textId="77777777" w:rsidR="00382394" w:rsidRDefault="00382394">
      <w:pPr>
        <w:rPr>
          <w:rFonts w:ascii="Arial" w:hAnsi="Arial"/>
          <w:rtl/>
        </w:rPr>
      </w:pPr>
    </w:p>
    <w:p w14:paraId="3480932E" w14:textId="77777777" w:rsidR="00382394" w:rsidRDefault="00382394">
      <w:pPr>
        <w:rPr>
          <w:rFonts w:ascii="Arial" w:hAnsi="Arial"/>
          <w:rtl/>
        </w:rPr>
      </w:pPr>
    </w:p>
    <w:p w14:paraId="439B1B23" w14:textId="77777777" w:rsidR="00382394" w:rsidRDefault="00A174BA">
      <w:pPr>
        <w:spacing w:line="360" w:lineRule="auto"/>
        <w:jc w:val="both"/>
        <w:rPr>
          <w:rFonts w:ascii="Arial" w:hAnsi="Arial"/>
          <w:u w:val="single"/>
          <w:rtl/>
        </w:rPr>
      </w:pPr>
      <w:r>
        <w:rPr>
          <w:rFonts w:ascii="Arial" w:hAnsi="Arial" w:hint="cs"/>
          <w:u w:val="single"/>
          <w:rtl/>
        </w:rPr>
        <w:t>רקע</w:t>
      </w:r>
    </w:p>
    <w:p w14:paraId="306CD5DF" w14:textId="77777777" w:rsidR="00382394" w:rsidRDefault="00A174BA">
      <w:pPr>
        <w:spacing w:line="360" w:lineRule="auto"/>
        <w:ind w:left="720" w:hanging="720"/>
        <w:jc w:val="both"/>
        <w:rPr>
          <w:rFonts w:ascii="Arial" w:hAnsi="Arial"/>
          <w:rtl/>
        </w:rPr>
      </w:pPr>
      <w:r>
        <w:rPr>
          <w:rFonts w:ascii="Arial" w:hAnsi="Arial" w:hint="cs"/>
          <w:rtl/>
        </w:rPr>
        <w:t xml:space="preserve">1. </w:t>
      </w:r>
      <w:r>
        <w:rPr>
          <w:rFonts w:ascii="Arial" w:hAnsi="Arial" w:hint="cs"/>
          <w:rtl/>
        </w:rPr>
        <w:tab/>
        <w:t xml:space="preserve">הנאשם הודה והורשע, בעבירת סחר בסם מסוכן, לפי </w:t>
      </w:r>
      <w:hyperlink r:id="rId8" w:history="1">
        <w:r w:rsidR="008219E6" w:rsidRPr="008219E6">
          <w:rPr>
            <w:rStyle w:val="Hyperlink"/>
            <w:rFonts w:ascii="Arial" w:hAnsi="Arial" w:hint="eastAsia"/>
            <w:rtl/>
          </w:rPr>
          <w:t>סעיף</w:t>
        </w:r>
        <w:r w:rsidR="008219E6" w:rsidRPr="008219E6">
          <w:rPr>
            <w:rStyle w:val="Hyperlink"/>
            <w:rFonts w:ascii="Arial" w:hAnsi="Arial"/>
            <w:rtl/>
          </w:rPr>
          <w:t xml:space="preserve"> 13</w:t>
        </w:r>
      </w:hyperlink>
      <w:r>
        <w:rPr>
          <w:rFonts w:ascii="Arial" w:hAnsi="Arial" w:hint="cs"/>
          <w:rtl/>
        </w:rPr>
        <w:t xml:space="preserve"> ל</w:t>
      </w:r>
      <w:hyperlink r:id="rId9" w:history="1">
        <w:r w:rsidRPr="00A174BA">
          <w:rPr>
            <w:rFonts w:ascii="Arial" w:hAnsi="Arial"/>
            <w:color w:val="0000FF"/>
            <w:u w:val="single"/>
            <w:rtl/>
          </w:rPr>
          <w:t>פקודת הסמים המסוכנים</w:t>
        </w:r>
      </w:hyperlink>
      <w:r>
        <w:rPr>
          <w:rFonts w:ascii="Arial" w:hAnsi="Arial" w:hint="cs"/>
          <w:rtl/>
        </w:rPr>
        <w:t xml:space="preserve">, תשל"ג-1973. </w:t>
      </w:r>
    </w:p>
    <w:p w14:paraId="5A55A2C7" w14:textId="77777777" w:rsidR="00382394" w:rsidRDefault="00A174BA">
      <w:pPr>
        <w:spacing w:line="360" w:lineRule="auto"/>
        <w:ind w:left="720"/>
        <w:jc w:val="both"/>
        <w:rPr>
          <w:rFonts w:ascii="Arial" w:hAnsi="Arial"/>
          <w:rtl/>
        </w:rPr>
      </w:pPr>
      <w:r>
        <w:rPr>
          <w:rFonts w:ascii="Arial" w:hAnsi="Arial" w:hint="cs"/>
          <w:rtl/>
        </w:rPr>
        <w:t xml:space="preserve">בהתאם לעובדות כתב האישום, ביום 26.6.2012, מכר הנאשם לסוכן משטרתי, סם מסוכן מסוג חשיש במשקל נטו של  </w:t>
      </w:r>
      <w:smartTag w:uri="urn:schemas-microsoft-com:office:smarttags" w:element="metricconverter">
        <w:smartTagPr>
          <w:attr w:name="ProductID" w:val="42.3 גרם"/>
        </w:smartTagPr>
        <w:r>
          <w:rPr>
            <w:rFonts w:ascii="Arial" w:hAnsi="Arial" w:hint="cs"/>
            <w:rtl/>
          </w:rPr>
          <w:t>42.3 גרם</w:t>
        </w:r>
      </w:smartTag>
      <w:r>
        <w:rPr>
          <w:rFonts w:ascii="Arial" w:hAnsi="Arial" w:hint="cs"/>
          <w:rtl/>
        </w:rPr>
        <w:t xml:space="preserve">, בתמורה לסך של 900 ₪.  </w:t>
      </w:r>
    </w:p>
    <w:p w14:paraId="2252932C" w14:textId="77777777" w:rsidR="00382394" w:rsidRDefault="00382394">
      <w:pPr>
        <w:spacing w:line="360" w:lineRule="auto"/>
        <w:jc w:val="both"/>
        <w:rPr>
          <w:rFonts w:ascii="Arial" w:hAnsi="Arial"/>
          <w:rtl/>
        </w:rPr>
      </w:pPr>
    </w:p>
    <w:p w14:paraId="54E4C185" w14:textId="77777777" w:rsidR="00382394" w:rsidRDefault="00A174BA">
      <w:pPr>
        <w:spacing w:line="360" w:lineRule="auto"/>
        <w:ind w:left="720" w:hanging="720"/>
        <w:jc w:val="both"/>
        <w:rPr>
          <w:rFonts w:ascii="Arial" w:hAnsi="Arial"/>
          <w:rtl/>
        </w:rPr>
      </w:pPr>
      <w:r>
        <w:rPr>
          <w:rFonts w:ascii="Arial" w:hAnsi="Arial" w:hint="cs"/>
          <w:rtl/>
        </w:rPr>
        <w:t xml:space="preserve">2. </w:t>
      </w:r>
      <w:r>
        <w:rPr>
          <w:rFonts w:ascii="Arial" w:hAnsi="Arial" w:hint="cs"/>
          <w:rtl/>
        </w:rPr>
        <w:tab/>
        <w:t xml:space="preserve">בטרם נשמעו טיעונים לעונש, התקבל תסקיר שירות המבחן לגבי הנאשם. מהתסקיר עולה כי הנאשם נשוי, אב לשלושה ילדים, עובד כאחראי צוות בתחום עבודות בניה. שירות המבחן התרשם כי הנאשם מנהל אורח חיים נורמטיבי בתחומי משפחה ועבודה, ולא התרשם מקיום דפוסים עברייניים באישיותו. להערכת שירות המבחן, הנאשם נגרר, במקרה הנדון, אחר חבר, תוך קושי בהצבת גבולות ורצון להצטייר כבעל יכולת סיוע. משפחת הנאשם מהווה עבורו גורם תומך ומציב גבולות, וכן ההליך המשפטי היווה גורם מרתיע </w:t>
      </w:r>
      <w:r>
        <w:rPr>
          <w:rFonts w:ascii="Arial" w:hAnsi="Arial" w:hint="cs"/>
          <w:rtl/>
        </w:rPr>
        <w:lastRenderedPageBreak/>
        <w:t xml:space="preserve">עבורו. שירות המבחן התרשם כי הטלת מאסר בפועל עלולה להוות גורם מדרדר עבור הנאשם, ולכן המליץ על מאסר בעבודות שירות. </w:t>
      </w:r>
    </w:p>
    <w:p w14:paraId="66E0F08B" w14:textId="77777777" w:rsidR="00382394" w:rsidRDefault="00382394">
      <w:pPr>
        <w:spacing w:line="360" w:lineRule="auto"/>
        <w:jc w:val="both"/>
        <w:rPr>
          <w:rFonts w:ascii="Arial" w:hAnsi="Arial"/>
          <w:rtl/>
        </w:rPr>
      </w:pPr>
    </w:p>
    <w:p w14:paraId="5E78ED8B" w14:textId="77777777" w:rsidR="00382394" w:rsidRDefault="00A174BA">
      <w:pPr>
        <w:spacing w:line="360" w:lineRule="auto"/>
        <w:jc w:val="both"/>
        <w:rPr>
          <w:rFonts w:ascii="Arial" w:hAnsi="Arial"/>
          <w:u w:val="single"/>
          <w:rtl/>
        </w:rPr>
      </w:pPr>
      <w:r>
        <w:rPr>
          <w:rFonts w:ascii="Arial" w:hAnsi="Arial" w:hint="cs"/>
          <w:u w:val="single"/>
          <w:rtl/>
        </w:rPr>
        <w:t>טענות הצדדים</w:t>
      </w:r>
    </w:p>
    <w:p w14:paraId="603DE0A9" w14:textId="77777777" w:rsidR="00382394" w:rsidRDefault="00A174BA">
      <w:pPr>
        <w:spacing w:line="360" w:lineRule="auto"/>
        <w:ind w:left="720" w:hanging="720"/>
        <w:jc w:val="both"/>
        <w:rPr>
          <w:rFonts w:ascii="Arial" w:hAnsi="Arial"/>
          <w:rtl/>
        </w:rPr>
      </w:pPr>
      <w:r>
        <w:rPr>
          <w:rFonts w:ascii="Arial" w:hAnsi="Arial" w:hint="cs"/>
          <w:rtl/>
        </w:rPr>
        <w:t xml:space="preserve">3. </w:t>
      </w:r>
      <w:r>
        <w:rPr>
          <w:rFonts w:ascii="Arial" w:hAnsi="Arial" w:hint="cs"/>
          <w:rtl/>
        </w:rPr>
        <w:tab/>
        <w:t xml:space="preserve">המאשימה טענה כי רף הענישה בעבירות דומות נע בין 8-12 חודשי מאסר בפועל. בשל הצורך במלחמה בסמים, העונש ההולם הינו מאסר בפועל, אך לאור האמור בתסקיר, הסכימה המאשימה כי מאסר בפועל בנסיבות נאשם זה, עלול לחשוף את הנאשם לעולם עברייני. בנסיבות אלה, עתרה המאשימה למאסר למשך 6 חודשים, אשר ירוצה בעבודות שירות, מאסר מותנה, קנס והתחייבות. </w:t>
      </w:r>
    </w:p>
    <w:p w14:paraId="40E09434" w14:textId="77777777" w:rsidR="00382394" w:rsidRDefault="00382394">
      <w:pPr>
        <w:spacing w:line="360" w:lineRule="auto"/>
        <w:jc w:val="both"/>
        <w:rPr>
          <w:rFonts w:ascii="Arial" w:hAnsi="Arial"/>
          <w:rtl/>
        </w:rPr>
      </w:pPr>
    </w:p>
    <w:p w14:paraId="02A25C72" w14:textId="77777777" w:rsidR="00382394" w:rsidRDefault="00A174BA">
      <w:pPr>
        <w:spacing w:line="360" w:lineRule="auto"/>
        <w:ind w:left="720" w:hanging="720"/>
        <w:jc w:val="both"/>
        <w:rPr>
          <w:rFonts w:ascii="Arial" w:hAnsi="Arial"/>
          <w:rtl/>
        </w:rPr>
      </w:pPr>
      <w:r>
        <w:rPr>
          <w:rFonts w:ascii="Arial" w:hAnsi="Arial" w:hint="cs"/>
          <w:rtl/>
        </w:rPr>
        <w:t xml:space="preserve">4. </w:t>
      </w:r>
      <w:r>
        <w:rPr>
          <w:rFonts w:ascii="Arial" w:hAnsi="Arial" w:hint="cs"/>
          <w:rtl/>
        </w:rPr>
        <w:tab/>
        <w:t xml:space="preserve">בא כוח הנאשם הסכים לסוג העונש המבוקש, אך טען כי יש לצמצם את משך עבודות השירות המבוקש על ידי המאשימה. הנאשם מעד באופן חד פעמי, קיבל אחריות מלאה על מעשיו, וכן שהה במעצר בית מלא במשך כשבעה חודשים. </w:t>
      </w:r>
    </w:p>
    <w:p w14:paraId="29C134D1" w14:textId="77777777" w:rsidR="00382394" w:rsidRDefault="00382394">
      <w:pPr>
        <w:spacing w:line="360" w:lineRule="auto"/>
        <w:ind w:left="720" w:hanging="720"/>
        <w:jc w:val="both"/>
        <w:rPr>
          <w:rFonts w:ascii="Arial" w:hAnsi="Arial"/>
          <w:rtl/>
        </w:rPr>
      </w:pPr>
    </w:p>
    <w:p w14:paraId="741400A1" w14:textId="77777777" w:rsidR="00382394" w:rsidRDefault="00A174BA">
      <w:pPr>
        <w:spacing w:line="360" w:lineRule="auto"/>
        <w:ind w:firstLine="720"/>
        <w:jc w:val="both"/>
        <w:rPr>
          <w:rFonts w:ascii="Arial" w:hAnsi="Arial"/>
          <w:rtl/>
        </w:rPr>
      </w:pPr>
      <w:r>
        <w:rPr>
          <w:rFonts w:ascii="Arial" w:hAnsi="Arial" w:hint="cs"/>
          <w:rtl/>
        </w:rPr>
        <w:t xml:space="preserve">הנאשם טען שטעה, מעולם לא חשב שיגיע למצב זה, ולא חלם שיגיע לכך. </w:t>
      </w:r>
    </w:p>
    <w:p w14:paraId="3E691501" w14:textId="77777777" w:rsidR="00382394" w:rsidRDefault="00382394">
      <w:pPr>
        <w:spacing w:line="360" w:lineRule="auto"/>
        <w:jc w:val="both"/>
        <w:rPr>
          <w:u w:val="single"/>
          <w:rtl/>
        </w:rPr>
      </w:pPr>
    </w:p>
    <w:p w14:paraId="60578C39" w14:textId="77777777" w:rsidR="00382394" w:rsidRDefault="00A174BA">
      <w:pPr>
        <w:spacing w:line="360" w:lineRule="auto"/>
        <w:jc w:val="both"/>
        <w:rPr>
          <w:u w:val="single"/>
          <w:rtl/>
        </w:rPr>
      </w:pPr>
      <w:r>
        <w:rPr>
          <w:rFonts w:hint="cs"/>
          <w:u w:val="single"/>
          <w:rtl/>
        </w:rPr>
        <w:t>מתחם הענישה</w:t>
      </w:r>
    </w:p>
    <w:p w14:paraId="19AB3DC7" w14:textId="77777777" w:rsidR="00382394" w:rsidRDefault="00A174BA">
      <w:pPr>
        <w:spacing w:line="360" w:lineRule="auto"/>
        <w:ind w:left="720" w:hanging="720"/>
        <w:jc w:val="both"/>
        <w:rPr>
          <w:rFonts w:ascii="Arial" w:hAnsi="Arial"/>
          <w:rtl/>
        </w:rPr>
      </w:pPr>
      <w:r>
        <w:rPr>
          <w:rFonts w:hint="cs"/>
          <w:rtl/>
        </w:rPr>
        <w:t>5.</w:t>
      </w:r>
      <w:r>
        <w:rPr>
          <w:rFonts w:ascii="Arial" w:hAnsi="Arial"/>
          <w:rtl/>
        </w:rPr>
        <w:t xml:space="preserve"> </w:t>
      </w:r>
      <w:r>
        <w:rPr>
          <w:rFonts w:ascii="Arial" w:hAnsi="Arial" w:hint="cs"/>
          <w:rtl/>
        </w:rPr>
        <w:tab/>
        <w:t xml:space="preserve">סחר בסמים הינו </w:t>
      </w:r>
      <w:r>
        <w:rPr>
          <w:rFonts w:ascii="Arial" w:hAnsi="Arial"/>
          <w:rtl/>
        </w:rPr>
        <w:t>עבירה המהווה רעה חולה</w:t>
      </w:r>
      <w:r>
        <w:rPr>
          <w:rFonts w:ascii="Arial" w:hAnsi="Arial" w:hint="cs"/>
          <w:rtl/>
        </w:rPr>
        <w:t xml:space="preserve">, ופוגעת </w:t>
      </w:r>
      <w:r>
        <w:rPr>
          <w:rFonts w:ascii="Arial" w:hAnsi="Arial"/>
          <w:rtl/>
        </w:rPr>
        <w:t xml:space="preserve">בציבור הרחב. סוחרי הסמים, מנצלים </w:t>
      </w:r>
      <w:r>
        <w:rPr>
          <w:rFonts w:ascii="Arial" w:hAnsi="Arial" w:hint="cs"/>
          <w:rtl/>
        </w:rPr>
        <w:t xml:space="preserve">את </w:t>
      </w:r>
      <w:r>
        <w:rPr>
          <w:rFonts w:ascii="Arial" w:hAnsi="Arial"/>
          <w:rtl/>
        </w:rPr>
        <w:t xml:space="preserve">תלות צרכני הסמים בסם, ומעמיקים את פגיעתו הרעה בגוף המשתמשים ובנפשם. אותם משתמשים, פוגעים </w:t>
      </w:r>
      <w:r>
        <w:rPr>
          <w:rFonts w:ascii="Arial" w:hAnsi="Arial" w:hint="cs"/>
          <w:rtl/>
        </w:rPr>
        <w:t xml:space="preserve">לא פעם </w:t>
      </w:r>
      <w:r>
        <w:rPr>
          <w:rFonts w:ascii="Arial" w:hAnsi="Arial"/>
          <w:rtl/>
        </w:rPr>
        <w:t>בציבור וברכושו</w:t>
      </w:r>
      <w:r>
        <w:rPr>
          <w:rFonts w:ascii="Arial" w:hAnsi="Arial" w:hint="cs"/>
          <w:rtl/>
        </w:rPr>
        <w:t>,</w:t>
      </w:r>
      <w:r>
        <w:rPr>
          <w:rFonts w:ascii="Arial" w:hAnsi="Arial"/>
          <w:rtl/>
        </w:rPr>
        <w:t xml:space="preserve"> על מנת לממן את צריכת הסם. מדובר בשרשרת קשה לניתוק, אשר במרכזה עומד אותו סוחר סמים, המזין מעגל זה.</w:t>
      </w:r>
    </w:p>
    <w:p w14:paraId="596DB151" w14:textId="77777777" w:rsidR="00382394" w:rsidRDefault="00A174BA">
      <w:pPr>
        <w:spacing w:line="360" w:lineRule="auto"/>
        <w:ind w:left="720"/>
        <w:jc w:val="both"/>
        <w:rPr>
          <w:rFonts w:ascii="Arial" w:hAnsi="Arial"/>
          <w:rtl/>
        </w:rPr>
      </w:pPr>
      <w:r>
        <w:rPr>
          <w:rFonts w:ascii="Arial" w:hAnsi="Arial" w:hint="cs"/>
          <w:rtl/>
        </w:rPr>
        <w:t xml:space="preserve">לפיכך, בתי המשפט מצווים, </w:t>
      </w:r>
      <w:r>
        <w:rPr>
          <w:rFonts w:ascii="Arial" w:hAnsi="Arial"/>
          <w:rtl/>
        </w:rPr>
        <w:t xml:space="preserve">בדרך כלל, </w:t>
      </w:r>
      <w:r>
        <w:rPr>
          <w:rFonts w:ascii="Arial" w:hAnsi="Arial" w:hint="cs"/>
          <w:rtl/>
        </w:rPr>
        <w:t xml:space="preserve">להטיל ענישה הכוללת </w:t>
      </w:r>
      <w:r>
        <w:rPr>
          <w:rFonts w:ascii="Arial" w:hAnsi="Arial"/>
          <w:rtl/>
        </w:rPr>
        <w:t>מאסר בפועל</w:t>
      </w:r>
      <w:r>
        <w:rPr>
          <w:rFonts w:ascii="Arial" w:hAnsi="Arial" w:hint="cs"/>
          <w:rtl/>
        </w:rPr>
        <w:t>, החל מ</w:t>
      </w:r>
      <w:r>
        <w:rPr>
          <w:rFonts w:ascii="Arial" w:hAnsi="Arial"/>
          <w:rtl/>
        </w:rPr>
        <w:t>מספר חודשים ועד למספר שנים, זאת בהתאם לאופי העבירה ונסיבותיה</w:t>
      </w:r>
      <w:r>
        <w:rPr>
          <w:rFonts w:ascii="Arial" w:hAnsi="Arial" w:hint="cs"/>
          <w:rtl/>
        </w:rPr>
        <w:t>:</w:t>
      </w:r>
    </w:p>
    <w:p w14:paraId="603848D7" w14:textId="77777777" w:rsidR="00382394" w:rsidRDefault="00A174BA">
      <w:pPr>
        <w:tabs>
          <w:tab w:val="left" w:pos="800"/>
        </w:tabs>
        <w:overflowPunct w:val="0"/>
        <w:autoSpaceDE w:val="0"/>
        <w:autoSpaceDN w:val="0"/>
        <w:adjustRightInd w:val="0"/>
        <w:ind w:left="1440" w:right="1418"/>
        <w:jc w:val="both"/>
        <w:rPr>
          <w:rFonts w:ascii="Arial" w:hAnsi="Arial"/>
          <w:b/>
          <w:bCs/>
          <w:rtl/>
        </w:rPr>
      </w:pPr>
      <w:r>
        <w:rPr>
          <w:rFonts w:ascii="Arial" w:hAnsi="Arial" w:hint="cs"/>
          <w:rtl/>
        </w:rPr>
        <w:t>"</w:t>
      </w:r>
      <w:r>
        <w:rPr>
          <w:rFonts w:ascii="Arial TUR" w:hAnsi="Arial TUR"/>
          <w:b/>
          <w:bCs/>
          <w:spacing w:val="10"/>
          <w:rtl/>
        </w:rPr>
        <w:t>כ</w:t>
      </w:r>
      <w:r>
        <w:rPr>
          <w:rFonts w:ascii="Arial TUR" w:hAnsi="Arial TUR" w:hint="cs"/>
          <w:b/>
          <w:bCs/>
          <w:spacing w:val="10"/>
          <w:rtl/>
        </w:rPr>
        <w:t>פ</w:t>
      </w:r>
      <w:r>
        <w:rPr>
          <w:rFonts w:ascii="Arial TUR" w:hAnsi="Arial TUR"/>
          <w:b/>
          <w:bCs/>
          <w:spacing w:val="10"/>
          <w:rtl/>
        </w:rPr>
        <w:t>י שציין בצדק בית משפט השלום, העונש אשר הושת על המבקש הינו פועל יוצא של אופיין החמור של עבירת הסחר בסמים</w:t>
      </w:r>
      <w:r>
        <w:rPr>
          <w:rFonts w:ascii="Arial TUR" w:hAnsi="Arial TUR" w:hint="cs"/>
          <w:spacing w:val="10"/>
          <w:rtl/>
        </w:rPr>
        <w:t xml:space="preserve">... </w:t>
      </w:r>
      <w:r>
        <w:rPr>
          <w:rFonts w:ascii="Arial TUR" w:hAnsi="Arial TUR"/>
          <w:b/>
          <w:bCs/>
          <w:spacing w:val="10"/>
          <w:rtl/>
        </w:rPr>
        <w:t xml:space="preserve">פועל יוצא של חומרה זו הוא רף הענישה הגבוה בעבירה כגון דא (ראו </w:t>
      </w:r>
      <w:r w:rsidRPr="00A174BA">
        <w:rPr>
          <w:rFonts w:ascii="Arial TUR" w:hAnsi="Arial TUR"/>
          <w:b/>
          <w:bCs/>
          <w:color w:val="000000"/>
          <w:spacing w:val="10"/>
          <w:rtl/>
        </w:rPr>
        <w:t>ע"פ 3759/03</w:t>
      </w:r>
      <w:r>
        <w:rPr>
          <w:rFonts w:ascii="Arial TUR" w:hAnsi="Arial TUR"/>
          <w:b/>
          <w:bCs/>
          <w:spacing w:val="10"/>
          <w:rtl/>
        </w:rPr>
        <w:t xml:space="preserve"> תמיר נ' מדינת ישראל (לא פורסם, 19.2.2004) (להלן: פרשת תמיר); </w:t>
      </w:r>
      <w:hyperlink r:id="rId10" w:history="1">
        <w:r w:rsidRPr="00A174BA">
          <w:rPr>
            <w:rFonts w:ascii="Arial TUR" w:hAnsi="Arial TUR"/>
            <w:b/>
            <w:bCs/>
            <w:color w:val="0000FF"/>
            <w:spacing w:val="10"/>
            <w:u w:val="single"/>
            <w:rtl/>
          </w:rPr>
          <w:t>ע"פ 6373/06</w:t>
        </w:r>
      </w:hyperlink>
      <w:r>
        <w:rPr>
          <w:rFonts w:ascii="Arial TUR" w:hAnsi="Arial TUR" w:hint="cs"/>
          <w:b/>
          <w:bCs/>
          <w:spacing w:val="10"/>
          <w:rtl/>
        </w:rPr>
        <w:t xml:space="preserve"> </w:t>
      </w:r>
      <w:r>
        <w:rPr>
          <w:rFonts w:ascii="Arial TUR" w:hAnsi="Arial TUR"/>
          <w:b/>
          <w:bCs/>
          <w:spacing w:val="10"/>
          <w:rtl/>
        </w:rPr>
        <w:t>מדינת ישראל נ' אלנשמי (לא פורסם, 6.9.2006)). ומנגד, אף שכל מקרה ומקרה נבחן לגופו, כאשר בסחר בסמים עסקינן, נסיבות אישיות הינן שיקול שולי המתגמד ביחס לשיקולים לחומרא (</w:t>
      </w:r>
      <w:hyperlink r:id="rId11" w:history="1">
        <w:r w:rsidRPr="00A174BA">
          <w:rPr>
            <w:rFonts w:ascii="Arial TUR" w:hAnsi="Arial TUR"/>
            <w:b/>
            <w:bCs/>
            <w:color w:val="0000FF"/>
            <w:spacing w:val="10"/>
            <w:u w:val="single"/>
            <w:rtl/>
          </w:rPr>
          <w:t>ע"פ 4381/05</w:t>
        </w:r>
      </w:hyperlink>
      <w:r>
        <w:rPr>
          <w:rFonts w:ascii="Arial TUR" w:hAnsi="Arial TUR"/>
          <w:b/>
          <w:bCs/>
          <w:spacing w:val="10"/>
          <w:rtl/>
        </w:rPr>
        <w:t xml:space="preserve"> אבו זקיקה נ' מדינת ישראל (לא פורסם, 12.7.2006); פרשת תמיר)</w:t>
      </w:r>
      <w:r>
        <w:rPr>
          <w:rFonts w:ascii="Arial TUR" w:hAnsi="Arial TUR" w:hint="cs"/>
          <w:b/>
          <w:bCs/>
          <w:spacing w:val="10"/>
          <w:rtl/>
        </w:rPr>
        <w:t>"</w:t>
      </w:r>
      <w:r>
        <w:rPr>
          <w:rFonts w:ascii="Arial TUR" w:hAnsi="Arial TUR"/>
          <w:b/>
          <w:bCs/>
          <w:spacing w:val="10"/>
          <w:rtl/>
        </w:rPr>
        <w:t xml:space="preserve">. </w:t>
      </w:r>
      <w:r>
        <w:rPr>
          <w:rFonts w:ascii="Arial" w:hAnsi="Arial" w:hint="cs"/>
          <w:b/>
          <w:bCs/>
          <w:rtl/>
        </w:rPr>
        <w:t xml:space="preserve"> </w:t>
      </w:r>
    </w:p>
    <w:p w14:paraId="6A4F46D4" w14:textId="77777777" w:rsidR="00382394" w:rsidRDefault="00A174BA">
      <w:pPr>
        <w:tabs>
          <w:tab w:val="left" w:pos="800"/>
        </w:tabs>
        <w:overflowPunct w:val="0"/>
        <w:autoSpaceDE w:val="0"/>
        <w:autoSpaceDN w:val="0"/>
        <w:adjustRightInd w:val="0"/>
        <w:spacing w:line="360" w:lineRule="auto"/>
        <w:jc w:val="both"/>
        <w:rPr>
          <w:rFonts w:ascii="Arial" w:hAnsi="Arial"/>
          <w:rtl/>
        </w:rPr>
      </w:pPr>
      <w:r>
        <w:rPr>
          <w:rFonts w:ascii="Arial" w:hAnsi="Arial" w:hint="cs"/>
          <w:rtl/>
        </w:rPr>
        <w:tab/>
      </w:r>
      <w:r>
        <w:rPr>
          <w:rFonts w:ascii="Arial" w:hAnsi="Arial" w:hint="cs"/>
          <w:rtl/>
        </w:rPr>
        <w:tab/>
        <w:t>(</w:t>
      </w:r>
      <w:hyperlink r:id="rId12" w:history="1">
        <w:r w:rsidRPr="00A174BA">
          <w:rPr>
            <w:rFonts w:ascii="Arial" w:hAnsi="Arial"/>
            <w:color w:val="0000FF"/>
            <w:u w:val="single"/>
            <w:rtl/>
          </w:rPr>
          <w:t>רע"פ 769/09</w:t>
        </w:r>
      </w:hyperlink>
      <w:r>
        <w:rPr>
          <w:rFonts w:ascii="Arial" w:hAnsi="Arial" w:hint="cs"/>
          <w:rtl/>
        </w:rPr>
        <w:t xml:space="preserve"> </w:t>
      </w:r>
      <w:r>
        <w:rPr>
          <w:rFonts w:ascii="Arial" w:hAnsi="Arial" w:hint="cs"/>
          <w:b/>
          <w:bCs/>
          <w:rtl/>
        </w:rPr>
        <w:t>רועי ברקן</w:t>
      </w:r>
      <w:r>
        <w:rPr>
          <w:rFonts w:ascii="Arial" w:hAnsi="Arial" w:hint="cs"/>
          <w:rtl/>
        </w:rPr>
        <w:t xml:space="preserve"> נ' </w:t>
      </w:r>
      <w:r>
        <w:rPr>
          <w:rFonts w:ascii="Arial" w:hAnsi="Arial" w:hint="cs"/>
          <w:b/>
          <w:bCs/>
          <w:rtl/>
        </w:rPr>
        <w:t>מדינת ישראל,</w:t>
      </w:r>
      <w:r>
        <w:rPr>
          <w:rFonts w:ascii="Arial" w:hAnsi="Arial" w:hint="cs"/>
          <w:rtl/>
        </w:rPr>
        <w:t xml:space="preserve"> (10.03.2009)). </w:t>
      </w:r>
    </w:p>
    <w:p w14:paraId="7E5D3457" w14:textId="77777777" w:rsidR="00382394" w:rsidRDefault="00382394">
      <w:pPr>
        <w:tabs>
          <w:tab w:val="left" w:pos="800"/>
        </w:tabs>
        <w:overflowPunct w:val="0"/>
        <w:autoSpaceDE w:val="0"/>
        <w:autoSpaceDN w:val="0"/>
        <w:adjustRightInd w:val="0"/>
        <w:spacing w:line="360" w:lineRule="auto"/>
        <w:jc w:val="both"/>
        <w:rPr>
          <w:rFonts w:ascii="Arial" w:hAnsi="Arial"/>
          <w:rtl/>
        </w:rPr>
      </w:pPr>
    </w:p>
    <w:p w14:paraId="58ADDB13" w14:textId="77777777" w:rsidR="00382394" w:rsidRDefault="00A174BA">
      <w:pPr>
        <w:tabs>
          <w:tab w:val="left" w:pos="800"/>
        </w:tabs>
        <w:overflowPunct w:val="0"/>
        <w:autoSpaceDE w:val="0"/>
        <w:autoSpaceDN w:val="0"/>
        <w:adjustRightInd w:val="0"/>
        <w:spacing w:line="360" w:lineRule="auto"/>
        <w:ind w:left="720"/>
        <w:jc w:val="both"/>
        <w:rPr>
          <w:rFonts w:ascii="Arial" w:hAnsi="Arial"/>
          <w:rtl/>
        </w:rPr>
      </w:pPr>
      <w:r>
        <w:rPr>
          <w:rFonts w:ascii="Arial" w:hAnsi="Arial" w:hint="cs"/>
          <w:rtl/>
        </w:rPr>
        <w:tab/>
        <w:t xml:space="preserve">בנסיבות המקרה הנדון, אין המדובר בסחר "אקראי", אלא במכירת סם, תוך תיאום טלפוני מוקדם, באמצעות גורם מתווך, סחר בכמות של </w:t>
      </w:r>
      <w:smartTag w:uri="urn:schemas-microsoft-com:office:smarttags" w:element="metricconverter">
        <w:smartTagPr>
          <w:attr w:name="ProductID" w:val="42 גרם"/>
        </w:smartTagPr>
        <w:r>
          <w:rPr>
            <w:rFonts w:ascii="Arial" w:hAnsi="Arial" w:hint="cs"/>
            <w:rtl/>
          </w:rPr>
          <w:t>42 גרם</w:t>
        </w:r>
      </w:smartTag>
      <w:r>
        <w:rPr>
          <w:rFonts w:ascii="Arial" w:hAnsi="Arial" w:hint="cs"/>
          <w:rtl/>
        </w:rPr>
        <w:t xml:space="preserve"> ובתמורה משמעותית של 900 ₪.</w:t>
      </w:r>
    </w:p>
    <w:p w14:paraId="20BA5048" w14:textId="77777777" w:rsidR="00382394" w:rsidRDefault="00382394">
      <w:pPr>
        <w:tabs>
          <w:tab w:val="left" w:pos="800"/>
        </w:tabs>
        <w:overflowPunct w:val="0"/>
        <w:autoSpaceDE w:val="0"/>
        <w:autoSpaceDN w:val="0"/>
        <w:adjustRightInd w:val="0"/>
        <w:spacing w:line="360" w:lineRule="auto"/>
        <w:jc w:val="both"/>
        <w:rPr>
          <w:rFonts w:ascii="Arial" w:hAnsi="Arial"/>
          <w:rtl/>
        </w:rPr>
      </w:pPr>
    </w:p>
    <w:p w14:paraId="26A68E9C" w14:textId="77777777" w:rsidR="00382394" w:rsidRDefault="00A174BA">
      <w:pPr>
        <w:tabs>
          <w:tab w:val="left" w:pos="800"/>
        </w:tabs>
        <w:overflowPunct w:val="0"/>
        <w:autoSpaceDE w:val="0"/>
        <w:autoSpaceDN w:val="0"/>
        <w:adjustRightInd w:val="0"/>
        <w:spacing w:line="360" w:lineRule="auto"/>
        <w:ind w:left="720" w:hanging="720"/>
        <w:jc w:val="both"/>
        <w:rPr>
          <w:rFonts w:ascii="Arial" w:hAnsi="Arial"/>
          <w:rtl/>
        </w:rPr>
      </w:pPr>
      <w:r>
        <w:rPr>
          <w:rFonts w:ascii="Arial" w:hAnsi="Arial" w:hint="cs"/>
          <w:rtl/>
        </w:rPr>
        <w:lastRenderedPageBreak/>
        <w:t xml:space="preserve">6. </w:t>
      </w:r>
      <w:r>
        <w:rPr>
          <w:rFonts w:ascii="Arial" w:hAnsi="Arial" w:hint="cs"/>
          <w:rtl/>
        </w:rPr>
        <w:tab/>
        <w:t xml:space="preserve">לאחר ששקלתי את הפגיעה בערכים המוגנים, את נסיבות ביצוע העבירה והפסיקה הנוהגת, אני קובע כי מתחם הענישה במקרה זה נע בין 7 ל-18 חודשי מאסר בפועל. לצד עונש המאסר, סוחרי סמים יש להכות אף בכיסם. בנסיבות מקרה זה, ולאחר שהתחשבתי בנתוני הנאשם כפי שעלו במסגרת התסקיר וטיעוני ההגנה, אני קובע כי מתחם הקנס במקרה הנדון נע בין 1,500 ₪ ל 5,000 ₪.  </w:t>
      </w:r>
    </w:p>
    <w:p w14:paraId="5EB9AFD7" w14:textId="77777777" w:rsidR="00382394" w:rsidRDefault="00382394">
      <w:pPr>
        <w:tabs>
          <w:tab w:val="left" w:pos="800"/>
        </w:tabs>
        <w:overflowPunct w:val="0"/>
        <w:autoSpaceDE w:val="0"/>
        <w:autoSpaceDN w:val="0"/>
        <w:adjustRightInd w:val="0"/>
        <w:spacing w:line="360" w:lineRule="auto"/>
        <w:jc w:val="both"/>
        <w:rPr>
          <w:rFonts w:ascii="Arial" w:hAnsi="Arial"/>
          <w:rtl/>
        </w:rPr>
      </w:pPr>
    </w:p>
    <w:p w14:paraId="149BBBA7" w14:textId="77777777" w:rsidR="00382394" w:rsidRDefault="00A174BA">
      <w:pPr>
        <w:tabs>
          <w:tab w:val="left" w:pos="800"/>
        </w:tabs>
        <w:overflowPunct w:val="0"/>
        <w:autoSpaceDE w:val="0"/>
        <w:autoSpaceDN w:val="0"/>
        <w:adjustRightInd w:val="0"/>
        <w:spacing w:line="360" w:lineRule="auto"/>
        <w:jc w:val="both"/>
        <w:rPr>
          <w:rFonts w:ascii="Arial" w:hAnsi="Arial"/>
          <w:u w:val="single"/>
          <w:rtl/>
        </w:rPr>
      </w:pPr>
      <w:r>
        <w:rPr>
          <w:rFonts w:ascii="Arial" w:hAnsi="Arial" w:hint="cs"/>
          <w:u w:val="single"/>
          <w:rtl/>
        </w:rPr>
        <w:t>העונש המתאים</w:t>
      </w:r>
    </w:p>
    <w:p w14:paraId="357AA267" w14:textId="77777777" w:rsidR="00382394" w:rsidRDefault="00A174BA">
      <w:pPr>
        <w:spacing w:line="360" w:lineRule="auto"/>
        <w:ind w:left="720" w:hanging="720"/>
        <w:jc w:val="both"/>
        <w:rPr>
          <w:rFonts w:ascii="Arial" w:hAnsi="Arial"/>
          <w:rtl/>
        </w:rPr>
      </w:pPr>
      <w:r>
        <w:rPr>
          <w:rFonts w:ascii="Arial" w:hAnsi="Arial" w:hint="cs"/>
          <w:rtl/>
        </w:rPr>
        <w:t xml:space="preserve">7. </w:t>
      </w:r>
      <w:r>
        <w:rPr>
          <w:rFonts w:ascii="Arial" w:hAnsi="Arial" w:hint="cs"/>
          <w:rtl/>
        </w:rPr>
        <w:tab/>
        <w:t xml:space="preserve">הנאשם קיבל אחריות מלאה על מעשיו, כאשר מכל הנתונים שהובאו לפני עולה כי מדובר בסטיה חד פעמית, שאינה מאפיינת את אורח חייו. הנאשם נעדר כל עבר פלילי, ניהל מאז ומעולם אורח חיים נורמטיבי, שומר על יציבות הן בחיי המשפחה והן בעבודתו, ואינו מאופיין בדפוסים עבריינים. בנסיבות אלה, תוך מחשבה על השפעת עונש מאסר בפועל, הן על הנאשם והן על משפחתו הקרובה, וכן התועלת לחברה כולה, אני מוצא כי המאשימה גילתה במקרה זה עמדה הגונה וראויה ביותר. כל הנתונים אשר הובאו במסגרת טיעוני בא כוח הנאשם לעונש, יש בהם לחזק ולבסס עמדה זו, לפיה יש לסטות במקרה הנדון ממתחם הענישה, בשל סיכוי ממשי לשיקום הנאשם. יחד עם זאת, אין בכל הנתונים האמורים כדי להביא לסטיה אשר תקבע ענישה נמוכה מזו לה עתרה המאשימה. </w:t>
      </w:r>
    </w:p>
    <w:p w14:paraId="3CB50DC1" w14:textId="77777777" w:rsidR="00382394" w:rsidRDefault="00382394">
      <w:pPr>
        <w:spacing w:line="360" w:lineRule="auto"/>
        <w:ind w:left="720" w:hanging="720"/>
        <w:jc w:val="both"/>
        <w:rPr>
          <w:rFonts w:ascii="Arial" w:hAnsi="Arial"/>
          <w:rtl/>
        </w:rPr>
      </w:pPr>
    </w:p>
    <w:p w14:paraId="08DD71C5" w14:textId="77777777" w:rsidR="00382394" w:rsidRDefault="00A174BA">
      <w:pPr>
        <w:spacing w:line="360" w:lineRule="auto"/>
        <w:ind w:left="720" w:hanging="720"/>
        <w:jc w:val="both"/>
        <w:rPr>
          <w:rFonts w:ascii="Arial" w:hAnsi="Arial"/>
          <w:rtl/>
        </w:rPr>
      </w:pPr>
      <w:r>
        <w:rPr>
          <w:rFonts w:ascii="Arial" w:hAnsi="Arial" w:hint="cs"/>
          <w:rtl/>
        </w:rPr>
        <w:t xml:space="preserve">8. </w:t>
      </w:r>
      <w:r>
        <w:rPr>
          <w:rFonts w:ascii="Arial" w:hAnsi="Arial" w:hint="cs"/>
          <w:rtl/>
        </w:rPr>
        <w:tab/>
        <w:t xml:space="preserve">לאחר ששקלתי את כל האמור לעיל, החלטתי להטיל על הנאשם את העונשים הבאים: </w:t>
      </w:r>
    </w:p>
    <w:p w14:paraId="32623F13" w14:textId="77777777" w:rsidR="00382394" w:rsidRDefault="00A174BA">
      <w:pPr>
        <w:spacing w:line="360" w:lineRule="auto"/>
        <w:ind w:left="720"/>
        <w:jc w:val="both"/>
        <w:rPr>
          <w:rFonts w:ascii="Arial" w:hAnsi="Arial"/>
          <w:rtl/>
        </w:rPr>
      </w:pPr>
      <w:r>
        <w:rPr>
          <w:rFonts w:ascii="Arial" w:hAnsi="Arial" w:hint="cs"/>
          <w:rtl/>
        </w:rPr>
        <w:t xml:space="preserve">א. </w:t>
      </w:r>
      <w:r>
        <w:rPr>
          <w:rFonts w:ascii="Arial" w:hAnsi="Arial" w:hint="cs"/>
          <w:rtl/>
        </w:rPr>
        <w:tab/>
        <w:t xml:space="preserve">6 חודשי מאסר, אשר ירוצו בעבודות שירות, זאת בהתאם לחוות דעת הממונה. </w:t>
      </w:r>
    </w:p>
    <w:p w14:paraId="7E1A91B1" w14:textId="77777777" w:rsidR="00382394" w:rsidRDefault="00A174BA">
      <w:pPr>
        <w:spacing w:line="360" w:lineRule="auto"/>
        <w:ind w:left="1440" w:hanging="720"/>
        <w:jc w:val="both"/>
        <w:rPr>
          <w:rFonts w:ascii="Arial" w:hAnsi="Arial"/>
          <w:rtl/>
        </w:rPr>
      </w:pPr>
      <w:r>
        <w:rPr>
          <w:rFonts w:ascii="Arial" w:hAnsi="Arial" w:hint="cs"/>
          <w:rtl/>
        </w:rPr>
        <w:t>ב.</w:t>
      </w:r>
      <w:r>
        <w:rPr>
          <w:rFonts w:ascii="Arial" w:hAnsi="Arial" w:hint="cs"/>
          <w:rtl/>
        </w:rPr>
        <w:tab/>
        <w:t xml:space="preserve"> קנס בסך 1,500 ₪ או חודש מאסר תמורתו. הקנס ישולם בשלושה תשלומים שווים, החל מיום 1.3.2015, ומידי ראשון בכל חודש שלאחריו.</w:t>
      </w:r>
    </w:p>
    <w:p w14:paraId="5C5432AD" w14:textId="77777777" w:rsidR="00382394" w:rsidRDefault="00A174BA">
      <w:pPr>
        <w:spacing w:line="360" w:lineRule="auto"/>
        <w:ind w:left="1440"/>
        <w:jc w:val="both"/>
        <w:rPr>
          <w:rFonts w:ascii="Arial" w:hAnsi="Arial"/>
          <w:rtl/>
        </w:rPr>
      </w:pPr>
      <w:r>
        <w:rPr>
          <w:rFonts w:ascii="Arial" w:hAnsi="Arial" w:hint="cs"/>
          <w:rtl/>
        </w:rPr>
        <w:t xml:space="preserve">ניתן לקזז את גובה הקנס מסך ההפקדה אשר הופקדה בתיק המעצר הקשור לתיק זה </w:t>
      </w:r>
      <w:hyperlink r:id="rId13" w:history="1">
        <w:r w:rsidRPr="00A174BA">
          <w:rPr>
            <w:rFonts w:ascii="Arial" w:hAnsi="Arial"/>
            <w:color w:val="0000FF"/>
            <w:u w:val="single"/>
            <w:rtl/>
          </w:rPr>
          <w:t>מ"ת 57346-05-13</w:t>
        </w:r>
      </w:hyperlink>
      <w:r>
        <w:rPr>
          <w:rFonts w:ascii="Arial" w:hAnsi="Arial" w:hint="cs"/>
          <w:rtl/>
        </w:rPr>
        <w:t xml:space="preserve">. יתרת ההפקדה תוחזר לנאשם בהתאם לנוהלי מזכירות בית המשפט. </w:t>
      </w:r>
    </w:p>
    <w:p w14:paraId="25290EF6" w14:textId="77777777" w:rsidR="00382394" w:rsidRDefault="00A174BA">
      <w:pPr>
        <w:spacing w:line="360" w:lineRule="auto"/>
        <w:ind w:left="1440" w:hanging="720"/>
        <w:jc w:val="both"/>
        <w:rPr>
          <w:rFonts w:ascii="Arial" w:hAnsi="Arial"/>
          <w:rtl/>
        </w:rPr>
      </w:pPr>
      <w:r>
        <w:rPr>
          <w:rFonts w:ascii="Arial" w:hAnsi="Arial" w:hint="cs"/>
          <w:rtl/>
        </w:rPr>
        <w:t xml:space="preserve">ג. </w:t>
      </w:r>
      <w:r>
        <w:rPr>
          <w:rFonts w:ascii="Arial" w:hAnsi="Arial" w:hint="cs"/>
          <w:rtl/>
        </w:rPr>
        <w:tab/>
        <w:t xml:space="preserve">7 חודשי מאסר, אותם לא ירצה אלא אם יעבור תוך 3 שנים מהיום, עבירת סמים מסוג פשע. </w:t>
      </w:r>
    </w:p>
    <w:p w14:paraId="332FAD5D" w14:textId="77777777" w:rsidR="00382394" w:rsidRDefault="00A174BA">
      <w:pPr>
        <w:spacing w:line="360" w:lineRule="auto"/>
        <w:ind w:left="720"/>
        <w:jc w:val="both"/>
        <w:rPr>
          <w:rFonts w:ascii="Arial" w:hAnsi="Arial"/>
          <w:rtl/>
        </w:rPr>
      </w:pPr>
      <w:r>
        <w:rPr>
          <w:rFonts w:ascii="Arial" w:hAnsi="Arial" w:hint="cs"/>
          <w:rtl/>
        </w:rPr>
        <w:t xml:space="preserve">ד. </w:t>
      </w:r>
      <w:r>
        <w:rPr>
          <w:rFonts w:ascii="Arial" w:hAnsi="Arial" w:hint="cs"/>
          <w:rtl/>
        </w:rPr>
        <w:tab/>
        <w:t xml:space="preserve">ניתן בזאת צו להשמדת הסמים.   </w:t>
      </w:r>
    </w:p>
    <w:p w14:paraId="471A92E4" w14:textId="77777777" w:rsidR="00382394" w:rsidRDefault="00382394">
      <w:pPr>
        <w:rPr>
          <w:rtl/>
        </w:rPr>
      </w:pPr>
    </w:p>
    <w:p w14:paraId="618200F4" w14:textId="77777777" w:rsidR="00382394" w:rsidRDefault="00A174BA">
      <w:pPr>
        <w:rPr>
          <w:rtl/>
        </w:rPr>
      </w:pPr>
      <w:r w:rsidRPr="00A174BA">
        <w:rPr>
          <w:color w:val="FFFFFF"/>
          <w:sz w:val="2"/>
          <w:szCs w:val="2"/>
          <w:rtl/>
        </w:rPr>
        <w:t>5129371</w:t>
      </w:r>
      <w:r>
        <w:rPr>
          <w:rFonts w:hint="cs"/>
          <w:rtl/>
        </w:rPr>
        <w:t xml:space="preserve">זכות ערעור לבית המשפט המחוזי בירושלים תוך 45 יום מהיום. </w:t>
      </w:r>
    </w:p>
    <w:p w14:paraId="536B7F75" w14:textId="77777777" w:rsidR="00382394" w:rsidRDefault="00A174BA">
      <w:pPr>
        <w:rPr>
          <w:rFonts w:cs="FrankRuehl"/>
          <w:sz w:val="28"/>
          <w:szCs w:val="28"/>
          <w:rtl/>
        </w:rPr>
      </w:pPr>
      <w:r w:rsidRPr="00A174BA">
        <w:rPr>
          <w:rFonts w:ascii="Arial" w:hAnsi="Arial"/>
          <w:color w:val="FFFFFF"/>
          <w:sz w:val="2"/>
          <w:szCs w:val="2"/>
          <w:rtl/>
        </w:rPr>
        <w:t>54678313</w:t>
      </w:r>
      <w:r>
        <w:rPr>
          <w:rFonts w:ascii="Arial" w:hAnsi="Arial"/>
          <w:rtl/>
        </w:rPr>
        <w:t xml:space="preserve">ניתן היום,  כ' טבת תשע"ה, 11 ינואר 2015, בנוכחות הצדדים. </w:t>
      </w:r>
    </w:p>
    <w:p w14:paraId="5E059E25" w14:textId="77777777" w:rsidR="00382394" w:rsidRDefault="00A174B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890C7D6" w14:textId="77777777" w:rsidR="00382394" w:rsidRDefault="00382394">
      <w:pPr>
        <w:jc w:val="center"/>
        <w:rPr>
          <w:rFonts w:ascii="Arial" w:hAnsi="Arial" w:cs="FrankRuehl"/>
          <w:sz w:val="28"/>
          <w:szCs w:val="28"/>
          <w:rtl/>
        </w:rPr>
      </w:pPr>
    </w:p>
    <w:p w14:paraId="054F20C8" w14:textId="77777777" w:rsidR="00A174BA" w:rsidRPr="00A174BA" w:rsidRDefault="00A174BA" w:rsidP="00A174BA">
      <w:pPr>
        <w:keepNext/>
        <w:rPr>
          <w:rFonts w:ascii="David" w:hAnsi="David"/>
          <w:color w:val="000000"/>
          <w:sz w:val="22"/>
          <w:szCs w:val="22"/>
          <w:rtl/>
        </w:rPr>
      </w:pPr>
    </w:p>
    <w:p w14:paraId="47A9496F" w14:textId="77777777" w:rsidR="00A174BA" w:rsidRPr="00A174BA" w:rsidRDefault="00A174BA" w:rsidP="00A174BA">
      <w:pPr>
        <w:keepNext/>
        <w:rPr>
          <w:rFonts w:ascii="David" w:hAnsi="David"/>
          <w:color w:val="000000"/>
          <w:sz w:val="22"/>
          <w:szCs w:val="22"/>
          <w:rtl/>
        </w:rPr>
      </w:pPr>
      <w:r w:rsidRPr="00A174BA">
        <w:rPr>
          <w:rFonts w:ascii="David" w:hAnsi="David"/>
          <w:color w:val="000000"/>
          <w:sz w:val="22"/>
          <w:szCs w:val="22"/>
          <w:rtl/>
        </w:rPr>
        <w:t>איתן קורנהאוזר 54678313</w:t>
      </w:r>
    </w:p>
    <w:p w14:paraId="44730AAE" w14:textId="77777777" w:rsidR="00A174BA" w:rsidRDefault="00A174BA" w:rsidP="00A174BA">
      <w:r w:rsidRPr="00A174BA">
        <w:rPr>
          <w:color w:val="000000"/>
          <w:rtl/>
        </w:rPr>
        <w:t>נוסח מסמך זה כפוף לשינויי ניסוח ועריכה</w:t>
      </w:r>
    </w:p>
    <w:p w14:paraId="0C6D8982" w14:textId="77777777" w:rsidR="00A174BA" w:rsidRDefault="00A174BA" w:rsidP="00A174BA">
      <w:pPr>
        <w:rPr>
          <w:rtl/>
        </w:rPr>
      </w:pPr>
    </w:p>
    <w:p w14:paraId="614100F7" w14:textId="77777777" w:rsidR="00382394" w:rsidRPr="00A174BA" w:rsidRDefault="00A174BA" w:rsidP="008219E6">
      <w:pPr>
        <w:jc w:val="center"/>
        <w:rPr>
          <w:rFonts w:hint="cs"/>
          <w:color w:val="0000FF"/>
          <w:u w:val="single"/>
        </w:rPr>
      </w:pPr>
      <w:hyperlink r:id="rId14" w:history="1">
        <w:r>
          <w:rPr>
            <w:color w:val="0000FF"/>
            <w:u w:val="single"/>
            <w:rtl/>
          </w:rPr>
          <w:t>בעניין עריכה ושינויים במסמכי פסיקה, חקיקה ועוד באתר נבו – הקש כאן</w:t>
        </w:r>
      </w:hyperlink>
    </w:p>
    <w:sectPr w:rsidR="00382394" w:rsidRPr="00A174BA" w:rsidSect="00A174BA">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9F03E" w14:textId="77777777" w:rsidR="00AC4642" w:rsidRPr="004A6EE5" w:rsidRDefault="00AC4642">
      <w:pPr>
        <w:rPr>
          <w:rFonts w:cs="Arial"/>
          <w:szCs w:val="20"/>
        </w:rPr>
      </w:pPr>
      <w:r>
        <w:separator/>
      </w:r>
    </w:p>
  </w:endnote>
  <w:endnote w:type="continuationSeparator" w:id="0">
    <w:p w14:paraId="3199403D" w14:textId="77777777" w:rsidR="00AC4642" w:rsidRPr="004A6EE5" w:rsidRDefault="00AC464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B5651" w14:textId="77777777" w:rsidR="00AC4642" w:rsidRDefault="00AC4642" w:rsidP="00A174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6B38B8" w14:textId="77777777" w:rsidR="00AC4642" w:rsidRPr="00A174BA" w:rsidRDefault="00AC4642" w:rsidP="00A174BA">
    <w:pPr>
      <w:pStyle w:val="a4"/>
      <w:pBdr>
        <w:top w:val="single" w:sz="4" w:space="1" w:color="auto"/>
        <w:between w:val="single" w:sz="4" w:space="0" w:color="auto"/>
      </w:pBdr>
      <w:spacing w:after="60"/>
      <w:jc w:val="center"/>
      <w:rPr>
        <w:rFonts w:ascii="FrankRuehl" w:hAnsi="FrankRuehl" w:cs="FrankRuehl"/>
        <w:color w:val="000000"/>
      </w:rPr>
    </w:pPr>
    <w:r w:rsidRPr="00A174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938FB" w14:textId="77777777" w:rsidR="00AC4642" w:rsidRDefault="00AC4642" w:rsidP="00A174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1CFD">
      <w:rPr>
        <w:rFonts w:ascii="FrankRuehl" w:hAnsi="FrankRuehl" w:cs="FrankRuehl"/>
        <w:noProof/>
        <w:rtl/>
      </w:rPr>
      <w:t>1</w:t>
    </w:r>
    <w:r>
      <w:rPr>
        <w:rFonts w:ascii="FrankRuehl" w:hAnsi="FrankRuehl" w:cs="FrankRuehl"/>
        <w:rtl/>
      </w:rPr>
      <w:fldChar w:fldCharType="end"/>
    </w:r>
  </w:p>
  <w:p w14:paraId="7A7BDD08" w14:textId="77777777" w:rsidR="00AC4642" w:rsidRPr="00A174BA" w:rsidRDefault="00AC4642" w:rsidP="00A174BA">
    <w:pPr>
      <w:pStyle w:val="a4"/>
      <w:pBdr>
        <w:top w:val="single" w:sz="4" w:space="1" w:color="auto"/>
        <w:between w:val="single" w:sz="4" w:space="0" w:color="auto"/>
      </w:pBdr>
      <w:spacing w:after="60"/>
      <w:jc w:val="center"/>
      <w:rPr>
        <w:rFonts w:ascii="FrankRuehl" w:hAnsi="FrankRuehl" w:cs="FrankRuehl"/>
        <w:color w:val="000000"/>
      </w:rPr>
    </w:pPr>
    <w:r w:rsidRPr="00A174BA">
      <w:rPr>
        <w:rFonts w:ascii="FrankRuehl" w:hAnsi="FrankRuehl" w:cs="FrankRuehl"/>
        <w:color w:val="000000"/>
      </w:rPr>
      <w:pict w14:anchorId="47086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AFFDA" w14:textId="77777777" w:rsidR="00AC4642" w:rsidRPr="004A6EE5" w:rsidRDefault="00AC4642">
      <w:pPr>
        <w:rPr>
          <w:rFonts w:cs="Arial"/>
          <w:szCs w:val="20"/>
        </w:rPr>
      </w:pPr>
      <w:r>
        <w:separator/>
      </w:r>
    </w:p>
  </w:footnote>
  <w:footnote w:type="continuationSeparator" w:id="0">
    <w:p w14:paraId="6E1D98F6" w14:textId="77777777" w:rsidR="00AC4642" w:rsidRPr="004A6EE5" w:rsidRDefault="00AC464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94B26" w14:textId="77777777" w:rsidR="00AC4642" w:rsidRPr="00A174BA" w:rsidRDefault="00AC4642" w:rsidP="00A174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57334-05-13</w:t>
    </w:r>
    <w:r>
      <w:rPr>
        <w:rFonts w:ascii="David" w:hAnsi="David"/>
        <w:color w:val="000000"/>
        <w:sz w:val="22"/>
        <w:szCs w:val="22"/>
        <w:rtl/>
      </w:rPr>
      <w:tab/>
      <w:t xml:space="preserve"> מדינת ישראל נ' שריף עוודאללה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3C0E6" w14:textId="77777777" w:rsidR="00AC4642" w:rsidRPr="00A174BA" w:rsidRDefault="00AC4642" w:rsidP="00A174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57334-05-13</w:t>
    </w:r>
    <w:r>
      <w:rPr>
        <w:rFonts w:ascii="David" w:hAnsi="David"/>
        <w:color w:val="000000"/>
        <w:sz w:val="22"/>
        <w:szCs w:val="22"/>
        <w:rtl/>
      </w:rPr>
      <w:tab/>
      <w:t xml:space="preserve"> מדינת ישראל נ' שריף עוודאללה (אחר/נוסף)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2394"/>
    <w:rsid w:val="00241CFD"/>
    <w:rsid w:val="00327A47"/>
    <w:rsid w:val="00382394"/>
    <w:rsid w:val="003A0FCD"/>
    <w:rsid w:val="00506476"/>
    <w:rsid w:val="0077224C"/>
    <w:rsid w:val="008219E6"/>
    <w:rsid w:val="00A174BA"/>
    <w:rsid w:val="00AC46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E5C9F28"/>
  <w15:chartTrackingRefBased/>
  <w15:docId w15:val="{29A5F77A-A8D4-415B-8A1B-DB25E752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239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82394"/>
    <w:pPr>
      <w:tabs>
        <w:tab w:val="center" w:pos="4153"/>
        <w:tab w:val="right" w:pos="8306"/>
      </w:tabs>
    </w:pPr>
  </w:style>
  <w:style w:type="paragraph" w:styleId="a4">
    <w:name w:val="footer"/>
    <w:basedOn w:val="a"/>
    <w:rsid w:val="00382394"/>
    <w:pPr>
      <w:tabs>
        <w:tab w:val="center" w:pos="4153"/>
        <w:tab w:val="right" w:pos="8306"/>
      </w:tabs>
    </w:pPr>
  </w:style>
  <w:style w:type="character" w:styleId="a5">
    <w:name w:val="page number"/>
    <w:basedOn w:val="a0"/>
    <w:rsid w:val="00382394"/>
  </w:style>
  <w:style w:type="character" w:styleId="Hyperlink">
    <w:name w:val="Hyperlink"/>
    <w:basedOn w:val="a0"/>
    <w:rsid w:val="00A17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702483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13" TargetMode="External"/><Relationship Id="rId12" Type="http://schemas.openxmlformats.org/officeDocument/2006/relationships/hyperlink" Target="http://www.nevo.co.il/case/57247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953822"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606221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5124</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3866739</vt:i4>
      </vt:variant>
      <vt:variant>
        <vt:i4>21</vt:i4>
      </vt:variant>
      <vt:variant>
        <vt:i4>0</vt:i4>
      </vt:variant>
      <vt:variant>
        <vt:i4>5</vt:i4>
      </vt:variant>
      <vt:variant>
        <vt:lpwstr>http://www.nevo.co.il/case/7024836</vt:lpwstr>
      </vt:variant>
      <vt:variant>
        <vt:lpwstr/>
      </vt:variant>
      <vt:variant>
        <vt:i4>3211383</vt:i4>
      </vt:variant>
      <vt:variant>
        <vt:i4>18</vt:i4>
      </vt:variant>
      <vt:variant>
        <vt:i4>0</vt:i4>
      </vt:variant>
      <vt:variant>
        <vt:i4>5</vt:i4>
      </vt:variant>
      <vt:variant>
        <vt:lpwstr>http://www.nevo.co.il/case/5724701</vt:lpwstr>
      </vt:variant>
      <vt:variant>
        <vt:lpwstr/>
      </vt:variant>
      <vt:variant>
        <vt:i4>3801212</vt:i4>
      </vt:variant>
      <vt:variant>
        <vt:i4>15</vt:i4>
      </vt:variant>
      <vt:variant>
        <vt:i4>0</vt:i4>
      </vt:variant>
      <vt:variant>
        <vt:i4>5</vt:i4>
      </vt:variant>
      <vt:variant>
        <vt:lpwstr>http://www.nevo.co.il/case/5953822</vt:lpwstr>
      </vt:variant>
      <vt:variant>
        <vt:lpwstr/>
      </vt:variant>
      <vt:variant>
        <vt:i4>3473527</vt:i4>
      </vt:variant>
      <vt:variant>
        <vt:i4>12</vt:i4>
      </vt:variant>
      <vt:variant>
        <vt:i4>0</vt:i4>
      </vt:variant>
      <vt:variant>
        <vt:i4>5</vt:i4>
      </vt:variant>
      <vt:variant>
        <vt:lpwstr>http://www.nevo.co.il/case/6062217</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2025-04-22T22:02:00Z</dcterms:created>
  <dcterms:modified xsi:type="dcterms:W3CDTF">2025-04-22T22:02:00Z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57334</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שריף עוודאללה (אחר/נוסף)</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20150111</vt:lpwstr>
  </property>
  <property fmtid="{D5CDD505-2E9C-101B-9397-08002B2CF9AE}" pid="13" name="TYPE_N_DATE">
    <vt:lpwstr>38020150111</vt:lpwstr>
  </property>
  <property fmtid="{D5CDD505-2E9C-101B-9397-08002B2CF9AE}" pid="14" name="CASESLISTTMP1">
    <vt:lpwstr>6062217;5953822;5724701;7024836</vt:lpwstr>
  </property>
  <property fmtid="{D5CDD505-2E9C-101B-9397-08002B2CF9AE}" pid="15" name="CASENOTES1">
    <vt:lpwstr>ProcID=133;209&amp;PartA=3759&amp;PartC=03</vt:lpwstr>
  </property>
  <property fmtid="{D5CDD505-2E9C-101B-9397-08002B2CF9AE}" pid="16" name="WORDNUMPAGES">
    <vt:lpwstr>3</vt:lpwstr>
  </property>
  <property fmtid="{D5CDD505-2E9C-101B-9397-08002B2CF9AE}" pid="17" name="TYPE_ABS_DATE">
    <vt:lpwstr>380020150111</vt:lpwstr>
  </property>
  <property fmtid="{D5CDD505-2E9C-101B-9397-08002B2CF9AE}" pid="18" name="LAWLISTTMP1">
    <vt:lpwstr>4216/013</vt:lpwstr>
  </property>
</Properties>
</file>