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753"/>
        <w:gridCol w:w="1298"/>
        <w:gridCol w:w="3670"/>
      </w:tblGrid>
      <w:tr w:rsidR="003C02DD" w:rsidRPr="00E10FC4" w14:paraId="61833A08" w14:textId="77777777">
        <w:trPr>
          <w:trHeight w:hRule="exact" w:val="339"/>
          <w:jc w:val="center"/>
        </w:trPr>
        <w:tc>
          <w:tcPr>
            <w:tcW w:w="8721" w:type="dxa"/>
            <w:gridSpan w:val="3"/>
          </w:tcPr>
          <w:p w14:paraId="586CD063" w14:textId="77777777" w:rsidR="003C02DD" w:rsidRPr="00E10FC4" w:rsidRDefault="00E10FC4">
            <w:pPr>
              <w:pStyle w:val="a3"/>
              <w:jc w:val="center"/>
              <w:rPr>
                <w:rFonts w:ascii="Tahoma" w:hAnsi="Tahoma"/>
                <w:rtl/>
              </w:rPr>
            </w:pPr>
            <w:bookmarkStart w:id="0" w:name="LastJudge"/>
            <w:r w:rsidRPr="00E10FC4">
              <w:rPr>
                <w:rFonts w:ascii="Tahoma" w:hAnsi="Tahoma" w:hint="cs"/>
                <w:b/>
                <w:bCs/>
                <w:rtl/>
              </w:rPr>
              <w:t>בתי המשפט</w:t>
            </w:r>
          </w:p>
        </w:tc>
      </w:tr>
      <w:tr w:rsidR="003C02DD" w:rsidRPr="00E10FC4" w14:paraId="6F6DA737" w14:textId="77777777">
        <w:trPr>
          <w:trHeight w:val="337"/>
          <w:jc w:val="center"/>
        </w:trPr>
        <w:tc>
          <w:tcPr>
            <w:tcW w:w="5051" w:type="dxa"/>
            <w:gridSpan w:val="2"/>
          </w:tcPr>
          <w:p w14:paraId="02563D78" w14:textId="77777777" w:rsidR="003C02DD" w:rsidRPr="00E10FC4" w:rsidRDefault="00E10FC4">
            <w:pPr>
              <w:pStyle w:val="a3"/>
              <w:rPr>
                <w:b/>
                <w:bCs/>
                <w:sz w:val="32"/>
                <w:szCs w:val="32"/>
                <w:rtl/>
              </w:rPr>
            </w:pPr>
            <w:r w:rsidRPr="00E10FC4">
              <w:rPr>
                <w:rFonts w:hint="cs"/>
                <w:b/>
                <w:bCs/>
                <w:sz w:val="32"/>
                <w:szCs w:val="32"/>
                <w:rtl/>
              </w:rPr>
              <w:t>בית משפט השלום</w:t>
            </w:r>
          </w:p>
          <w:p w14:paraId="4180E209" w14:textId="77777777" w:rsidR="003C02DD" w:rsidRPr="00E10FC4" w:rsidRDefault="00E10FC4">
            <w:pPr>
              <w:pStyle w:val="a3"/>
              <w:rPr>
                <w:sz w:val="28"/>
                <w:szCs w:val="28"/>
                <w:rtl/>
              </w:rPr>
            </w:pPr>
            <w:r w:rsidRPr="00E10FC4">
              <w:rPr>
                <w:rFonts w:hint="cs"/>
                <w:b/>
                <w:bCs/>
                <w:sz w:val="32"/>
                <w:szCs w:val="32"/>
                <w:rtl/>
              </w:rPr>
              <w:t>בירושלים</w:t>
            </w:r>
          </w:p>
        </w:tc>
        <w:tc>
          <w:tcPr>
            <w:tcW w:w="3670" w:type="dxa"/>
          </w:tcPr>
          <w:p w14:paraId="086C4B04" w14:textId="77777777" w:rsidR="003C02DD" w:rsidRPr="00E10FC4" w:rsidRDefault="00E10FC4">
            <w:pPr>
              <w:jc w:val="right"/>
              <w:rPr>
                <w:b/>
                <w:bCs/>
                <w:sz w:val="32"/>
                <w:szCs w:val="32"/>
                <w:rtl/>
              </w:rPr>
            </w:pPr>
            <w:r w:rsidRPr="00E10FC4">
              <w:rPr>
                <w:b/>
                <w:bCs/>
                <w:sz w:val="32"/>
                <w:szCs w:val="32"/>
                <w:rtl/>
              </w:rPr>
              <w:t>ת"פ</w:t>
            </w:r>
            <w:r w:rsidRPr="00E10FC4">
              <w:rPr>
                <w:rFonts w:hint="cs"/>
                <w:b/>
                <w:bCs/>
                <w:sz w:val="32"/>
                <w:szCs w:val="32"/>
                <w:rtl/>
              </w:rPr>
              <w:t xml:space="preserve"> </w:t>
            </w:r>
            <w:r w:rsidRPr="00E10FC4">
              <w:rPr>
                <w:b/>
                <w:bCs/>
                <w:sz w:val="32"/>
                <w:szCs w:val="32"/>
                <w:rtl/>
              </w:rPr>
              <w:t>1161-06-13</w:t>
            </w:r>
            <w:r w:rsidRPr="00E10FC4">
              <w:rPr>
                <w:rFonts w:hint="cs"/>
                <w:b/>
                <w:bCs/>
                <w:sz w:val="32"/>
                <w:szCs w:val="32"/>
                <w:rtl/>
              </w:rPr>
              <w:t xml:space="preserve"> </w:t>
            </w:r>
          </w:p>
          <w:p w14:paraId="3D869778" w14:textId="77777777" w:rsidR="003C02DD" w:rsidRPr="00E10FC4" w:rsidRDefault="003C02DD">
            <w:pPr>
              <w:pStyle w:val="a3"/>
              <w:jc w:val="right"/>
              <w:rPr>
                <w:b/>
                <w:bCs/>
                <w:sz w:val="32"/>
                <w:szCs w:val="32"/>
                <w:rtl/>
              </w:rPr>
            </w:pPr>
          </w:p>
        </w:tc>
      </w:tr>
      <w:tr w:rsidR="003C02DD" w:rsidRPr="00E10FC4" w14:paraId="2E36F775" w14:textId="77777777">
        <w:trPr>
          <w:trHeight w:val="337"/>
          <w:jc w:val="center"/>
        </w:trPr>
        <w:tc>
          <w:tcPr>
            <w:tcW w:w="3753" w:type="dxa"/>
          </w:tcPr>
          <w:p w14:paraId="5CB4D3E7" w14:textId="77777777" w:rsidR="003C02DD" w:rsidRPr="00E10FC4" w:rsidRDefault="003C02DD">
            <w:pPr>
              <w:rPr>
                <w:rFonts w:ascii="Arial" w:hAnsi="Arial"/>
                <w:b/>
                <w:bCs/>
                <w:sz w:val="28"/>
                <w:szCs w:val="28"/>
                <w:rtl/>
              </w:rPr>
            </w:pPr>
          </w:p>
          <w:p w14:paraId="2032268D" w14:textId="77777777" w:rsidR="003C02DD" w:rsidRPr="00E10FC4" w:rsidRDefault="00E10FC4">
            <w:r w:rsidRPr="00E10FC4">
              <w:rPr>
                <w:rFonts w:ascii="Arial" w:hAnsi="Arial" w:hint="cs"/>
                <w:b/>
                <w:bCs/>
                <w:sz w:val="28"/>
                <w:szCs w:val="28"/>
                <w:rtl/>
              </w:rPr>
              <w:t>ב</w:t>
            </w:r>
            <w:r w:rsidRPr="00E10FC4">
              <w:rPr>
                <w:rFonts w:ascii="Arial" w:hAnsi="Arial"/>
                <w:b/>
                <w:bCs/>
                <w:sz w:val="28"/>
                <w:szCs w:val="28"/>
                <w:rtl/>
              </w:rPr>
              <w:t>פני</w:t>
            </w:r>
            <w:r w:rsidRPr="00E10FC4">
              <w:rPr>
                <w:rFonts w:ascii="Arial" w:hAnsi="Arial" w:hint="cs"/>
                <w:b/>
                <w:bCs/>
                <w:sz w:val="28"/>
                <w:szCs w:val="28"/>
                <w:rtl/>
              </w:rPr>
              <w:t>: כב' ה</w:t>
            </w:r>
            <w:r w:rsidRPr="00E10FC4">
              <w:rPr>
                <w:rFonts w:ascii="Arial" w:hAnsi="Arial"/>
                <w:b/>
                <w:bCs/>
                <w:sz w:val="28"/>
                <w:szCs w:val="28"/>
                <w:rtl/>
              </w:rPr>
              <w:t>שופט</w:t>
            </w:r>
            <w:r w:rsidRPr="00E10FC4">
              <w:rPr>
                <w:rFonts w:ascii="Arial" w:hAnsi="Arial" w:hint="cs"/>
                <w:b/>
                <w:bCs/>
                <w:sz w:val="28"/>
                <w:szCs w:val="28"/>
                <w:rtl/>
              </w:rPr>
              <w:t xml:space="preserve"> </w:t>
            </w:r>
            <w:r w:rsidRPr="00E10FC4">
              <w:rPr>
                <w:rFonts w:ascii="Arial" w:hAnsi="Arial"/>
                <w:b/>
                <w:bCs/>
                <w:sz w:val="28"/>
                <w:szCs w:val="28"/>
                <w:rtl/>
              </w:rPr>
              <w:t>אלכסנדר רון</w:t>
            </w:r>
          </w:p>
          <w:p w14:paraId="3EFDBCB3" w14:textId="77777777" w:rsidR="003C02DD" w:rsidRPr="00E10FC4" w:rsidRDefault="003C02DD">
            <w:pPr>
              <w:jc w:val="right"/>
              <w:rPr>
                <w:b/>
                <w:bCs/>
                <w:sz w:val="32"/>
                <w:szCs w:val="32"/>
              </w:rPr>
            </w:pPr>
          </w:p>
        </w:tc>
        <w:tc>
          <w:tcPr>
            <w:tcW w:w="4968" w:type="dxa"/>
            <w:gridSpan w:val="2"/>
          </w:tcPr>
          <w:p w14:paraId="273CF1D3" w14:textId="77777777" w:rsidR="003C02DD" w:rsidRPr="00E10FC4" w:rsidRDefault="003C02DD">
            <w:pPr>
              <w:jc w:val="right"/>
              <w:rPr>
                <w:b/>
                <w:bCs/>
                <w:sz w:val="28"/>
                <w:szCs w:val="28"/>
                <w:rtl/>
              </w:rPr>
            </w:pPr>
          </w:p>
          <w:p w14:paraId="6815FA7A" w14:textId="77777777" w:rsidR="003C02DD" w:rsidRPr="00E10FC4" w:rsidRDefault="00E10FC4">
            <w:pPr>
              <w:jc w:val="right"/>
              <w:rPr>
                <w:b/>
                <w:bCs/>
                <w:sz w:val="32"/>
                <w:szCs w:val="32"/>
                <w:rtl/>
              </w:rPr>
            </w:pPr>
            <w:r w:rsidRPr="00E10FC4">
              <w:rPr>
                <w:rFonts w:hint="cs"/>
                <w:b/>
                <w:bCs/>
                <w:sz w:val="28"/>
                <w:szCs w:val="28"/>
                <w:rtl/>
              </w:rPr>
              <w:t xml:space="preserve">תאריך: </w:t>
            </w:r>
            <w:r w:rsidRPr="00E10FC4">
              <w:rPr>
                <w:b/>
                <w:bCs/>
                <w:sz w:val="28"/>
                <w:szCs w:val="28"/>
                <w:rtl/>
              </w:rPr>
              <w:t>ט' ניסן תשע"ד</w:t>
            </w:r>
            <w:r w:rsidRPr="00E10FC4">
              <w:rPr>
                <w:rFonts w:hint="cs"/>
                <w:b/>
                <w:bCs/>
                <w:sz w:val="28"/>
                <w:szCs w:val="28"/>
                <w:rtl/>
              </w:rPr>
              <w:t>, 09 אפריל 2014</w:t>
            </w:r>
          </w:p>
        </w:tc>
      </w:tr>
    </w:tbl>
    <w:p w14:paraId="0DC014E1" w14:textId="77777777" w:rsidR="003C02DD" w:rsidRPr="00E10FC4" w:rsidRDefault="00E10FC4">
      <w:pPr>
        <w:pStyle w:val="a3"/>
        <w:rPr>
          <w:rtl/>
        </w:rPr>
      </w:pPr>
      <w:r w:rsidRPr="00E10FC4">
        <w:rPr>
          <w:rFonts w:hint="cs"/>
          <w:rtl/>
        </w:rPr>
        <w:t xml:space="preserve"> </w:t>
      </w:r>
    </w:p>
    <w:p w14:paraId="1CEDB942" w14:textId="77777777" w:rsidR="003C02DD" w:rsidRPr="00E10FC4" w:rsidRDefault="003C02DD">
      <w:pPr>
        <w:spacing w:line="480" w:lineRule="auto"/>
        <w:jc w:val="center"/>
        <w:rPr>
          <w:rFonts w:ascii="Arial" w:hAnsi="Arial"/>
          <w:b/>
          <w:bCs/>
          <w:sz w:val="36"/>
          <w:szCs w:val="36"/>
          <w:rtl/>
        </w:rPr>
      </w:pPr>
    </w:p>
    <w:tbl>
      <w:tblPr>
        <w:bidiVisual/>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3705"/>
        <w:gridCol w:w="4274"/>
        <w:gridCol w:w="380"/>
      </w:tblGrid>
      <w:tr w:rsidR="003C02DD" w:rsidRPr="00E10FC4" w14:paraId="0CB32769" w14:textId="77777777">
        <w:trPr>
          <w:trHeight w:val="395"/>
          <w:jc w:val="center"/>
        </w:trPr>
        <w:tc>
          <w:tcPr>
            <w:tcW w:w="8867" w:type="dxa"/>
            <w:gridSpan w:val="4"/>
            <w:tcBorders>
              <w:top w:val="nil"/>
              <w:left w:val="nil"/>
              <w:bottom w:val="nil"/>
              <w:right w:val="nil"/>
            </w:tcBorders>
          </w:tcPr>
          <w:p w14:paraId="66E8D152" w14:textId="77777777" w:rsidR="003C02DD" w:rsidRPr="00E10FC4" w:rsidRDefault="003C02DD">
            <w:pPr>
              <w:jc w:val="right"/>
              <w:rPr>
                <w:rFonts w:ascii="Arial" w:hAnsi="Arial"/>
                <w:b/>
                <w:bCs/>
                <w:rtl/>
              </w:rPr>
            </w:pPr>
          </w:p>
        </w:tc>
      </w:tr>
      <w:tr w:rsidR="003C02DD" w:rsidRPr="00E10FC4" w14:paraId="65D56950" w14:textId="77777777">
        <w:trPr>
          <w:trHeight w:val="355"/>
          <w:jc w:val="center"/>
        </w:trPr>
        <w:tc>
          <w:tcPr>
            <w:tcW w:w="841" w:type="dxa"/>
            <w:tcBorders>
              <w:top w:val="nil"/>
              <w:left w:val="nil"/>
              <w:bottom w:val="nil"/>
              <w:right w:val="nil"/>
            </w:tcBorders>
          </w:tcPr>
          <w:p w14:paraId="4FFB9AD8" w14:textId="77777777" w:rsidR="003C02DD" w:rsidRPr="00E10FC4" w:rsidRDefault="00E10FC4">
            <w:pPr>
              <w:jc w:val="both"/>
              <w:rPr>
                <w:rFonts w:ascii="Arial" w:hAnsi="Arial"/>
                <w:b/>
                <w:bCs/>
              </w:rPr>
            </w:pPr>
            <w:bookmarkStart w:id="1" w:name="FirstAppellant"/>
            <w:r w:rsidRPr="00E10FC4">
              <w:rPr>
                <w:rFonts w:ascii="Arial" w:hAnsi="Arial" w:hint="cs"/>
                <w:b/>
                <w:bCs/>
                <w:rtl/>
              </w:rPr>
              <w:t>בעניין:</w:t>
            </w:r>
          </w:p>
        </w:tc>
        <w:tc>
          <w:tcPr>
            <w:tcW w:w="3705" w:type="dxa"/>
            <w:tcBorders>
              <w:top w:val="nil"/>
              <w:left w:val="nil"/>
              <w:bottom w:val="nil"/>
              <w:right w:val="nil"/>
            </w:tcBorders>
          </w:tcPr>
          <w:p w14:paraId="0270370D" w14:textId="77777777" w:rsidR="003C02DD" w:rsidRPr="00E10FC4" w:rsidRDefault="00E10FC4">
            <w:pPr>
              <w:spacing w:line="360" w:lineRule="auto"/>
              <w:rPr>
                <w:b/>
                <w:bCs/>
              </w:rPr>
            </w:pPr>
            <w:r w:rsidRPr="00E10FC4">
              <w:rPr>
                <w:rFonts w:hint="cs"/>
                <w:rtl/>
              </w:rPr>
              <w:t>מדינת ישראל</w:t>
            </w:r>
          </w:p>
        </w:tc>
        <w:tc>
          <w:tcPr>
            <w:tcW w:w="4321" w:type="dxa"/>
            <w:gridSpan w:val="2"/>
            <w:tcBorders>
              <w:top w:val="nil"/>
              <w:left w:val="nil"/>
              <w:bottom w:val="nil"/>
              <w:right w:val="nil"/>
            </w:tcBorders>
            <w:vAlign w:val="bottom"/>
          </w:tcPr>
          <w:p w14:paraId="25FC9463" w14:textId="77777777" w:rsidR="003C02DD" w:rsidRPr="00E10FC4" w:rsidRDefault="00E10FC4">
            <w:pPr>
              <w:rPr>
                <w:rFonts w:ascii="Arial" w:hAnsi="Arial"/>
              </w:rPr>
            </w:pPr>
            <w:r w:rsidRPr="00E10FC4">
              <w:rPr>
                <w:rFonts w:ascii="Arial" w:hAnsi="Arial" w:hint="cs"/>
                <w:b/>
                <w:bCs/>
                <w:rtl/>
              </w:rPr>
              <w:t>ה</w:t>
            </w:r>
            <w:r w:rsidRPr="00E10FC4">
              <w:rPr>
                <w:rFonts w:hint="cs"/>
                <w:rtl/>
              </w:rPr>
              <w:t>מאשימה</w:t>
            </w:r>
          </w:p>
        </w:tc>
      </w:tr>
      <w:bookmarkEnd w:id="1"/>
      <w:tr w:rsidR="003C02DD" w:rsidRPr="00E10FC4" w14:paraId="43FD3919" w14:textId="77777777">
        <w:trPr>
          <w:trHeight w:val="355"/>
          <w:jc w:val="center"/>
        </w:trPr>
        <w:tc>
          <w:tcPr>
            <w:tcW w:w="841" w:type="dxa"/>
            <w:tcBorders>
              <w:top w:val="nil"/>
              <w:left w:val="nil"/>
              <w:bottom w:val="nil"/>
              <w:right w:val="nil"/>
            </w:tcBorders>
          </w:tcPr>
          <w:p w14:paraId="4736209E" w14:textId="77777777" w:rsidR="003C02DD" w:rsidRPr="00E10FC4" w:rsidRDefault="003C02DD">
            <w:pPr>
              <w:jc w:val="both"/>
              <w:rPr>
                <w:rFonts w:ascii="Arial" w:hAnsi="Arial" w:cs="FrankRuehl"/>
                <w:sz w:val="28"/>
                <w:szCs w:val="28"/>
                <w:rtl/>
              </w:rPr>
            </w:pPr>
          </w:p>
        </w:tc>
        <w:tc>
          <w:tcPr>
            <w:tcW w:w="8026" w:type="dxa"/>
            <w:gridSpan w:val="3"/>
            <w:tcBorders>
              <w:top w:val="nil"/>
              <w:left w:val="nil"/>
              <w:bottom w:val="nil"/>
              <w:right w:val="nil"/>
            </w:tcBorders>
          </w:tcPr>
          <w:p w14:paraId="028E1F39" w14:textId="77777777" w:rsidR="003C02DD" w:rsidRPr="00E10FC4" w:rsidRDefault="003C02DD">
            <w:pPr>
              <w:jc w:val="center"/>
              <w:rPr>
                <w:rFonts w:ascii="Arial" w:hAnsi="Arial"/>
                <w:b/>
                <w:bCs/>
                <w:rtl/>
              </w:rPr>
            </w:pPr>
          </w:p>
          <w:p w14:paraId="21508EAC" w14:textId="77777777" w:rsidR="003C02DD" w:rsidRPr="00E10FC4" w:rsidRDefault="00E10FC4">
            <w:pPr>
              <w:jc w:val="center"/>
              <w:rPr>
                <w:rFonts w:ascii="Arial" w:hAnsi="Arial"/>
                <w:b/>
                <w:bCs/>
                <w:rtl/>
              </w:rPr>
            </w:pPr>
            <w:r w:rsidRPr="00E10FC4">
              <w:rPr>
                <w:rFonts w:ascii="Arial" w:hAnsi="Arial"/>
                <w:b/>
                <w:bCs/>
                <w:rtl/>
              </w:rPr>
              <w:t>נ</w:t>
            </w:r>
            <w:r w:rsidRPr="00E10FC4">
              <w:rPr>
                <w:rFonts w:ascii="Arial" w:hAnsi="Arial" w:hint="cs"/>
                <w:b/>
                <w:bCs/>
                <w:rtl/>
              </w:rPr>
              <w:t xml:space="preserve"> </w:t>
            </w:r>
            <w:r w:rsidRPr="00E10FC4">
              <w:rPr>
                <w:rFonts w:ascii="Arial" w:hAnsi="Arial"/>
                <w:b/>
                <w:bCs/>
                <w:rtl/>
              </w:rPr>
              <w:t>ג</w:t>
            </w:r>
            <w:r w:rsidRPr="00E10FC4">
              <w:rPr>
                <w:rFonts w:ascii="Arial" w:hAnsi="Arial" w:hint="cs"/>
                <w:b/>
                <w:bCs/>
                <w:rtl/>
              </w:rPr>
              <w:t xml:space="preserve"> </w:t>
            </w:r>
            <w:r w:rsidRPr="00E10FC4">
              <w:rPr>
                <w:rFonts w:ascii="Arial" w:hAnsi="Arial"/>
                <w:b/>
                <w:bCs/>
                <w:rtl/>
              </w:rPr>
              <w:t>ד</w:t>
            </w:r>
          </w:p>
          <w:p w14:paraId="2A7E2279" w14:textId="77777777" w:rsidR="003C02DD" w:rsidRPr="00E10FC4" w:rsidRDefault="003C02DD">
            <w:pPr>
              <w:jc w:val="both"/>
              <w:rPr>
                <w:rFonts w:ascii="Arial" w:hAnsi="Arial"/>
              </w:rPr>
            </w:pPr>
          </w:p>
        </w:tc>
      </w:tr>
      <w:tr w:rsidR="003C02DD" w:rsidRPr="00E10FC4" w14:paraId="648A37EB" w14:textId="77777777">
        <w:trPr>
          <w:trHeight w:val="355"/>
          <w:jc w:val="center"/>
        </w:trPr>
        <w:tc>
          <w:tcPr>
            <w:tcW w:w="841" w:type="dxa"/>
            <w:tcBorders>
              <w:top w:val="nil"/>
              <w:left w:val="nil"/>
              <w:bottom w:val="nil"/>
              <w:right w:val="nil"/>
            </w:tcBorders>
          </w:tcPr>
          <w:p w14:paraId="64845650" w14:textId="77777777" w:rsidR="003C02DD" w:rsidRPr="00E10FC4" w:rsidRDefault="003C02DD">
            <w:pPr>
              <w:jc w:val="both"/>
              <w:rPr>
                <w:rFonts w:ascii="Arial" w:hAnsi="Arial" w:cs="FrankRuehl"/>
                <w:sz w:val="28"/>
                <w:szCs w:val="28"/>
                <w:rtl/>
              </w:rPr>
            </w:pPr>
          </w:p>
        </w:tc>
        <w:tc>
          <w:tcPr>
            <w:tcW w:w="3705" w:type="dxa"/>
            <w:tcBorders>
              <w:top w:val="nil"/>
              <w:left w:val="nil"/>
              <w:bottom w:val="nil"/>
              <w:right w:val="nil"/>
            </w:tcBorders>
          </w:tcPr>
          <w:p w14:paraId="43F019EC" w14:textId="77777777" w:rsidR="003C02DD" w:rsidRPr="00E10FC4" w:rsidRDefault="00E10FC4">
            <w:pPr>
              <w:spacing w:line="360" w:lineRule="auto"/>
              <w:rPr>
                <w:b/>
                <w:bCs/>
                <w:rtl/>
              </w:rPr>
            </w:pPr>
            <w:r w:rsidRPr="00E10FC4">
              <w:rPr>
                <w:rFonts w:hint="cs"/>
                <w:rtl/>
              </w:rPr>
              <w:t>סמיר אבו נצירה</w:t>
            </w:r>
          </w:p>
        </w:tc>
        <w:tc>
          <w:tcPr>
            <w:tcW w:w="4321" w:type="dxa"/>
            <w:gridSpan w:val="2"/>
            <w:tcBorders>
              <w:top w:val="nil"/>
              <w:left w:val="nil"/>
              <w:bottom w:val="nil"/>
              <w:right w:val="nil"/>
            </w:tcBorders>
            <w:vAlign w:val="bottom"/>
          </w:tcPr>
          <w:p w14:paraId="6D1F4AEC" w14:textId="77777777" w:rsidR="003C02DD" w:rsidRPr="00E10FC4" w:rsidRDefault="00E10FC4">
            <w:pPr>
              <w:rPr>
                <w:rFonts w:ascii="Arial" w:hAnsi="Arial"/>
              </w:rPr>
            </w:pPr>
            <w:r w:rsidRPr="00E10FC4">
              <w:rPr>
                <w:rFonts w:ascii="Arial" w:hAnsi="Arial" w:hint="cs"/>
                <w:b/>
                <w:bCs/>
                <w:rtl/>
              </w:rPr>
              <w:t>הנאשם</w:t>
            </w:r>
          </w:p>
        </w:tc>
      </w:tr>
      <w:tr w:rsidR="003C02DD" w:rsidRPr="00E10FC4" w14:paraId="5749F628" w14:textId="77777777">
        <w:trPr>
          <w:gridAfter w:val="1"/>
          <w:wAfter w:w="380" w:type="dxa"/>
          <w:trHeight w:val="355"/>
          <w:jc w:val="center"/>
        </w:trPr>
        <w:tc>
          <w:tcPr>
            <w:tcW w:w="8820" w:type="dxa"/>
            <w:gridSpan w:val="3"/>
            <w:tcBorders>
              <w:top w:val="nil"/>
              <w:left w:val="nil"/>
              <w:bottom w:val="nil"/>
              <w:right w:val="nil"/>
            </w:tcBorders>
          </w:tcPr>
          <w:p w14:paraId="259019B3" w14:textId="77777777" w:rsidR="003C02DD" w:rsidRPr="00E10FC4" w:rsidRDefault="003C02DD">
            <w:pPr>
              <w:jc w:val="center"/>
              <w:rPr>
                <w:rFonts w:ascii="Arial" w:hAnsi="Arial"/>
                <w:sz w:val="36"/>
                <w:szCs w:val="36"/>
                <w:rtl/>
              </w:rPr>
            </w:pPr>
            <w:bookmarkStart w:id="2" w:name="FirstLawyer"/>
          </w:p>
          <w:p w14:paraId="2436AE03" w14:textId="77777777" w:rsidR="003C02DD" w:rsidRPr="00E10FC4" w:rsidRDefault="00E10FC4">
            <w:pPr>
              <w:jc w:val="both"/>
              <w:rPr>
                <w:rFonts w:ascii="Arial" w:hAnsi="Arial"/>
                <w:rtl/>
              </w:rPr>
            </w:pPr>
            <w:r w:rsidRPr="00E10FC4">
              <w:rPr>
                <w:rFonts w:ascii="Arial" w:hAnsi="Arial" w:hint="cs"/>
                <w:rtl/>
              </w:rPr>
              <w:t>נוכחים:-</w:t>
            </w:r>
          </w:p>
          <w:p w14:paraId="60BE7597" w14:textId="77777777" w:rsidR="003C02DD" w:rsidRPr="00E10FC4" w:rsidRDefault="00E10FC4">
            <w:pPr>
              <w:jc w:val="both"/>
              <w:rPr>
                <w:rFonts w:ascii="Arial" w:hAnsi="Arial"/>
                <w:rtl/>
              </w:rPr>
            </w:pPr>
            <w:r w:rsidRPr="00E10FC4">
              <w:rPr>
                <w:rFonts w:ascii="Arial" w:hAnsi="Arial" w:hint="cs"/>
                <w:rtl/>
              </w:rPr>
              <w:t xml:space="preserve">ב"כ המאשימה </w:t>
            </w:r>
            <w:r w:rsidRPr="00E10FC4">
              <w:rPr>
                <w:rFonts w:ascii="Arial" w:hAnsi="Arial"/>
                <w:rtl/>
              </w:rPr>
              <w:t>–</w:t>
            </w:r>
            <w:r w:rsidRPr="00E10FC4">
              <w:rPr>
                <w:rFonts w:ascii="Arial" w:hAnsi="Arial" w:hint="cs"/>
                <w:rtl/>
              </w:rPr>
              <w:t xml:space="preserve"> מ. יובל עזרא</w:t>
            </w:r>
          </w:p>
          <w:p w14:paraId="05B20D28" w14:textId="77777777" w:rsidR="003C02DD" w:rsidRPr="00E10FC4" w:rsidRDefault="00E10FC4">
            <w:pPr>
              <w:jc w:val="both"/>
              <w:rPr>
                <w:rFonts w:ascii="Arial" w:hAnsi="Arial"/>
                <w:rtl/>
              </w:rPr>
            </w:pPr>
            <w:r w:rsidRPr="00E10FC4">
              <w:rPr>
                <w:rFonts w:ascii="Arial" w:hAnsi="Arial" w:hint="cs"/>
                <w:rtl/>
              </w:rPr>
              <w:t xml:space="preserve">הנאשם ובא כוחו </w:t>
            </w:r>
            <w:r w:rsidRPr="00E10FC4">
              <w:rPr>
                <w:rFonts w:ascii="Arial" w:hAnsi="Arial"/>
                <w:rtl/>
              </w:rPr>
              <w:t>–</w:t>
            </w:r>
            <w:r w:rsidRPr="00E10FC4">
              <w:rPr>
                <w:rFonts w:ascii="Arial" w:hAnsi="Arial" w:hint="cs"/>
                <w:rtl/>
              </w:rPr>
              <w:t xml:space="preserve"> עו"ד הדיה</w:t>
            </w:r>
          </w:p>
          <w:p w14:paraId="1AAF6F35" w14:textId="77777777" w:rsidR="003C02DD" w:rsidRPr="00E10FC4" w:rsidRDefault="003C02DD">
            <w:pPr>
              <w:jc w:val="center"/>
              <w:rPr>
                <w:rFonts w:ascii="Arial" w:hAnsi="Arial"/>
                <w:sz w:val="36"/>
                <w:szCs w:val="36"/>
                <w:rtl/>
              </w:rPr>
            </w:pPr>
          </w:p>
        </w:tc>
      </w:tr>
    </w:tbl>
    <w:p w14:paraId="4B753552" w14:textId="77777777" w:rsidR="00EE3789" w:rsidRPr="00EE3789" w:rsidRDefault="00EE3789" w:rsidP="00EE3789">
      <w:pPr>
        <w:spacing w:after="120" w:line="240" w:lineRule="exact"/>
        <w:ind w:left="283" w:hanging="283"/>
        <w:jc w:val="both"/>
        <w:rPr>
          <w:rFonts w:ascii="FrankRuehl" w:hAnsi="FrankRuehl" w:cs="FrankRuehl"/>
          <w:rtl/>
        </w:rPr>
      </w:pPr>
      <w:bookmarkStart w:id="3" w:name="PsakDin"/>
      <w:bookmarkStart w:id="4" w:name="LawTable"/>
      <w:bookmarkEnd w:id="0"/>
      <w:bookmarkEnd w:id="2"/>
      <w:bookmarkEnd w:id="4"/>
    </w:p>
    <w:p w14:paraId="6A8B6DFE" w14:textId="77777777" w:rsidR="00EE3789" w:rsidRPr="00EE3789" w:rsidRDefault="00EE3789" w:rsidP="00EE3789">
      <w:pPr>
        <w:spacing w:after="120" w:line="240" w:lineRule="exact"/>
        <w:ind w:left="283" w:hanging="283"/>
        <w:jc w:val="both"/>
        <w:rPr>
          <w:rFonts w:ascii="FrankRuehl" w:hAnsi="FrankRuehl" w:cs="FrankRuehl"/>
          <w:rtl/>
        </w:rPr>
      </w:pPr>
      <w:r w:rsidRPr="00EE3789">
        <w:rPr>
          <w:rFonts w:ascii="FrankRuehl" w:hAnsi="FrankRuehl" w:cs="FrankRuehl"/>
          <w:rtl/>
        </w:rPr>
        <w:t xml:space="preserve">חקיקה שאוזכרה: </w:t>
      </w:r>
    </w:p>
    <w:p w14:paraId="02079600" w14:textId="77777777" w:rsidR="00EE3789" w:rsidRPr="00EE3789" w:rsidRDefault="00EE3789" w:rsidP="00EE3789">
      <w:pPr>
        <w:spacing w:after="120" w:line="240" w:lineRule="exact"/>
        <w:ind w:left="283" w:hanging="283"/>
        <w:jc w:val="both"/>
        <w:rPr>
          <w:rFonts w:ascii="FrankRuehl" w:hAnsi="FrankRuehl" w:cs="FrankRuehl"/>
          <w:rtl/>
        </w:rPr>
      </w:pPr>
      <w:hyperlink r:id="rId6" w:history="1">
        <w:r w:rsidRPr="00EE3789">
          <w:rPr>
            <w:rFonts w:ascii="FrankRuehl" w:hAnsi="FrankRuehl" w:cs="FrankRuehl"/>
            <w:color w:val="0000FF"/>
            <w:u w:val="single"/>
            <w:rtl/>
          </w:rPr>
          <w:t>חוק העונשין, תשל"ז-1977</w:t>
        </w:r>
      </w:hyperlink>
      <w:r w:rsidRPr="00EE3789">
        <w:rPr>
          <w:rFonts w:ascii="FrankRuehl" w:hAnsi="FrankRuehl" w:cs="FrankRuehl"/>
          <w:rtl/>
        </w:rPr>
        <w:t xml:space="preserve">: סע'  </w:t>
      </w:r>
      <w:hyperlink r:id="rId7" w:history="1">
        <w:r w:rsidRPr="00EE3789">
          <w:rPr>
            <w:rFonts w:ascii="FrankRuehl" w:hAnsi="FrankRuehl" w:cs="FrankRuehl"/>
            <w:color w:val="0000FF"/>
            <w:u w:val="single"/>
            <w:rtl/>
          </w:rPr>
          <w:t>40יג(ב)</w:t>
        </w:r>
      </w:hyperlink>
    </w:p>
    <w:p w14:paraId="7812209D" w14:textId="77777777" w:rsidR="00EE3789" w:rsidRPr="00EE3789" w:rsidRDefault="00EE3789" w:rsidP="00EE3789">
      <w:pPr>
        <w:spacing w:after="120" w:line="240" w:lineRule="exact"/>
        <w:ind w:left="283" w:hanging="283"/>
        <w:jc w:val="both"/>
        <w:rPr>
          <w:rFonts w:ascii="FrankRuehl" w:hAnsi="FrankRuehl" w:cs="FrankRuehl"/>
          <w:rtl/>
        </w:rPr>
      </w:pPr>
      <w:hyperlink r:id="rId8" w:history="1">
        <w:r w:rsidRPr="00EE3789">
          <w:rPr>
            <w:rFonts w:ascii="FrankRuehl" w:hAnsi="FrankRuehl" w:cs="FrankRuehl"/>
            <w:color w:val="0000FF"/>
            <w:u w:val="single"/>
            <w:rtl/>
          </w:rPr>
          <w:t>פקודת הסמים המסוכנים [נוסח חדש], תשל"ג-1973</w:t>
        </w:r>
      </w:hyperlink>
    </w:p>
    <w:p w14:paraId="6A7A2417" w14:textId="77777777" w:rsidR="00EE3789" w:rsidRPr="00EE3789" w:rsidRDefault="00EE3789" w:rsidP="00EE3789">
      <w:pPr>
        <w:spacing w:after="120" w:line="240" w:lineRule="exact"/>
        <w:ind w:left="283" w:hanging="283"/>
        <w:jc w:val="both"/>
        <w:rPr>
          <w:rFonts w:ascii="FrankRuehl" w:hAnsi="FrankRuehl" w:cs="FrankRuehl"/>
          <w:rtl/>
        </w:rPr>
      </w:pPr>
    </w:p>
    <w:p w14:paraId="6AC77D44" w14:textId="77777777" w:rsidR="00E10FC4" w:rsidRPr="00E10FC4" w:rsidRDefault="00E10FC4" w:rsidP="00E10FC4">
      <w:pPr>
        <w:spacing w:line="480" w:lineRule="auto"/>
        <w:jc w:val="center"/>
        <w:rPr>
          <w:rFonts w:ascii="Arial" w:hAnsi="Arial"/>
          <w:b/>
          <w:bCs/>
          <w:sz w:val="36"/>
          <w:szCs w:val="36"/>
          <w:u w:val="single"/>
          <w:rtl/>
        </w:rPr>
      </w:pPr>
      <w:bookmarkStart w:id="5" w:name="LawTable_End"/>
      <w:bookmarkEnd w:id="5"/>
      <w:r w:rsidRPr="00E10FC4">
        <w:rPr>
          <w:rFonts w:ascii="Arial" w:hAnsi="Arial"/>
          <w:b/>
          <w:bCs/>
          <w:sz w:val="36"/>
          <w:szCs w:val="36"/>
          <w:u w:val="single"/>
          <w:rtl/>
        </w:rPr>
        <w:t>גזר דין</w:t>
      </w:r>
    </w:p>
    <w:bookmarkEnd w:id="3"/>
    <w:p w14:paraId="021D7DA9" w14:textId="77777777" w:rsidR="003C02DD" w:rsidRDefault="00E10FC4">
      <w:pPr>
        <w:spacing w:line="480" w:lineRule="auto"/>
        <w:ind w:left="510" w:hanging="510"/>
        <w:jc w:val="both"/>
        <w:rPr>
          <w:rtl/>
        </w:rPr>
      </w:pPr>
      <w:r>
        <w:rPr>
          <w:rtl/>
        </w:rPr>
        <w:t>1.</w:t>
      </w:r>
      <w:r>
        <w:rPr>
          <w:rFonts w:hint="cs"/>
          <w:rtl/>
        </w:rPr>
        <w:tab/>
      </w:r>
      <w:bookmarkStart w:id="6" w:name="ABSTRACT_START"/>
      <w:bookmarkEnd w:id="6"/>
      <w:r>
        <w:rPr>
          <w:rFonts w:hint="cs"/>
          <w:rtl/>
        </w:rPr>
        <w:t xml:space="preserve">הנאשם הורשע על פי הודאתו בכתב אישום המייחס לו שתי עבירות של סחר בסם מסוכן מסוג חשיש. בתמצית הדברים, בנובמבר שנת 2012, מכר הנאשם יחד עם אחר, חשיש המגיע בסך הכל, בשני המקרים גם יחד, כדי כ- 132 גר', תמורת סכום כולל של כ- 3,600 ₪. </w:t>
      </w:r>
      <w:bookmarkStart w:id="7" w:name="ABSTRACT_END"/>
      <w:bookmarkEnd w:id="7"/>
    </w:p>
    <w:p w14:paraId="406A7BDC" w14:textId="77777777" w:rsidR="003C02DD" w:rsidRDefault="003C02DD">
      <w:pPr>
        <w:spacing w:line="480" w:lineRule="auto"/>
        <w:jc w:val="both"/>
        <w:rPr>
          <w:rtl/>
        </w:rPr>
      </w:pPr>
    </w:p>
    <w:p w14:paraId="501E7AFE" w14:textId="77777777" w:rsidR="003C02DD" w:rsidRDefault="00E10FC4">
      <w:pPr>
        <w:spacing w:line="480" w:lineRule="auto"/>
        <w:ind w:left="510" w:hanging="510"/>
        <w:jc w:val="both"/>
        <w:rPr>
          <w:rtl/>
        </w:rPr>
      </w:pPr>
      <w:r>
        <w:rPr>
          <w:rtl/>
        </w:rPr>
        <w:t>2.</w:t>
      </w:r>
      <w:r>
        <w:rPr>
          <w:rFonts w:hint="cs"/>
          <w:rtl/>
        </w:rPr>
        <w:tab/>
        <w:t xml:space="preserve">תחילה לשאלת מתחם הענישה. בכל הקשור לסחר בסם נתונה חשיבות לכמות הסם וסוג הסם. בשים לב לכך שעל הפרק, בעניינו של הנאשם דנן, סם שלא מקובל לראותו כסם קשה, אך, מן הצד האחר, במרכז כל אחת משתי העסקאות סם בכמות ממשית, מעבר למקובל בעסקה 'קמעונאית', במובן המצמצם של המילה, דומה, שמתחם הענישה הראוי </w:t>
      </w:r>
      <w:r>
        <w:rPr>
          <w:rtl/>
        </w:rPr>
        <w:t>–</w:t>
      </w:r>
      <w:r>
        <w:rPr>
          <w:rFonts w:hint="cs"/>
          <w:rtl/>
        </w:rPr>
        <w:t xml:space="preserve"> בין 6 לבין </w:t>
      </w:r>
      <w:r>
        <w:rPr>
          <w:rFonts w:hint="cs"/>
          <w:rtl/>
        </w:rPr>
        <w:lastRenderedPageBreak/>
        <w:t xml:space="preserve">16 חודשי מאסר בפועל. נוכח </w:t>
      </w:r>
      <w:hyperlink r:id="rId9" w:history="1">
        <w:r w:rsidR="00EE3789" w:rsidRPr="00EE3789">
          <w:rPr>
            <w:color w:val="0000FF"/>
            <w:u w:val="single"/>
            <w:rtl/>
          </w:rPr>
          <w:t>סעיף 40יג(ב)</w:t>
        </w:r>
      </w:hyperlink>
      <w:r>
        <w:rPr>
          <w:rFonts w:hint="cs"/>
          <w:rtl/>
        </w:rPr>
        <w:t xml:space="preserve"> ל</w:t>
      </w:r>
      <w:hyperlink r:id="rId10" w:history="1">
        <w:r w:rsidRPr="00E10FC4">
          <w:rPr>
            <w:color w:val="0000FF"/>
            <w:u w:val="single"/>
            <w:rtl/>
          </w:rPr>
          <w:t>חוק העונשין</w:t>
        </w:r>
      </w:hyperlink>
      <w:r>
        <w:rPr>
          <w:rFonts w:hint="cs"/>
          <w:rtl/>
        </w:rPr>
        <w:t xml:space="preserve">, ובשים לב לכך שעל הפרק שתי עבירות, נמצא לקבוע את מתחם הענישה ביחס לשתיהן על הטווח שבין 8 ל </w:t>
      </w:r>
      <w:r>
        <w:rPr>
          <w:rtl/>
        </w:rPr>
        <w:t>–</w:t>
      </w:r>
      <w:r>
        <w:rPr>
          <w:rFonts w:hint="cs"/>
          <w:rtl/>
        </w:rPr>
        <w:t xml:space="preserve"> 18 חודשי מאסר בפועל.   </w:t>
      </w:r>
    </w:p>
    <w:p w14:paraId="3C614B79" w14:textId="77777777" w:rsidR="003C02DD" w:rsidRDefault="003C02DD">
      <w:pPr>
        <w:spacing w:line="480" w:lineRule="auto"/>
        <w:jc w:val="both"/>
        <w:rPr>
          <w:rtl/>
        </w:rPr>
      </w:pPr>
    </w:p>
    <w:p w14:paraId="7B993BB1" w14:textId="77777777" w:rsidR="003C02DD" w:rsidRDefault="00E10FC4">
      <w:pPr>
        <w:spacing w:line="480" w:lineRule="auto"/>
        <w:ind w:left="510" w:hanging="510"/>
        <w:jc w:val="both"/>
        <w:rPr>
          <w:rtl/>
        </w:rPr>
      </w:pPr>
      <w:r>
        <w:rPr>
          <w:rtl/>
        </w:rPr>
        <w:t>3.</w:t>
      </w:r>
      <w:r>
        <w:rPr>
          <w:rFonts w:hint="cs"/>
          <w:rtl/>
        </w:rPr>
        <w:tab/>
        <w:t xml:space="preserve">לחובת הנאשם עבר פלילי רב ביותר. הורשע הוא, אגב צירוף אישומים, בעשרות עבירות, רובן המכריע בתחום הרכוש, אם כי צודק בא כוחו הנכבד, שציין שבוצעו העבירות, כולן, בעבר הרחוק, ולא נכללת בהן עבירת סמים קודמת; היינו שבתחום הסמים, היו אלה, לדידו של הנאשם, מעידותיו הראשונות. עם זאת, פשיטא, שלא יוכל בית המשפט להתעלם מן העובדה, שעל הפרק נאשם שידיו רב לו בעבירות רבות מאוד, וגם אם בעבר, אף ריצה הוא תקופות מאסר ממשיות, שתיים מביניהן, 5 שנים ארכה של כל אחת מהן. </w:t>
      </w:r>
    </w:p>
    <w:p w14:paraId="4093F43B" w14:textId="77777777" w:rsidR="003C02DD" w:rsidRDefault="003C02DD">
      <w:pPr>
        <w:spacing w:line="480" w:lineRule="auto"/>
        <w:jc w:val="both"/>
        <w:rPr>
          <w:rtl/>
        </w:rPr>
      </w:pPr>
    </w:p>
    <w:p w14:paraId="070D49E3" w14:textId="77777777" w:rsidR="003C02DD" w:rsidRDefault="00E10FC4">
      <w:pPr>
        <w:spacing w:line="480" w:lineRule="auto"/>
        <w:ind w:left="510" w:hanging="510"/>
        <w:jc w:val="both"/>
        <w:rPr>
          <w:rtl/>
        </w:rPr>
      </w:pPr>
      <w:r>
        <w:rPr>
          <w:rtl/>
        </w:rPr>
        <w:t>4.</w:t>
      </w:r>
      <w:r>
        <w:rPr>
          <w:rFonts w:hint="cs"/>
          <w:rtl/>
        </w:rPr>
        <w:tab/>
        <w:t xml:space="preserve">נתון רלוונטי נוסף. לאחר שהודה הנאשם בכתב האישום, במסגרת בקשת המעצר, ביקש מבית המשפט התחשבות מיוחדת כדי לשהות לצד אביו שהיה, לאותה עת, על ערש דווי. בית המשפט נעתר לבקשה. למרבה הצער, נפטר האב, ואולם, לא היה בכך כדי להביא את הנאשם לדווח על כך, ואך בחלוף מספר חודשים נתפס הנאשם, ונעצר עד תום ההליכים. אין לדעת מה היה קורה, אלמלא נתפס. ניתנה הדעת לטענות ההגנה שהתייחסו לנסיבות הכוללות ואף למצבו הבריאותי של הנאשם, שלדבריו, הלך והתדרדר, ואולם לא כלאחר יד ניתן לקבלן. גם אם ניתן היה להבין שבימים הסמוכים לאחר הפטירה עדיין ביקש הנאשם להתאושש, וגם אם ניתן לתת משקל לסיבוכים בריאותיים שאליהם נקלע, עדיין אין הדעת נותנת שיעבור בית המשפט  לסדר היום למצב בו האמון שניתן בנאשם אגב נסיבות אישיות מורכבות, מופר. היה עליו, לכל הפחות, להודיע על כך ללא דיחוי לסנגורו. והכשל </w:t>
      </w:r>
      <w:r>
        <w:rPr>
          <w:rtl/>
        </w:rPr>
        <w:t>–</w:t>
      </w:r>
      <w:r>
        <w:rPr>
          <w:rFonts w:hint="cs"/>
          <w:rtl/>
        </w:rPr>
        <w:t xml:space="preserve"> כפול: לא הודיע על תם התקופה שאושרה לו לסעוד את אביו, ולא נמצא בתחומי מעצר הבית. גם ערבויות החלופה, כשלו. אף לא נעלמה מעיני טענת הסנגור שהשיקול שבמרכזו הפרשה האמורה אינו רלוונטי לעונש, ואולם אין דעתי כדעתו. התנהלות הנאשם בתקופה שבין מועד הגשת כתב האישום לבין המועד בו ניתן גזר הדין, אינה בלתי רלוונטית, והדבר מקבל ביטוי חוזר ונשנה בעיקר במצבים שלטובת הנאשם, שעה שנטען מפי ההגנה, ולטעמי בצדק, שאם, למשל, בינתיים עלה נאשם נדון על פסים שיקומים, ראוי לייחס לכך משקל. ואגב, כמפורט להלן, מבקשת ההגנה לטעון כך, גם בתיק </w:t>
      </w:r>
      <w:r>
        <w:rPr>
          <w:rFonts w:hint="cs"/>
          <w:rtl/>
        </w:rPr>
        <w:lastRenderedPageBreak/>
        <w:t xml:space="preserve">זה. ועתה צא ולמד - אם התנהלות חיובית של הנאשם בתקופה זו, ראוי לה שתעמוד לזכותו, אין כל הצדקה שנאשם שבתקופה זו כשל, לא ייזקף הדבר לחובתו. אכן, אמנם, אין בדעתי לבסס את מסקנותיי על העובדה שהפר הנאשם את אמון בית המשפט, ובמוקד גזר הדין - העבירות המהוות את ליבת הפרשה, ואולם, לבקשת ההגנה שאתעלם כליל מהכשל, שהיה מנת חלקו של הנאשם לאחר פטירת אביו, אין בסיס. ולאחר כל זאת התברר לי סמוך לחתימת גזר הדין שלא הייתה זו הוראתו היחידה של בית המשפט שלא קוימה </w:t>
      </w:r>
      <w:r>
        <w:rPr>
          <w:rtl/>
        </w:rPr>
        <w:t>–</w:t>
      </w:r>
      <w:r>
        <w:rPr>
          <w:rFonts w:hint="cs"/>
          <w:rtl/>
        </w:rPr>
        <w:t xml:space="preserve"> ראה סעיף 7 דלהלן. </w:t>
      </w:r>
    </w:p>
    <w:p w14:paraId="23D843C3" w14:textId="77777777" w:rsidR="003C02DD" w:rsidRDefault="003C02DD">
      <w:pPr>
        <w:spacing w:line="480" w:lineRule="auto"/>
        <w:ind w:left="510" w:hanging="510"/>
        <w:jc w:val="both"/>
        <w:rPr>
          <w:rtl/>
        </w:rPr>
      </w:pPr>
    </w:p>
    <w:p w14:paraId="3AAC4F74" w14:textId="77777777" w:rsidR="003C02DD" w:rsidRDefault="00E10FC4">
      <w:pPr>
        <w:spacing w:line="480" w:lineRule="auto"/>
        <w:ind w:left="510" w:hanging="510"/>
        <w:jc w:val="both"/>
        <w:rPr>
          <w:rtl/>
        </w:rPr>
      </w:pPr>
      <w:r>
        <w:rPr>
          <w:rtl/>
        </w:rPr>
        <w:t>5.</w:t>
      </w:r>
      <w:r>
        <w:rPr>
          <w:rFonts w:hint="cs"/>
          <w:rtl/>
        </w:rPr>
        <w:tab/>
        <w:t xml:space="preserve">שאלת השיקום. למרות כל האמור, נכונה הייתה המאשימה, בהגינותה, לתת יד למהלך שיקומי במסגרת סגורה, בהינתן שיצביע שירות המבחן על היתכנות למהלך מסוג זה. עם זאת הנכונות לכך, לרבות מנקודת מבטו של בית המשפט, הצטמצמה למסגרת טיפולית סגורה. זאת, בפרט, נוכח הפרת תנאי השחרור בשלב הקודם. יוטעם, שמסגרת פתוחה מותנית במתן אמון בנאשם מצד בית המשפט. לצערי כי רב, יש קושי בדבר לאחר שנכון היה בית המשפט לגלות רגישות לנאשם ולאביו ולאחר שהאמון שניתן בהקשר זה לא כובד. ברם, למרבה הצער, לשיקום במסגרת סגורה, אין לנאשם נכונות, וגם אם לבטח צודק הסנגור שעובדה זו, כשלעצמה, אין לראותה כשיקול לחומרא, עדיין יש בה כדי להפחית במידה ניכרת את משקל טיעוני ההגנה בדבר רצון הנאשם להשתקם: מי שבאמת חפץ בכך, נכון לכל מאמץ, לרבות במסגרת סגורה, כדי לנסות ולהגיע לחוף מבטחים. </w:t>
      </w:r>
    </w:p>
    <w:p w14:paraId="7F70F725" w14:textId="77777777" w:rsidR="003C02DD" w:rsidRDefault="003C02DD">
      <w:pPr>
        <w:spacing w:line="480" w:lineRule="auto"/>
        <w:jc w:val="both"/>
        <w:rPr>
          <w:rtl/>
        </w:rPr>
      </w:pPr>
    </w:p>
    <w:p w14:paraId="2BC636C3" w14:textId="77777777" w:rsidR="003C02DD" w:rsidRDefault="00E10FC4">
      <w:pPr>
        <w:spacing w:line="480" w:lineRule="auto"/>
        <w:ind w:left="510" w:hanging="510"/>
        <w:jc w:val="both"/>
        <w:rPr>
          <w:rtl/>
        </w:rPr>
      </w:pPr>
      <w:r>
        <w:rPr>
          <w:rtl/>
        </w:rPr>
        <w:t>6.</w:t>
      </w:r>
      <w:r>
        <w:rPr>
          <w:rFonts w:hint="cs"/>
          <w:rtl/>
        </w:rPr>
        <w:tab/>
        <w:t>כללו של דיון. על הפרק נאשם שביב מעורב בעסקת סמים בהיקף של 3,600 ₪, על פני הדברים, לא עסקה קמעונאית מזערית. זאת, למרות שידע את משמעות החוק בעקבות ענשי מאסר משמעותיים שריצה בעבר. למרות כל זאת, במידה קיצונית בגבול שורת הדין נכון אני להטות את העונש במעט לקולא, זאת, תוך מתן משקל לטענות שפורטו בטוב טעם מפי בא כוחו הנכבד, גם אם, לבטח, אין הצדקה לחרוג ממתחם הענישה הראוי, כדלעיל. זאת, תוך מתן משקל מירבי להודאת הנאשם, ולכך, של</w:t>
      </w:r>
      <w:bookmarkStart w:id="8" w:name="_GoBack"/>
      <w:bookmarkEnd w:id="8"/>
      <w:r>
        <w:rPr>
          <w:rFonts w:hint="cs"/>
          <w:rtl/>
        </w:rPr>
        <w:t>פחות במישור הסמים אלה לגביו שתי העבירות הראשונות. ועם זאת, גם אם אמנע ממיצוי הדין עם הנאשם, עדיין מענישה של ממש במסגרת מתחם הענישה אין מנוס, וזאת, הן נוכח חומרת העבירות ועקרון ההלימה, והן נוכח עברו הרב של הנאשם, וזאת למרות חלוף הזמן והן נוכח הפרת תנאי השחרור. לא נעלמה מעיני גם הפסיקה הרבה שהניח הסניגור על שולחני. ראשית יוער, שרובה המכריע ניתן קודם תיקון 113 ל</w:t>
      </w:r>
      <w:hyperlink r:id="rId11" w:history="1">
        <w:r w:rsidRPr="00E10FC4">
          <w:rPr>
            <w:color w:val="0000FF"/>
            <w:u w:val="single"/>
            <w:rtl/>
          </w:rPr>
          <w:t>חוק העונשין</w:t>
        </w:r>
      </w:hyperlink>
      <w:r>
        <w:rPr>
          <w:rFonts w:hint="cs"/>
          <w:rtl/>
        </w:rPr>
        <w:t>, אך חשוב מכך שבעתיים, שככל שעלה בידי ללמוד מהדברים, אין ביניהם, ולו גם אחד, שעברו הפלילי מתקרב לזה של הנאשם דנן (לדברי התובע, ספר ומצא שהורשע הנאשם, אגב צירופים, ב- 52 עבירות), שלא לדבר על הפרת תנאי שחרור וכשלא ניתן להצביע על סיכויי הצלחה של מהלך שיקומי קונקרטי ורלוונטי.</w:t>
      </w:r>
    </w:p>
    <w:p w14:paraId="6E2F951A" w14:textId="77777777" w:rsidR="003C02DD" w:rsidRDefault="003C02DD">
      <w:pPr>
        <w:spacing w:line="480" w:lineRule="auto"/>
        <w:ind w:left="510" w:hanging="510"/>
        <w:jc w:val="both"/>
        <w:rPr>
          <w:rtl/>
        </w:rPr>
      </w:pPr>
    </w:p>
    <w:p w14:paraId="3278047A" w14:textId="77777777" w:rsidR="003C02DD" w:rsidRDefault="00E10FC4">
      <w:pPr>
        <w:spacing w:line="480" w:lineRule="auto"/>
        <w:ind w:left="510" w:hanging="510"/>
        <w:jc w:val="both"/>
        <w:rPr>
          <w:rtl/>
        </w:rPr>
      </w:pPr>
      <w:r>
        <w:rPr>
          <w:rFonts w:hint="cs"/>
          <w:rtl/>
        </w:rPr>
        <w:t>7.</w:t>
      </w:r>
      <w:r>
        <w:rPr>
          <w:rFonts w:hint="cs"/>
          <w:rtl/>
        </w:rPr>
        <w:tab/>
        <w:t xml:space="preserve">התביעה ביקשה את חילוט המכשירים הניידים שנתפסו באמתחתו של הנאשם. ניתן בזה צו כמבוקש. </w:t>
      </w:r>
    </w:p>
    <w:p w14:paraId="415083E1" w14:textId="77777777" w:rsidR="003C02DD" w:rsidRDefault="003C02DD">
      <w:pPr>
        <w:spacing w:line="480" w:lineRule="auto"/>
        <w:ind w:left="510" w:hanging="510"/>
        <w:jc w:val="both"/>
        <w:rPr>
          <w:rtl/>
        </w:rPr>
      </w:pPr>
    </w:p>
    <w:p w14:paraId="48E0141F" w14:textId="77777777" w:rsidR="003C02DD" w:rsidRDefault="00E10FC4">
      <w:pPr>
        <w:spacing w:line="480" w:lineRule="auto"/>
        <w:ind w:left="510"/>
        <w:jc w:val="both"/>
        <w:rPr>
          <w:rtl/>
        </w:rPr>
      </w:pPr>
      <w:r>
        <w:rPr>
          <w:rFonts w:hint="cs"/>
          <w:rtl/>
        </w:rPr>
        <w:t xml:space="preserve">בקופת בית המשפט גם 3,500 ₪ שהפקיד הנאשם במסגרת תנאי שחרורו. לא אסתיר, שמעט תמהתי שלא ביקשה התביעה את חילוט הסכום לאחר שהפר הנאשם את תנאי שחרורו. נוכח זאת, וגם אם בגבול שורת הדין, היה בדעתי להורות על השבת הסכום לנאשם. ברם, במקביל לבדיקת הנושא נתברר לי שהסכום השני שהיה על הנאשם להפקיד לאחר שחרורו, לא הופקד מעולם. בתוך כך אזכיר, כי מלכתחילה, כדי לאפשר לנאשם לסעוד את אביו בימיו האחרונים הורה בית המשפט על הפקדת 7,000₪, ואולם, נוכח אי יכולתו של הנאשם לעמוד בתנאים ומתוך רצון להוסיף ולגלות רגישות למצבו, ניתנה ביום 4.6.13 החלטה משלימה שאפשרה את שחרורו תוך הפקדת 3,500 ₪ ובמקביל הורתה על השלמת הסכום תוך 10 ימים. בכך שהפקיד הנאשם את הסך הנ"ל והשתחרר, אף רואה אני משום הצהרה מצידו בדבר מודעותו לחובתו להשלים את הסכום בפרק הזמן הנוסף שניתן לו במסגרת החלטת בית המשפט. דא עקא, מתברר, שגם במישור זה חטא הנאשם </w:t>
      </w:r>
      <w:r>
        <w:rPr>
          <w:rFonts w:hint="cs"/>
          <w:b/>
          <w:bCs/>
          <w:rtl/>
        </w:rPr>
        <w:t>עוד פעמיים</w:t>
      </w:r>
      <w:r>
        <w:rPr>
          <w:rFonts w:hint="cs"/>
          <w:rtl/>
        </w:rPr>
        <w:t xml:space="preserve">: פעם אחת בשל כך שהסכום המשלים לא הופקד, לא בפרק הזמן שהוקצה לכך ואף לא במועד כלשהו לאחר מכן, ופעם שניה בכך שלא הובא הדבר לידיעת בית המשפט. וכל זאת, כאמור, כשברקע הפרת תנאים בוטה של נאשם שבית המשפט עשה כברת דרך ממשית לעברו, אך ניצל זאת לרעה. במאמר מוסגר יצוין, שגם הערבה שקיבלה על עצמה אחריות כלפי העצור להקפדה על תנאי השחרור, לא הוכיחה את עצמה. בנסיבות אלה לא ראוי להורות על השבת הסכום לנאשם ויש להורות על חילוטו. </w:t>
      </w:r>
    </w:p>
    <w:p w14:paraId="5770CABE" w14:textId="77777777" w:rsidR="003C02DD" w:rsidRDefault="003C02DD">
      <w:pPr>
        <w:spacing w:line="480" w:lineRule="auto"/>
        <w:jc w:val="both"/>
        <w:rPr>
          <w:rtl/>
        </w:rPr>
      </w:pPr>
    </w:p>
    <w:p w14:paraId="1D1EC0EE" w14:textId="77777777" w:rsidR="003C02DD" w:rsidRDefault="00E10FC4">
      <w:pPr>
        <w:spacing w:line="480" w:lineRule="auto"/>
        <w:ind w:left="510" w:hanging="510"/>
        <w:jc w:val="both"/>
        <w:rPr>
          <w:rtl/>
        </w:rPr>
      </w:pPr>
      <w:r>
        <w:rPr>
          <w:rFonts w:hint="cs"/>
          <w:rtl/>
        </w:rPr>
        <w:t>8</w:t>
      </w:r>
      <w:r>
        <w:rPr>
          <w:rtl/>
        </w:rPr>
        <w:t>.</w:t>
      </w:r>
      <w:r>
        <w:rPr>
          <w:rFonts w:hint="cs"/>
          <w:rtl/>
        </w:rPr>
        <w:tab/>
        <w:t xml:space="preserve">סוף דבר, גוזר אני כדלקמן: </w:t>
      </w:r>
    </w:p>
    <w:p w14:paraId="3FDC1F23" w14:textId="77777777" w:rsidR="003C02DD" w:rsidRDefault="003C02DD">
      <w:pPr>
        <w:spacing w:line="480" w:lineRule="auto"/>
        <w:jc w:val="both"/>
        <w:rPr>
          <w:rtl/>
        </w:rPr>
      </w:pPr>
    </w:p>
    <w:p w14:paraId="7AA34FC9" w14:textId="77777777" w:rsidR="003C02DD" w:rsidRDefault="00E10FC4">
      <w:pPr>
        <w:spacing w:line="480" w:lineRule="auto"/>
        <w:ind w:left="510"/>
        <w:jc w:val="both"/>
        <w:rPr>
          <w:rtl/>
        </w:rPr>
      </w:pPr>
      <w:r>
        <w:rPr>
          <w:u w:val="single"/>
          <w:rtl/>
        </w:rPr>
        <w:t>מאסר</w:t>
      </w:r>
      <w:r>
        <w:rPr>
          <w:rtl/>
        </w:rPr>
        <w:t xml:space="preserve"> - מאסר בפועל לתקופה של </w:t>
      </w:r>
      <w:r>
        <w:rPr>
          <w:rFonts w:hint="cs"/>
          <w:rtl/>
        </w:rPr>
        <w:t xml:space="preserve">10 </w:t>
      </w:r>
      <w:r>
        <w:rPr>
          <w:rtl/>
        </w:rPr>
        <w:t>חודשים. תקופת מאסרו תחושב מ</w:t>
      </w:r>
      <w:r>
        <w:rPr>
          <w:rFonts w:hint="cs"/>
          <w:rtl/>
        </w:rPr>
        <w:t>יום 16.1.14, ובהפחתה נוספת של 10 ימים (ימי המעצר, קודם ששוחרר כדי לאפשר לו לסעוד את אביו).</w:t>
      </w:r>
    </w:p>
    <w:p w14:paraId="6638DC8F" w14:textId="77777777" w:rsidR="003C02DD" w:rsidRDefault="003C02DD">
      <w:pPr>
        <w:pStyle w:val="3"/>
        <w:rPr>
          <w:b w:val="0"/>
          <w:bCs w:val="0"/>
          <w:i w:val="0"/>
          <w:iCs w:val="0"/>
          <w:sz w:val="24"/>
          <w:rtl/>
        </w:rPr>
      </w:pPr>
    </w:p>
    <w:p w14:paraId="2E72549C" w14:textId="77777777" w:rsidR="003C02DD" w:rsidRDefault="00E10FC4">
      <w:pPr>
        <w:spacing w:line="480" w:lineRule="auto"/>
        <w:ind w:left="510"/>
        <w:jc w:val="both"/>
        <w:rPr>
          <w:rtl/>
        </w:rPr>
      </w:pPr>
      <w:r>
        <w:rPr>
          <w:u w:val="single"/>
          <w:rtl/>
        </w:rPr>
        <w:t>מאסר על תנאי</w:t>
      </w:r>
      <w:r>
        <w:rPr>
          <w:rtl/>
        </w:rPr>
        <w:t xml:space="preserve"> - מאסר על תנאי לתקופה של </w:t>
      </w:r>
      <w:r>
        <w:rPr>
          <w:rFonts w:hint="cs"/>
          <w:rtl/>
        </w:rPr>
        <w:t>6</w:t>
      </w:r>
      <w:r>
        <w:rPr>
          <w:rtl/>
        </w:rPr>
        <w:t xml:space="preserve"> חודשים. הנאשם ישא בעונש זה אם בתקופה של שנתיים מיום </w:t>
      </w:r>
      <w:r>
        <w:rPr>
          <w:rFonts w:hint="cs"/>
          <w:rtl/>
        </w:rPr>
        <w:t xml:space="preserve">שחרורו </w:t>
      </w:r>
      <w:r>
        <w:rPr>
          <w:rtl/>
        </w:rPr>
        <w:t xml:space="preserve">יעבור עבירה נוספת לפי </w:t>
      </w:r>
      <w:hyperlink r:id="rId12" w:history="1">
        <w:r w:rsidRPr="00E10FC4">
          <w:rPr>
            <w:color w:val="0000FF"/>
            <w:u w:val="single"/>
            <w:rtl/>
          </w:rPr>
          <w:t>פקודת הסמים המסוכנים</w:t>
        </w:r>
      </w:hyperlink>
      <w:r>
        <w:rPr>
          <w:rFonts w:hint="cs"/>
          <w:rtl/>
        </w:rPr>
        <w:t xml:space="preserve">. </w:t>
      </w:r>
    </w:p>
    <w:p w14:paraId="7324A568" w14:textId="77777777" w:rsidR="003C02DD" w:rsidRDefault="003C02DD">
      <w:pPr>
        <w:spacing w:line="480" w:lineRule="auto"/>
        <w:ind w:left="510"/>
        <w:jc w:val="both"/>
        <w:rPr>
          <w:rtl/>
        </w:rPr>
      </w:pPr>
    </w:p>
    <w:p w14:paraId="5FEA8496" w14:textId="77777777" w:rsidR="003C02DD" w:rsidRDefault="00E10FC4">
      <w:pPr>
        <w:spacing w:line="480" w:lineRule="auto"/>
        <w:ind w:left="510"/>
        <w:jc w:val="both"/>
        <w:rPr>
          <w:rtl/>
        </w:rPr>
      </w:pPr>
      <w:r>
        <w:rPr>
          <w:rFonts w:hint="cs"/>
          <w:u w:val="single"/>
          <w:rtl/>
        </w:rPr>
        <w:t>כספים מופקדים</w:t>
      </w:r>
      <w:r>
        <w:rPr>
          <w:rFonts w:hint="cs"/>
          <w:rtl/>
        </w:rPr>
        <w:t xml:space="preserve"> </w:t>
      </w:r>
      <w:r>
        <w:rPr>
          <w:rtl/>
        </w:rPr>
        <w:t>–</w:t>
      </w:r>
      <w:r>
        <w:rPr>
          <w:rFonts w:hint="cs"/>
          <w:rtl/>
        </w:rPr>
        <w:t xml:space="preserve"> יחולטו. </w:t>
      </w:r>
    </w:p>
    <w:p w14:paraId="42ED476F" w14:textId="77777777" w:rsidR="003C02DD" w:rsidRDefault="003C02DD">
      <w:pPr>
        <w:spacing w:line="480" w:lineRule="auto"/>
        <w:ind w:left="510"/>
        <w:jc w:val="both"/>
        <w:rPr>
          <w:rtl/>
        </w:rPr>
      </w:pPr>
    </w:p>
    <w:p w14:paraId="23DA381B" w14:textId="77777777" w:rsidR="003C02DD" w:rsidRDefault="00E10FC4">
      <w:pPr>
        <w:spacing w:line="480" w:lineRule="auto"/>
        <w:ind w:left="510"/>
        <w:jc w:val="both"/>
        <w:rPr>
          <w:rtl/>
        </w:rPr>
      </w:pPr>
      <w:r>
        <w:rPr>
          <w:rFonts w:hint="cs"/>
          <w:u w:val="single"/>
          <w:rtl/>
        </w:rPr>
        <w:t>מוצגים</w:t>
      </w:r>
      <w:r>
        <w:rPr>
          <w:rFonts w:hint="cs"/>
          <w:rtl/>
        </w:rPr>
        <w:t xml:space="preserve"> </w:t>
      </w:r>
      <w:r>
        <w:rPr>
          <w:rtl/>
        </w:rPr>
        <w:t>–</w:t>
      </w:r>
      <w:r>
        <w:rPr>
          <w:rFonts w:hint="cs"/>
          <w:rtl/>
        </w:rPr>
        <w:t xml:space="preserve"> סמים יושמדו; מכשירים סלולאריים </w:t>
      </w:r>
      <w:r>
        <w:rPr>
          <w:rtl/>
        </w:rPr>
        <w:t>–</w:t>
      </w:r>
      <w:r>
        <w:rPr>
          <w:rFonts w:hint="cs"/>
          <w:rtl/>
        </w:rPr>
        <w:t xml:space="preserve"> יחולטו. </w:t>
      </w:r>
    </w:p>
    <w:p w14:paraId="05A721EE" w14:textId="77777777" w:rsidR="003C02DD" w:rsidRDefault="003C02DD">
      <w:pPr>
        <w:pStyle w:val="4"/>
        <w:rPr>
          <w:b w:val="0"/>
          <w:bCs w:val="0"/>
          <w:i/>
          <w:iCs/>
          <w:rtl/>
        </w:rPr>
      </w:pPr>
    </w:p>
    <w:p w14:paraId="77CD4AD3" w14:textId="77777777" w:rsidR="003C02DD" w:rsidRDefault="003C02DD">
      <w:pPr>
        <w:rPr>
          <w:rtl/>
        </w:rPr>
      </w:pPr>
    </w:p>
    <w:p w14:paraId="19BC76AB" w14:textId="77777777" w:rsidR="003C02DD" w:rsidRDefault="00E10FC4">
      <w:pPr>
        <w:spacing w:line="480" w:lineRule="auto"/>
        <w:ind w:firstLine="510"/>
        <w:jc w:val="both"/>
        <w:rPr>
          <w:rtl/>
        </w:rPr>
      </w:pPr>
      <w:r w:rsidRPr="00E10FC4">
        <w:rPr>
          <w:color w:val="FFFFFF"/>
          <w:sz w:val="2"/>
          <w:szCs w:val="2"/>
          <w:rtl/>
        </w:rPr>
        <w:t>5129371</w:t>
      </w:r>
      <w:r>
        <w:rPr>
          <w:rtl/>
        </w:rPr>
        <w:t xml:space="preserve">זכות ערעור על פסק הדין תוך 45 יום מהיום. </w:t>
      </w:r>
    </w:p>
    <w:p w14:paraId="6E2134E4" w14:textId="77777777" w:rsidR="003C02DD" w:rsidRPr="00E10FC4" w:rsidRDefault="00E10FC4">
      <w:pPr>
        <w:spacing w:line="480" w:lineRule="auto"/>
        <w:jc w:val="both"/>
        <w:rPr>
          <w:rFonts w:ascii="Arial" w:hAnsi="Arial"/>
          <w:b/>
          <w:bCs/>
          <w:color w:val="FFFFFF"/>
          <w:sz w:val="2"/>
          <w:szCs w:val="2"/>
          <w:rtl/>
        </w:rPr>
      </w:pPr>
      <w:r w:rsidRPr="00E10FC4">
        <w:rPr>
          <w:rFonts w:ascii="Arial" w:hAnsi="Arial"/>
          <w:b/>
          <w:bCs/>
          <w:color w:val="FFFFFF"/>
          <w:sz w:val="2"/>
          <w:szCs w:val="2"/>
          <w:rtl/>
        </w:rPr>
        <w:t>54678313</w:t>
      </w:r>
    </w:p>
    <w:p w14:paraId="0AF70691" w14:textId="77777777" w:rsidR="003C02DD" w:rsidRDefault="00E10FC4">
      <w:pPr>
        <w:spacing w:line="480" w:lineRule="auto"/>
        <w:ind w:left="4320" w:firstLine="720"/>
      </w:pPr>
      <w:r>
        <w:rPr>
          <w:rFonts w:ascii="Arial" w:hAnsi="Arial"/>
          <w:b/>
          <w:bCs/>
          <w:rtl/>
        </w:rPr>
        <w:t xml:space="preserve">ניתן היום, ט' ניסן תשע"ד, 09 אפריל 2014, במעמד הצדדים. </w:t>
      </w:r>
    </w:p>
    <w:p w14:paraId="41C3A658" w14:textId="77777777" w:rsidR="003C02DD" w:rsidRDefault="003C02DD">
      <w:pPr>
        <w:spacing w:line="480" w:lineRule="auto"/>
        <w:ind w:left="4320" w:firstLine="720"/>
        <w:rPr>
          <w:rFonts w:ascii="Arial" w:hAnsi="Arial" w:cs="FrankRuehl"/>
          <w:sz w:val="28"/>
          <w:szCs w:val="28"/>
          <w:rtl/>
        </w:rPr>
      </w:pPr>
    </w:p>
    <w:p w14:paraId="09D14441" w14:textId="77777777" w:rsidR="003C02DD" w:rsidRDefault="003C02DD">
      <w:pPr>
        <w:spacing w:line="480" w:lineRule="auto"/>
        <w:rPr>
          <w:rFonts w:cs="FrankRuehl"/>
          <w:sz w:val="28"/>
          <w:szCs w:val="28"/>
          <w:rtl/>
        </w:rPr>
      </w:pPr>
    </w:p>
    <w:p w14:paraId="3C3433A0" w14:textId="77777777" w:rsidR="003C02DD" w:rsidRDefault="003C02DD">
      <w:pPr>
        <w:pStyle w:val="a3"/>
        <w:jc w:val="center"/>
        <w:rPr>
          <w:rtl/>
        </w:rPr>
      </w:pPr>
    </w:p>
    <w:p w14:paraId="39AD5BF0" w14:textId="77777777" w:rsidR="00E10FC4" w:rsidRPr="00E10FC4" w:rsidRDefault="00E10FC4" w:rsidP="00E10FC4">
      <w:pPr>
        <w:keepNext/>
        <w:rPr>
          <w:rFonts w:ascii="David" w:hAnsi="David"/>
          <w:color w:val="000000"/>
          <w:sz w:val="22"/>
          <w:szCs w:val="22"/>
          <w:rtl/>
        </w:rPr>
      </w:pPr>
    </w:p>
    <w:p w14:paraId="4AACE5B9" w14:textId="77777777" w:rsidR="00E10FC4" w:rsidRPr="00E10FC4" w:rsidRDefault="00E10FC4" w:rsidP="00E10FC4">
      <w:pPr>
        <w:keepNext/>
        <w:rPr>
          <w:rFonts w:ascii="David" w:hAnsi="David"/>
          <w:color w:val="000000"/>
          <w:sz w:val="22"/>
          <w:szCs w:val="22"/>
          <w:rtl/>
        </w:rPr>
      </w:pPr>
      <w:r w:rsidRPr="00E10FC4">
        <w:rPr>
          <w:rFonts w:ascii="David" w:hAnsi="David"/>
          <w:color w:val="000000"/>
          <w:sz w:val="22"/>
          <w:szCs w:val="22"/>
          <w:rtl/>
        </w:rPr>
        <w:t>אלכסנדר רון 54678313</w:t>
      </w:r>
    </w:p>
    <w:p w14:paraId="65F5B462" w14:textId="77777777" w:rsidR="00E10FC4" w:rsidRDefault="00E10FC4" w:rsidP="00E10FC4">
      <w:r w:rsidRPr="00E10FC4">
        <w:rPr>
          <w:color w:val="000000"/>
          <w:rtl/>
        </w:rPr>
        <w:t>נוסח מסמך זה כפוף לשינויי ניסוח ועריכה</w:t>
      </w:r>
    </w:p>
    <w:p w14:paraId="1E160D10" w14:textId="77777777" w:rsidR="00E10FC4" w:rsidRDefault="00E10FC4" w:rsidP="00E10FC4">
      <w:pPr>
        <w:rPr>
          <w:rtl/>
        </w:rPr>
      </w:pPr>
    </w:p>
    <w:p w14:paraId="4EFFE326" w14:textId="77777777" w:rsidR="00E10FC4" w:rsidRDefault="00E10FC4" w:rsidP="00E10FC4">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49B9F575" w14:textId="77777777" w:rsidR="003C02DD" w:rsidRPr="00E10FC4" w:rsidRDefault="003C02DD" w:rsidP="00E10FC4">
      <w:pPr>
        <w:jc w:val="center"/>
        <w:rPr>
          <w:color w:val="0000FF"/>
          <w:u w:val="single"/>
        </w:rPr>
      </w:pPr>
    </w:p>
    <w:sectPr w:rsidR="003C02DD" w:rsidRPr="00E10FC4" w:rsidSect="00E10FC4">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AF945" w14:textId="77777777" w:rsidR="001240FA" w:rsidRPr="00600926" w:rsidRDefault="001240FA">
      <w:pPr>
        <w:rPr>
          <w:rFonts w:cs="Arial"/>
          <w:szCs w:val="20"/>
        </w:rPr>
      </w:pPr>
      <w:r>
        <w:separator/>
      </w:r>
    </w:p>
  </w:endnote>
  <w:endnote w:type="continuationSeparator" w:id="0">
    <w:p w14:paraId="33C7C40D" w14:textId="77777777" w:rsidR="001240FA" w:rsidRPr="00600926" w:rsidRDefault="001240F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F20F1" w14:textId="77777777" w:rsidR="00E10FC4" w:rsidRDefault="00E10FC4" w:rsidP="00E10FC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D3F9F68" w14:textId="77777777" w:rsidR="00E10FC4" w:rsidRPr="00E10FC4" w:rsidRDefault="00E10FC4" w:rsidP="00E10FC4">
    <w:pPr>
      <w:pStyle w:val="a4"/>
      <w:pBdr>
        <w:top w:val="single" w:sz="4" w:space="1" w:color="auto"/>
        <w:between w:val="single" w:sz="4" w:space="0" w:color="auto"/>
      </w:pBdr>
      <w:spacing w:after="60"/>
      <w:jc w:val="center"/>
      <w:rPr>
        <w:rFonts w:ascii="FrankRuehl" w:hAnsi="FrankRuehl" w:cs="FrankRuehl"/>
        <w:color w:val="000000"/>
      </w:rPr>
    </w:pPr>
    <w:r w:rsidRPr="00E10F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94D0F" w14:textId="77777777" w:rsidR="00E10FC4" w:rsidRDefault="00E10FC4" w:rsidP="00E10FC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14B9">
      <w:rPr>
        <w:rFonts w:ascii="FrankRuehl" w:hAnsi="FrankRuehl" w:cs="FrankRuehl"/>
        <w:noProof/>
        <w:rtl/>
      </w:rPr>
      <w:t>1</w:t>
    </w:r>
    <w:r>
      <w:rPr>
        <w:rFonts w:ascii="FrankRuehl" w:hAnsi="FrankRuehl" w:cs="FrankRuehl"/>
        <w:rtl/>
      </w:rPr>
      <w:fldChar w:fldCharType="end"/>
    </w:r>
  </w:p>
  <w:p w14:paraId="671DDF43" w14:textId="77777777" w:rsidR="00E10FC4" w:rsidRPr="00E10FC4" w:rsidRDefault="00E10FC4" w:rsidP="00E10FC4">
    <w:pPr>
      <w:pStyle w:val="a4"/>
      <w:pBdr>
        <w:top w:val="single" w:sz="4" w:space="1" w:color="auto"/>
        <w:between w:val="single" w:sz="4" w:space="0" w:color="auto"/>
      </w:pBdr>
      <w:spacing w:after="60"/>
      <w:jc w:val="center"/>
      <w:rPr>
        <w:rFonts w:ascii="FrankRuehl" w:hAnsi="FrankRuehl" w:cs="FrankRuehl"/>
        <w:color w:val="000000"/>
      </w:rPr>
    </w:pPr>
    <w:r w:rsidRPr="00E10FC4">
      <w:rPr>
        <w:rFonts w:ascii="FrankRuehl" w:hAnsi="FrankRuehl" w:cs="FrankRuehl"/>
        <w:color w:val="000000"/>
      </w:rPr>
      <w:pict w14:anchorId="1D0A0C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6A4AA" w14:textId="77777777" w:rsidR="001240FA" w:rsidRPr="00600926" w:rsidRDefault="001240FA">
      <w:pPr>
        <w:rPr>
          <w:rFonts w:cs="Arial"/>
          <w:szCs w:val="20"/>
        </w:rPr>
      </w:pPr>
      <w:r>
        <w:separator/>
      </w:r>
    </w:p>
  </w:footnote>
  <w:footnote w:type="continuationSeparator" w:id="0">
    <w:p w14:paraId="38CFA968" w14:textId="77777777" w:rsidR="001240FA" w:rsidRPr="00600926" w:rsidRDefault="001240F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31B62" w14:textId="77777777" w:rsidR="00E10FC4" w:rsidRPr="00E10FC4" w:rsidRDefault="00E10FC4" w:rsidP="00E10F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1161-06-13</w:t>
    </w:r>
    <w:r>
      <w:rPr>
        <w:rFonts w:ascii="David" w:hAnsi="David"/>
        <w:color w:val="000000"/>
        <w:sz w:val="22"/>
        <w:szCs w:val="22"/>
        <w:rtl/>
      </w:rPr>
      <w:tab/>
      <w:t xml:space="preserve"> מדינת ישראל נ' סמיר אבו נצירה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C6F0A" w14:textId="77777777" w:rsidR="00E10FC4" w:rsidRPr="00E10FC4" w:rsidRDefault="00E10FC4" w:rsidP="00E10F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1161-06-13</w:t>
    </w:r>
    <w:r>
      <w:rPr>
        <w:rFonts w:ascii="David" w:hAnsi="David"/>
        <w:color w:val="000000"/>
        <w:sz w:val="22"/>
        <w:szCs w:val="22"/>
        <w:rtl/>
      </w:rPr>
      <w:tab/>
      <w:t xml:space="preserve"> מדינת ישראל נ' סמיר אבו נצירה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02DD"/>
    <w:rsid w:val="001240FA"/>
    <w:rsid w:val="00262A69"/>
    <w:rsid w:val="003C02DD"/>
    <w:rsid w:val="00557083"/>
    <w:rsid w:val="007114B9"/>
    <w:rsid w:val="00E10FC4"/>
    <w:rsid w:val="00EE3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F068B1"/>
  <w15:chartTrackingRefBased/>
  <w15:docId w15:val="{22A2EF4B-DC89-46E0-9E23-D88362EB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02DD"/>
    <w:pPr>
      <w:bidi/>
    </w:pPr>
    <w:rPr>
      <w:rFonts w:cs="David"/>
      <w:sz w:val="24"/>
      <w:szCs w:val="24"/>
    </w:rPr>
  </w:style>
  <w:style w:type="paragraph" w:styleId="3">
    <w:name w:val="heading 3"/>
    <w:basedOn w:val="a"/>
    <w:next w:val="a"/>
    <w:link w:val="30"/>
    <w:qFormat/>
    <w:rsid w:val="003C02DD"/>
    <w:pPr>
      <w:keepNext/>
      <w:spacing w:line="480" w:lineRule="auto"/>
      <w:jc w:val="both"/>
      <w:outlineLvl w:val="2"/>
    </w:pPr>
    <w:rPr>
      <w:b/>
      <w:bCs/>
      <w:i/>
      <w:iCs/>
      <w:snapToGrid w:val="0"/>
      <w:sz w:val="20"/>
      <w:lang w:eastAsia="he-IL"/>
    </w:rPr>
  </w:style>
  <w:style w:type="paragraph" w:styleId="4">
    <w:name w:val="heading 4"/>
    <w:basedOn w:val="a"/>
    <w:next w:val="a"/>
    <w:qFormat/>
    <w:rsid w:val="003C02DD"/>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C02DD"/>
    <w:pPr>
      <w:tabs>
        <w:tab w:val="center" w:pos="4153"/>
        <w:tab w:val="right" w:pos="8306"/>
      </w:tabs>
    </w:pPr>
  </w:style>
  <w:style w:type="paragraph" w:styleId="a4">
    <w:name w:val="footer"/>
    <w:basedOn w:val="a"/>
    <w:rsid w:val="003C02DD"/>
    <w:pPr>
      <w:tabs>
        <w:tab w:val="center" w:pos="4153"/>
        <w:tab w:val="right" w:pos="8306"/>
      </w:tabs>
    </w:pPr>
  </w:style>
  <w:style w:type="character" w:customStyle="1" w:styleId="30">
    <w:name w:val="כותרת 3 תו"/>
    <w:basedOn w:val="a0"/>
    <w:link w:val="3"/>
    <w:rsid w:val="003C02DD"/>
    <w:rPr>
      <w:rFonts w:cs="David"/>
      <w:b/>
      <w:bCs/>
      <w:i/>
      <w:iCs/>
      <w:snapToGrid w:val="0"/>
      <w:szCs w:val="24"/>
      <w:lang w:val="en-US" w:eastAsia="he-IL" w:bidi="he-IL"/>
    </w:rPr>
  </w:style>
  <w:style w:type="character" w:styleId="a5">
    <w:name w:val="line number"/>
    <w:basedOn w:val="a0"/>
    <w:rsid w:val="003C02DD"/>
  </w:style>
  <w:style w:type="character" w:styleId="a6">
    <w:name w:val="page number"/>
    <w:basedOn w:val="a0"/>
    <w:rsid w:val="00E10FC4"/>
  </w:style>
  <w:style w:type="character" w:styleId="Hyperlink">
    <w:name w:val="Hyperlink"/>
    <w:basedOn w:val="a0"/>
    <w:rsid w:val="00E10F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40jc.b"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0jc.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1242</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7440</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6553637</vt:i4>
      </vt:variant>
      <vt:variant>
        <vt:i4>9</vt:i4>
      </vt:variant>
      <vt:variant>
        <vt:i4>0</vt:i4>
      </vt:variant>
      <vt:variant>
        <vt:i4>5</vt:i4>
      </vt:variant>
      <vt:variant>
        <vt:lpwstr>http://www.nevo.co.il/law/70301/40jc.b</vt:lpwstr>
      </vt:variant>
      <vt:variant>
        <vt:lpwstr/>
      </vt:variant>
      <vt:variant>
        <vt:i4>8257637</vt:i4>
      </vt:variant>
      <vt:variant>
        <vt:i4>6</vt:i4>
      </vt:variant>
      <vt:variant>
        <vt:i4>0</vt:i4>
      </vt:variant>
      <vt:variant>
        <vt:i4>5</vt:i4>
      </vt:variant>
      <vt:variant>
        <vt:lpwstr>http://www.nevo.co.il/law/4216</vt:lpwstr>
      </vt:variant>
      <vt:variant>
        <vt:lpwstr/>
      </vt:variant>
      <vt:variant>
        <vt:i4>6553637</vt:i4>
      </vt:variant>
      <vt:variant>
        <vt:i4>3</vt:i4>
      </vt:variant>
      <vt:variant>
        <vt:i4>0</vt:i4>
      </vt:variant>
      <vt:variant>
        <vt:i4>5</vt:i4>
      </vt:variant>
      <vt:variant>
        <vt:lpwstr>http://www.nevo.co.il/law/70301/40jc.b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2025-04-22T22:03:00Z</dcterms:created>
  <dcterms:modified xsi:type="dcterms:W3CDTF">2025-04-22T22:03:00Z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1161</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סמיר אבו נצירה</vt:lpwstr>
  </property>
  <property fmtid="{D5CDD505-2E9C-101B-9397-08002B2CF9AE}" pid="10" name="LAWYER">
    <vt:lpwstr>מ. יובל עזרא ; הדיה</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20140409</vt:lpwstr>
  </property>
  <property fmtid="{D5CDD505-2E9C-101B-9397-08002B2CF9AE}" pid="14" name="TYPE_N_DATE">
    <vt:lpwstr>38020140409</vt:lpwstr>
  </property>
  <property fmtid="{D5CDD505-2E9C-101B-9397-08002B2CF9AE}" pid="15" name="WORDNUMPAGES">
    <vt:lpwstr>5</vt:lpwstr>
  </property>
  <property fmtid="{D5CDD505-2E9C-101B-9397-08002B2CF9AE}" pid="16" name="TYPE_ABS_DATE">
    <vt:lpwstr>380020140409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70301/40jc.b</vt:lpwstr>
  </property>
  <property fmtid="{D5CDD505-2E9C-101B-9397-08002B2CF9AE}" pid="36" name="LAWLISTTMP2">
    <vt:lpwstr>4216</vt:lpwstr>
  </property>
</Properties>
</file>