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7D4C0D" w:rsidRPr="00CD111D" w14:paraId="129A3C79" w14:textId="77777777">
        <w:trPr>
          <w:trHeight w:hRule="exact" w:val="418"/>
          <w:jc w:val="center"/>
        </w:trPr>
        <w:tc>
          <w:tcPr>
            <w:tcW w:w="8721" w:type="dxa"/>
            <w:gridSpan w:val="2"/>
          </w:tcPr>
          <w:p w14:paraId="1061CA4A" w14:textId="77777777" w:rsidR="007D4C0D" w:rsidRPr="00CD111D" w:rsidRDefault="00CD111D">
            <w:pPr>
              <w:pStyle w:val="a3"/>
              <w:jc w:val="center"/>
              <w:rPr>
                <w:rFonts w:ascii="Tahoma" w:hAnsi="Tahoma" w:cs="Tahoma"/>
                <w:color w:val="000080"/>
                <w:rtl/>
              </w:rPr>
            </w:pPr>
            <w:bookmarkStart w:id="0" w:name="FirstLawyer"/>
            <w:bookmarkStart w:id="1" w:name="LastJudge"/>
            <w:r w:rsidRPr="00CD111D">
              <w:rPr>
                <w:rFonts w:ascii="Tahoma" w:hAnsi="Tahoma" w:cs="Tahoma"/>
                <w:b/>
                <w:bCs/>
                <w:color w:val="000080"/>
                <w:rtl/>
              </w:rPr>
              <w:t>בית משפט השלום ברמלה</w:t>
            </w:r>
          </w:p>
        </w:tc>
      </w:tr>
      <w:tr w:rsidR="007D4C0D" w:rsidRPr="00CD111D" w14:paraId="42A06A24" w14:textId="77777777">
        <w:trPr>
          <w:trHeight w:val="337"/>
          <w:jc w:val="center"/>
        </w:trPr>
        <w:tc>
          <w:tcPr>
            <w:tcW w:w="5062" w:type="dxa"/>
          </w:tcPr>
          <w:p w14:paraId="420E9B4A" w14:textId="77777777" w:rsidR="007D4C0D" w:rsidRPr="00CD111D" w:rsidRDefault="00CD111D">
            <w:pPr>
              <w:rPr>
                <w:rFonts w:cs="FrankRuehl"/>
                <w:sz w:val="28"/>
                <w:szCs w:val="28"/>
                <w:rtl/>
              </w:rPr>
            </w:pPr>
            <w:r w:rsidRPr="00CD111D">
              <w:rPr>
                <w:rFonts w:cs="FrankRuehl"/>
                <w:sz w:val="28"/>
                <w:szCs w:val="28"/>
                <w:rtl/>
              </w:rPr>
              <w:t>ת"פ</w:t>
            </w:r>
            <w:r w:rsidRPr="00CD111D">
              <w:rPr>
                <w:rFonts w:cs="FrankRuehl" w:hint="cs"/>
                <w:sz w:val="28"/>
                <w:szCs w:val="28"/>
                <w:rtl/>
              </w:rPr>
              <w:t xml:space="preserve"> </w:t>
            </w:r>
            <w:r w:rsidRPr="00CD111D">
              <w:rPr>
                <w:rFonts w:cs="FrankRuehl"/>
                <w:sz w:val="28"/>
                <w:szCs w:val="28"/>
                <w:rtl/>
              </w:rPr>
              <w:t>11704-06-13</w:t>
            </w:r>
            <w:r w:rsidRPr="00CD111D">
              <w:rPr>
                <w:rFonts w:cs="FrankRuehl" w:hint="cs"/>
                <w:sz w:val="28"/>
                <w:szCs w:val="28"/>
                <w:rtl/>
              </w:rPr>
              <w:t xml:space="preserve"> </w:t>
            </w:r>
            <w:r w:rsidRPr="00CD111D">
              <w:rPr>
                <w:rFonts w:cs="FrankRuehl"/>
                <w:sz w:val="28"/>
                <w:szCs w:val="28"/>
                <w:rtl/>
              </w:rPr>
              <w:t>פרקליטות מחוז מרכז נ' גרשונוביץ(עציר)</w:t>
            </w:r>
          </w:p>
          <w:p w14:paraId="45683B9A" w14:textId="77777777" w:rsidR="007D4C0D" w:rsidRPr="00CD111D" w:rsidRDefault="007D4C0D">
            <w:pPr>
              <w:pStyle w:val="a3"/>
              <w:rPr>
                <w:rFonts w:cs="FrankRuehl"/>
                <w:sz w:val="28"/>
                <w:szCs w:val="28"/>
                <w:rtl/>
              </w:rPr>
            </w:pPr>
          </w:p>
        </w:tc>
        <w:tc>
          <w:tcPr>
            <w:tcW w:w="3659" w:type="dxa"/>
          </w:tcPr>
          <w:p w14:paraId="4AC354FE" w14:textId="77777777" w:rsidR="007D4C0D" w:rsidRPr="00CD111D" w:rsidRDefault="007D4C0D">
            <w:pPr>
              <w:pStyle w:val="a3"/>
              <w:jc w:val="right"/>
              <w:rPr>
                <w:rFonts w:cs="FrankRuehl"/>
                <w:sz w:val="28"/>
                <w:szCs w:val="28"/>
                <w:rtl/>
              </w:rPr>
            </w:pPr>
          </w:p>
        </w:tc>
      </w:tr>
    </w:tbl>
    <w:p w14:paraId="1F14C710" w14:textId="77777777" w:rsidR="007D4C0D" w:rsidRPr="00CD111D" w:rsidRDefault="00CD111D">
      <w:pPr>
        <w:pStyle w:val="a3"/>
        <w:rPr>
          <w:rtl/>
        </w:rPr>
      </w:pPr>
      <w:r w:rsidRPr="00CD111D">
        <w:rPr>
          <w:rFonts w:hint="cs"/>
          <w:rtl/>
        </w:rPr>
        <w:t xml:space="preserve"> </w:t>
      </w:r>
    </w:p>
    <w:p w14:paraId="7B257E6F" w14:textId="77777777" w:rsidR="007D4C0D" w:rsidRPr="00CD111D" w:rsidRDefault="007D4C0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D4C0D" w:rsidRPr="00CD111D" w14:paraId="7FA1AC0F" w14:textId="77777777">
        <w:trPr>
          <w:trHeight w:val="295"/>
          <w:jc w:val="center"/>
        </w:trPr>
        <w:tc>
          <w:tcPr>
            <w:tcW w:w="923" w:type="dxa"/>
            <w:tcBorders>
              <w:top w:val="nil"/>
              <w:left w:val="nil"/>
              <w:bottom w:val="nil"/>
              <w:right w:val="nil"/>
            </w:tcBorders>
          </w:tcPr>
          <w:p w14:paraId="68706F6B" w14:textId="77777777" w:rsidR="007D4C0D" w:rsidRPr="00CD111D" w:rsidRDefault="00CD111D">
            <w:pPr>
              <w:jc w:val="both"/>
              <w:rPr>
                <w:rFonts w:ascii="Arial" w:hAnsi="Arial" w:cs="FrankRuehl"/>
                <w:b/>
                <w:bCs/>
                <w:sz w:val="28"/>
                <w:szCs w:val="28"/>
              </w:rPr>
            </w:pPr>
            <w:r w:rsidRPr="00CD111D">
              <w:rPr>
                <w:rFonts w:ascii="Arial" w:hAnsi="Arial" w:cs="FrankRuehl" w:hint="cs"/>
                <w:b/>
                <w:bCs/>
                <w:sz w:val="28"/>
                <w:szCs w:val="28"/>
                <w:rtl/>
              </w:rPr>
              <w:t>ב</w:t>
            </w:r>
            <w:r w:rsidRPr="00CD111D">
              <w:rPr>
                <w:rFonts w:ascii="Arial" w:hAnsi="Arial" w:cs="FrankRuehl"/>
                <w:b/>
                <w:bCs/>
                <w:sz w:val="28"/>
                <w:szCs w:val="28"/>
                <w:rtl/>
              </w:rPr>
              <w:t xml:space="preserve">פני </w:t>
            </w:r>
          </w:p>
        </w:tc>
        <w:tc>
          <w:tcPr>
            <w:tcW w:w="7897" w:type="dxa"/>
            <w:gridSpan w:val="2"/>
            <w:tcBorders>
              <w:top w:val="nil"/>
              <w:left w:val="nil"/>
              <w:bottom w:val="nil"/>
              <w:right w:val="nil"/>
            </w:tcBorders>
          </w:tcPr>
          <w:p w14:paraId="3C6F48E4" w14:textId="77777777" w:rsidR="007D4C0D" w:rsidRPr="00CD111D" w:rsidRDefault="00CD111D">
            <w:pPr>
              <w:rPr>
                <w:rFonts w:ascii="Arial" w:hAnsi="Arial"/>
                <w:b/>
                <w:bCs/>
                <w:sz w:val="28"/>
                <w:szCs w:val="28"/>
                <w:rtl/>
              </w:rPr>
            </w:pPr>
            <w:r w:rsidRPr="00CD111D">
              <w:rPr>
                <w:rFonts w:ascii="Arial" w:hAnsi="Arial" w:hint="cs"/>
                <w:b/>
                <w:bCs/>
                <w:sz w:val="28"/>
                <w:szCs w:val="28"/>
                <w:rtl/>
              </w:rPr>
              <w:t>כב' ה</w:t>
            </w:r>
            <w:r w:rsidRPr="00CD111D">
              <w:rPr>
                <w:rFonts w:hint="cs"/>
                <w:b/>
                <w:bCs/>
                <w:sz w:val="28"/>
                <w:szCs w:val="28"/>
                <w:rtl/>
              </w:rPr>
              <w:t>שופט</w:t>
            </w:r>
            <w:r w:rsidRPr="00CD111D">
              <w:rPr>
                <w:rFonts w:ascii="Arial" w:hAnsi="Arial" w:hint="cs"/>
                <w:b/>
                <w:bCs/>
                <w:sz w:val="28"/>
                <w:szCs w:val="28"/>
                <w:rtl/>
              </w:rPr>
              <w:t xml:space="preserve">  </w:t>
            </w:r>
            <w:r w:rsidRPr="00CD111D">
              <w:rPr>
                <w:rFonts w:hint="cs"/>
                <w:b/>
                <w:bCs/>
                <w:sz w:val="28"/>
                <w:szCs w:val="28"/>
                <w:rtl/>
              </w:rPr>
              <w:t>הישאם  אבו שחאדה</w:t>
            </w:r>
          </w:p>
          <w:p w14:paraId="144C37AF" w14:textId="77777777" w:rsidR="007D4C0D" w:rsidRPr="00CD111D" w:rsidRDefault="007D4C0D">
            <w:pPr>
              <w:rPr>
                <w:b/>
                <w:bCs/>
                <w:sz w:val="28"/>
                <w:szCs w:val="28"/>
                <w:rtl/>
              </w:rPr>
            </w:pPr>
          </w:p>
          <w:p w14:paraId="4B00FAC8" w14:textId="77777777" w:rsidR="007D4C0D" w:rsidRPr="00CD111D" w:rsidRDefault="007D4C0D">
            <w:pPr>
              <w:jc w:val="both"/>
              <w:rPr>
                <w:rFonts w:ascii="Arial" w:hAnsi="Arial"/>
                <w:b/>
                <w:bCs/>
                <w:sz w:val="28"/>
                <w:szCs w:val="28"/>
              </w:rPr>
            </w:pPr>
          </w:p>
        </w:tc>
      </w:tr>
      <w:tr w:rsidR="007D4C0D" w:rsidRPr="00CD111D" w14:paraId="1F98F56A" w14:textId="77777777">
        <w:trPr>
          <w:trHeight w:val="355"/>
          <w:jc w:val="center"/>
        </w:trPr>
        <w:tc>
          <w:tcPr>
            <w:tcW w:w="923" w:type="dxa"/>
            <w:tcBorders>
              <w:top w:val="nil"/>
              <w:left w:val="nil"/>
              <w:bottom w:val="nil"/>
              <w:right w:val="nil"/>
            </w:tcBorders>
          </w:tcPr>
          <w:p w14:paraId="7852C0BE" w14:textId="77777777" w:rsidR="007D4C0D" w:rsidRPr="00CD111D" w:rsidRDefault="00CD111D">
            <w:pPr>
              <w:jc w:val="both"/>
              <w:rPr>
                <w:rFonts w:ascii="Arial" w:hAnsi="Arial" w:cs="FrankRuehl"/>
                <w:b/>
                <w:bCs/>
                <w:sz w:val="28"/>
                <w:szCs w:val="28"/>
              </w:rPr>
            </w:pPr>
            <w:bookmarkStart w:id="2" w:name="FirstAppellant"/>
            <w:r w:rsidRPr="00CD111D">
              <w:rPr>
                <w:rFonts w:ascii="Arial" w:hAnsi="Arial" w:cs="FrankRuehl" w:hint="cs"/>
                <w:b/>
                <w:bCs/>
                <w:sz w:val="28"/>
                <w:szCs w:val="28"/>
                <w:rtl/>
              </w:rPr>
              <w:t>בעניין:</w:t>
            </w:r>
          </w:p>
        </w:tc>
        <w:tc>
          <w:tcPr>
            <w:tcW w:w="4126" w:type="dxa"/>
            <w:tcBorders>
              <w:top w:val="nil"/>
              <w:left w:val="nil"/>
              <w:bottom w:val="nil"/>
              <w:right w:val="nil"/>
            </w:tcBorders>
          </w:tcPr>
          <w:p w14:paraId="19B93EA0" w14:textId="77777777" w:rsidR="007D4C0D" w:rsidRPr="00CD111D" w:rsidRDefault="00CD111D">
            <w:pPr>
              <w:rPr>
                <w:b/>
                <w:bCs/>
                <w:sz w:val="28"/>
                <w:szCs w:val="28"/>
              </w:rPr>
            </w:pPr>
            <w:r w:rsidRPr="00CD111D">
              <w:rPr>
                <w:rFonts w:hint="cs"/>
                <w:b/>
                <w:bCs/>
                <w:sz w:val="28"/>
                <w:szCs w:val="28"/>
                <w:rtl/>
              </w:rPr>
              <w:t xml:space="preserve">המאשימה מדינת ישראל </w:t>
            </w:r>
            <w:r w:rsidRPr="00CD111D">
              <w:rPr>
                <w:rFonts w:hint="cs"/>
                <w:b/>
                <w:bCs/>
                <w:sz w:val="28"/>
                <w:szCs w:val="28"/>
                <w:rtl/>
              </w:rPr>
              <w:br/>
              <w:t>באמצעות פרקליטות מחוז מרכז</w:t>
            </w:r>
            <w:r w:rsidRPr="00CD111D">
              <w:rPr>
                <w:rFonts w:hint="cs"/>
                <w:b/>
                <w:bCs/>
                <w:sz w:val="28"/>
                <w:szCs w:val="28"/>
                <w:rtl/>
              </w:rPr>
              <w:br/>
              <w:t>ע"י הגב' יפה מרשה</w:t>
            </w:r>
          </w:p>
        </w:tc>
        <w:tc>
          <w:tcPr>
            <w:tcW w:w="3771" w:type="dxa"/>
            <w:tcBorders>
              <w:top w:val="nil"/>
              <w:left w:val="nil"/>
              <w:bottom w:val="nil"/>
              <w:right w:val="nil"/>
            </w:tcBorders>
          </w:tcPr>
          <w:p w14:paraId="72A42E81" w14:textId="77777777" w:rsidR="007D4C0D" w:rsidRPr="00CD111D" w:rsidRDefault="007D4C0D">
            <w:pPr>
              <w:jc w:val="both"/>
              <w:rPr>
                <w:rFonts w:ascii="Arial" w:hAnsi="Arial"/>
                <w:b/>
                <w:bCs/>
                <w:sz w:val="28"/>
                <w:szCs w:val="28"/>
              </w:rPr>
            </w:pPr>
          </w:p>
        </w:tc>
      </w:tr>
      <w:bookmarkEnd w:id="2"/>
      <w:tr w:rsidR="007D4C0D" w:rsidRPr="00CD111D" w14:paraId="3B60FF90" w14:textId="77777777">
        <w:trPr>
          <w:gridAfter w:val="2"/>
          <w:wAfter w:w="7897" w:type="dxa"/>
          <w:trHeight w:val="355"/>
          <w:jc w:val="center"/>
        </w:trPr>
        <w:tc>
          <w:tcPr>
            <w:tcW w:w="923" w:type="dxa"/>
            <w:tcBorders>
              <w:top w:val="nil"/>
              <w:left w:val="nil"/>
              <w:bottom w:val="nil"/>
              <w:right w:val="nil"/>
            </w:tcBorders>
          </w:tcPr>
          <w:p w14:paraId="4A0BA25F" w14:textId="77777777" w:rsidR="007D4C0D" w:rsidRPr="00CD111D" w:rsidRDefault="007D4C0D">
            <w:pPr>
              <w:jc w:val="both"/>
              <w:rPr>
                <w:rFonts w:ascii="Arial" w:hAnsi="Arial" w:cs="FrankRuehl"/>
                <w:b/>
                <w:bCs/>
                <w:sz w:val="28"/>
                <w:szCs w:val="28"/>
                <w:rtl/>
              </w:rPr>
            </w:pPr>
          </w:p>
        </w:tc>
      </w:tr>
      <w:tr w:rsidR="007D4C0D" w:rsidRPr="00CD111D" w14:paraId="26DF9E56" w14:textId="77777777">
        <w:trPr>
          <w:trHeight w:val="355"/>
          <w:jc w:val="center"/>
        </w:trPr>
        <w:tc>
          <w:tcPr>
            <w:tcW w:w="923" w:type="dxa"/>
            <w:tcBorders>
              <w:top w:val="nil"/>
              <w:left w:val="nil"/>
              <w:bottom w:val="nil"/>
              <w:right w:val="nil"/>
            </w:tcBorders>
          </w:tcPr>
          <w:p w14:paraId="1339041E" w14:textId="77777777" w:rsidR="007D4C0D" w:rsidRPr="00CD111D" w:rsidRDefault="007D4C0D">
            <w:pPr>
              <w:jc w:val="both"/>
              <w:rPr>
                <w:rFonts w:ascii="Arial" w:hAnsi="Arial" w:cs="FrankRuehl"/>
                <w:b/>
                <w:bCs/>
                <w:sz w:val="28"/>
                <w:szCs w:val="28"/>
                <w:rtl/>
              </w:rPr>
            </w:pPr>
          </w:p>
        </w:tc>
        <w:tc>
          <w:tcPr>
            <w:tcW w:w="7897" w:type="dxa"/>
            <w:gridSpan w:val="2"/>
            <w:tcBorders>
              <w:top w:val="nil"/>
              <w:left w:val="nil"/>
              <w:bottom w:val="nil"/>
              <w:right w:val="nil"/>
            </w:tcBorders>
          </w:tcPr>
          <w:p w14:paraId="0D5FAD59" w14:textId="77777777" w:rsidR="007D4C0D" w:rsidRPr="00CD111D" w:rsidRDefault="007D4C0D">
            <w:pPr>
              <w:jc w:val="center"/>
              <w:rPr>
                <w:rFonts w:ascii="Arial" w:hAnsi="Arial"/>
                <w:b/>
                <w:bCs/>
                <w:sz w:val="28"/>
                <w:szCs w:val="28"/>
                <w:rtl/>
              </w:rPr>
            </w:pPr>
          </w:p>
          <w:p w14:paraId="2A89D685" w14:textId="77777777" w:rsidR="007D4C0D" w:rsidRPr="00CD111D" w:rsidRDefault="00CD111D">
            <w:pPr>
              <w:jc w:val="center"/>
              <w:rPr>
                <w:rFonts w:ascii="Arial" w:hAnsi="Arial"/>
                <w:b/>
                <w:bCs/>
                <w:sz w:val="28"/>
                <w:szCs w:val="28"/>
                <w:rtl/>
              </w:rPr>
            </w:pPr>
            <w:r w:rsidRPr="00CD111D">
              <w:rPr>
                <w:rFonts w:ascii="Arial" w:hAnsi="Arial"/>
                <w:b/>
                <w:bCs/>
                <w:sz w:val="28"/>
                <w:szCs w:val="28"/>
                <w:rtl/>
              </w:rPr>
              <w:t>נגד</w:t>
            </w:r>
          </w:p>
          <w:p w14:paraId="04F78616" w14:textId="77777777" w:rsidR="007D4C0D" w:rsidRPr="00CD111D" w:rsidRDefault="007D4C0D">
            <w:pPr>
              <w:jc w:val="both"/>
              <w:rPr>
                <w:rFonts w:ascii="Arial" w:hAnsi="Arial"/>
                <w:b/>
                <w:bCs/>
                <w:sz w:val="28"/>
                <w:szCs w:val="28"/>
              </w:rPr>
            </w:pPr>
          </w:p>
        </w:tc>
      </w:tr>
      <w:tr w:rsidR="007D4C0D" w:rsidRPr="00CD111D" w14:paraId="4BD52500" w14:textId="77777777">
        <w:trPr>
          <w:trHeight w:val="355"/>
          <w:jc w:val="center"/>
        </w:trPr>
        <w:tc>
          <w:tcPr>
            <w:tcW w:w="923" w:type="dxa"/>
            <w:tcBorders>
              <w:top w:val="nil"/>
              <w:left w:val="nil"/>
              <w:bottom w:val="nil"/>
              <w:right w:val="nil"/>
            </w:tcBorders>
          </w:tcPr>
          <w:p w14:paraId="6BCA0063" w14:textId="77777777" w:rsidR="007D4C0D" w:rsidRPr="00CD111D" w:rsidRDefault="007D4C0D">
            <w:pPr>
              <w:rPr>
                <w:rFonts w:ascii="Arial" w:hAnsi="Arial" w:cs="FrankRuehl"/>
                <w:b/>
                <w:bCs/>
                <w:sz w:val="28"/>
                <w:szCs w:val="28"/>
                <w:rtl/>
              </w:rPr>
            </w:pPr>
          </w:p>
        </w:tc>
        <w:tc>
          <w:tcPr>
            <w:tcW w:w="4126" w:type="dxa"/>
            <w:tcBorders>
              <w:top w:val="nil"/>
              <w:left w:val="nil"/>
              <w:bottom w:val="nil"/>
              <w:right w:val="nil"/>
            </w:tcBorders>
          </w:tcPr>
          <w:p w14:paraId="3F7DCA2E" w14:textId="77777777" w:rsidR="007D4C0D" w:rsidRPr="00CD111D" w:rsidRDefault="00CD111D">
            <w:pPr>
              <w:rPr>
                <w:b/>
                <w:bCs/>
                <w:sz w:val="28"/>
                <w:szCs w:val="28"/>
                <w:rtl/>
              </w:rPr>
            </w:pPr>
            <w:r w:rsidRPr="00CD111D">
              <w:rPr>
                <w:rFonts w:hint="cs"/>
                <w:b/>
                <w:bCs/>
                <w:sz w:val="28"/>
                <w:szCs w:val="28"/>
                <w:rtl/>
              </w:rPr>
              <w:t xml:space="preserve">הנאשם - אור גרשונוביץ </w:t>
            </w:r>
            <w:r w:rsidRPr="00CD111D">
              <w:rPr>
                <w:rFonts w:hint="cs"/>
                <w:b/>
                <w:bCs/>
                <w:sz w:val="28"/>
                <w:szCs w:val="28"/>
                <w:rtl/>
              </w:rPr>
              <w:br/>
              <w:t xml:space="preserve">ע"י עוה"ד דורון לוי </w:t>
            </w:r>
          </w:p>
        </w:tc>
        <w:tc>
          <w:tcPr>
            <w:tcW w:w="3771" w:type="dxa"/>
            <w:tcBorders>
              <w:top w:val="nil"/>
              <w:left w:val="nil"/>
              <w:bottom w:val="nil"/>
              <w:right w:val="nil"/>
            </w:tcBorders>
          </w:tcPr>
          <w:p w14:paraId="57C2160F" w14:textId="77777777" w:rsidR="007D4C0D" w:rsidRPr="00CD111D" w:rsidRDefault="007D4C0D">
            <w:pPr>
              <w:jc w:val="right"/>
              <w:rPr>
                <w:rFonts w:ascii="Arial" w:hAnsi="Arial"/>
                <w:b/>
                <w:bCs/>
                <w:sz w:val="28"/>
                <w:szCs w:val="28"/>
              </w:rPr>
            </w:pPr>
          </w:p>
        </w:tc>
      </w:tr>
      <w:tr w:rsidR="007D4C0D" w:rsidRPr="00CD111D" w14:paraId="58E129F7" w14:textId="77777777">
        <w:trPr>
          <w:gridAfter w:val="2"/>
          <w:wAfter w:w="7897" w:type="dxa"/>
          <w:trHeight w:val="355"/>
          <w:jc w:val="center"/>
        </w:trPr>
        <w:tc>
          <w:tcPr>
            <w:tcW w:w="923" w:type="dxa"/>
            <w:tcBorders>
              <w:top w:val="nil"/>
              <w:left w:val="nil"/>
              <w:bottom w:val="nil"/>
              <w:right w:val="nil"/>
            </w:tcBorders>
          </w:tcPr>
          <w:p w14:paraId="4AF94BE3" w14:textId="77777777" w:rsidR="007D4C0D" w:rsidRPr="00CD111D" w:rsidRDefault="007D4C0D">
            <w:pPr>
              <w:jc w:val="both"/>
              <w:rPr>
                <w:rFonts w:ascii="Arial" w:hAnsi="Arial" w:cs="FrankRuehl"/>
                <w:sz w:val="28"/>
                <w:szCs w:val="28"/>
                <w:rtl/>
              </w:rPr>
            </w:pPr>
          </w:p>
        </w:tc>
      </w:tr>
    </w:tbl>
    <w:p w14:paraId="5113D527" w14:textId="77777777" w:rsidR="007A3F3F" w:rsidRPr="007A3F3F" w:rsidRDefault="007A3F3F" w:rsidP="007A3F3F">
      <w:pPr>
        <w:spacing w:after="120" w:line="240" w:lineRule="exact"/>
        <w:ind w:left="283" w:hanging="283"/>
        <w:jc w:val="both"/>
        <w:rPr>
          <w:rFonts w:ascii="FrankRuehl" w:hAnsi="FrankRuehl" w:cs="FrankRuehl"/>
          <w:rtl/>
        </w:rPr>
      </w:pPr>
      <w:bookmarkStart w:id="3" w:name="LawTable"/>
      <w:bookmarkEnd w:id="3"/>
    </w:p>
    <w:p w14:paraId="00E50CA4" w14:textId="77777777" w:rsidR="007A3F3F" w:rsidRPr="007A3F3F" w:rsidRDefault="007A3F3F" w:rsidP="007A3F3F">
      <w:pPr>
        <w:spacing w:after="120" w:line="240" w:lineRule="exact"/>
        <w:ind w:left="283" w:hanging="283"/>
        <w:jc w:val="both"/>
        <w:rPr>
          <w:rFonts w:ascii="FrankRuehl" w:hAnsi="FrankRuehl" w:cs="FrankRuehl"/>
          <w:rtl/>
        </w:rPr>
      </w:pPr>
      <w:r w:rsidRPr="007A3F3F">
        <w:rPr>
          <w:rFonts w:ascii="FrankRuehl" w:hAnsi="FrankRuehl" w:cs="FrankRuehl"/>
          <w:rtl/>
        </w:rPr>
        <w:t xml:space="preserve">חקיקה שאוזכרה: </w:t>
      </w:r>
    </w:p>
    <w:p w14:paraId="6E22B063" w14:textId="77777777" w:rsidR="007A3F3F" w:rsidRPr="007A3F3F" w:rsidRDefault="007A3F3F" w:rsidP="007A3F3F">
      <w:pPr>
        <w:spacing w:after="120" w:line="240" w:lineRule="exact"/>
        <w:ind w:left="283" w:hanging="283"/>
        <w:jc w:val="both"/>
        <w:rPr>
          <w:rFonts w:ascii="FrankRuehl" w:hAnsi="FrankRuehl" w:cs="FrankRuehl"/>
          <w:rtl/>
        </w:rPr>
      </w:pPr>
      <w:hyperlink r:id="rId7" w:history="1">
        <w:r w:rsidRPr="007A3F3F">
          <w:rPr>
            <w:rFonts w:ascii="FrankRuehl" w:hAnsi="FrankRuehl" w:cs="FrankRuehl"/>
            <w:color w:val="0000FF"/>
            <w:u w:val="single"/>
            <w:rtl/>
          </w:rPr>
          <w:t>פקודת הסמים המסוכנים [נוסח חדש], תשל"ג-1973</w:t>
        </w:r>
      </w:hyperlink>
      <w:r w:rsidRPr="007A3F3F">
        <w:rPr>
          <w:rFonts w:ascii="FrankRuehl" w:hAnsi="FrankRuehl" w:cs="FrankRuehl"/>
          <w:rtl/>
        </w:rPr>
        <w:t xml:space="preserve">: סע'  </w:t>
      </w:r>
      <w:hyperlink r:id="rId8" w:history="1">
        <w:r w:rsidRPr="007A3F3F">
          <w:rPr>
            <w:rFonts w:ascii="FrankRuehl" w:hAnsi="FrankRuehl" w:cs="FrankRuehl"/>
            <w:color w:val="0000FF"/>
            <w:u w:val="single"/>
            <w:rtl/>
          </w:rPr>
          <w:t>7 (א)</w:t>
        </w:r>
      </w:hyperlink>
      <w:r w:rsidRPr="007A3F3F">
        <w:rPr>
          <w:rFonts w:ascii="FrankRuehl" w:hAnsi="FrankRuehl" w:cs="FrankRuehl"/>
          <w:rtl/>
        </w:rPr>
        <w:t xml:space="preserve">, </w:t>
      </w:r>
      <w:hyperlink r:id="rId9" w:history="1">
        <w:r w:rsidRPr="007A3F3F">
          <w:rPr>
            <w:rFonts w:ascii="FrankRuehl" w:hAnsi="FrankRuehl" w:cs="FrankRuehl"/>
            <w:color w:val="0000FF"/>
            <w:u w:val="single"/>
            <w:rtl/>
          </w:rPr>
          <w:t>7 (ג)</w:t>
        </w:r>
      </w:hyperlink>
      <w:r w:rsidRPr="007A3F3F">
        <w:rPr>
          <w:rFonts w:ascii="FrankRuehl" w:hAnsi="FrankRuehl" w:cs="FrankRuehl"/>
          <w:rtl/>
        </w:rPr>
        <w:t xml:space="preserve">, </w:t>
      </w:r>
      <w:hyperlink r:id="rId10" w:history="1">
        <w:r w:rsidRPr="007A3F3F">
          <w:rPr>
            <w:rFonts w:ascii="FrankRuehl" w:hAnsi="FrankRuehl" w:cs="FrankRuehl"/>
            <w:color w:val="0000FF"/>
            <w:u w:val="single"/>
            <w:rtl/>
          </w:rPr>
          <w:t>9 (א)</w:t>
        </w:r>
      </w:hyperlink>
      <w:r w:rsidRPr="007A3F3F">
        <w:rPr>
          <w:rFonts w:ascii="FrankRuehl" w:hAnsi="FrankRuehl" w:cs="FrankRuehl"/>
          <w:rtl/>
        </w:rPr>
        <w:t xml:space="preserve">, </w:t>
      </w:r>
      <w:hyperlink r:id="rId11" w:history="1">
        <w:r w:rsidRPr="007A3F3F">
          <w:rPr>
            <w:rFonts w:ascii="FrankRuehl" w:hAnsi="FrankRuehl" w:cs="FrankRuehl"/>
            <w:color w:val="0000FF"/>
            <w:u w:val="single"/>
            <w:rtl/>
          </w:rPr>
          <w:t>21(א)(1)</w:t>
        </w:r>
      </w:hyperlink>
    </w:p>
    <w:p w14:paraId="43D5CABD" w14:textId="77777777" w:rsidR="007A3F3F" w:rsidRPr="007A3F3F" w:rsidRDefault="007A3F3F" w:rsidP="007A3F3F">
      <w:pPr>
        <w:spacing w:after="120" w:line="240" w:lineRule="exact"/>
        <w:ind w:left="283" w:hanging="283"/>
        <w:jc w:val="both"/>
        <w:rPr>
          <w:rFonts w:ascii="FrankRuehl" w:hAnsi="FrankRuehl" w:cs="FrankRuehl"/>
          <w:rtl/>
        </w:rPr>
      </w:pPr>
      <w:hyperlink r:id="rId12" w:history="1">
        <w:r w:rsidRPr="007A3F3F">
          <w:rPr>
            <w:rFonts w:ascii="FrankRuehl" w:hAnsi="FrankRuehl" w:cs="FrankRuehl"/>
            <w:color w:val="0000FF"/>
            <w:u w:val="single"/>
            <w:rtl/>
          </w:rPr>
          <w:t>חוק העונשין, תשל"ז-1977</w:t>
        </w:r>
      </w:hyperlink>
      <w:r w:rsidRPr="007A3F3F">
        <w:rPr>
          <w:rFonts w:ascii="FrankRuehl" w:hAnsi="FrankRuehl" w:cs="FrankRuehl"/>
          <w:rtl/>
        </w:rPr>
        <w:t xml:space="preserve">: סע'  </w:t>
      </w:r>
      <w:hyperlink r:id="rId13" w:history="1">
        <w:r w:rsidRPr="007A3F3F">
          <w:rPr>
            <w:rFonts w:ascii="FrankRuehl" w:hAnsi="FrankRuehl" w:cs="FrankRuehl"/>
            <w:color w:val="0000FF"/>
            <w:u w:val="single"/>
            <w:rtl/>
          </w:rPr>
          <w:t>31</w:t>
        </w:r>
      </w:hyperlink>
      <w:r w:rsidRPr="007A3F3F">
        <w:rPr>
          <w:rFonts w:ascii="FrankRuehl" w:hAnsi="FrankRuehl" w:cs="FrankRuehl"/>
          <w:rtl/>
        </w:rPr>
        <w:t xml:space="preserve">, </w:t>
      </w:r>
      <w:hyperlink r:id="rId14" w:history="1">
        <w:r w:rsidRPr="007A3F3F">
          <w:rPr>
            <w:rFonts w:ascii="FrankRuehl" w:hAnsi="FrankRuehl" w:cs="FrankRuehl"/>
            <w:color w:val="0000FF"/>
            <w:u w:val="single"/>
            <w:rtl/>
          </w:rPr>
          <w:t>40ח</w:t>
        </w:r>
      </w:hyperlink>
    </w:p>
    <w:p w14:paraId="7BCF94F1" w14:textId="77777777" w:rsidR="007A3F3F" w:rsidRPr="007A3F3F" w:rsidRDefault="007A3F3F" w:rsidP="007A3F3F">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D4C0D" w:rsidRPr="00CD111D" w14:paraId="01257EF0" w14:textId="77777777">
        <w:trPr>
          <w:trHeight w:val="355"/>
          <w:jc w:val="center"/>
        </w:trPr>
        <w:tc>
          <w:tcPr>
            <w:tcW w:w="8820" w:type="dxa"/>
            <w:tcBorders>
              <w:top w:val="nil"/>
              <w:left w:val="nil"/>
              <w:bottom w:val="nil"/>
              <w:right w:val="nil"/>
            </w:tcBorders>
          </w:tcPr>
          <w:p w14:paraId="6591CB0C" w14:textId="77777777" w:rsidR="00CD111D" w:rsidRPr="00CD111D" w:rsidRDefault="00CD111D" w:rsidP="00CD111D">
            <w:pPr>
              <w:jc w:val="center"/>
              <w:rPr>
                <w:rFonts w:ascii="Arial" w:hAnsi="Arial" w:cs="FrankRuehl"/>
                <w:b/>
                <w:bCs/>
                <w:sz w:val="32"/>
                <w:szCs w:val="32"/>
                <w:rtl/>
              </w:rPr>
            </w:pPr>
            <w:bookmarkStart w:id="4" w:name="LawTable_End"/>
            <w:bookmarkStart w:id="5" w:name="PsakDin" w:colFirst="0" w:colLast="0"/>
            <w:bookmarkEnd w:id="0"/>
            <w:bookmarkEnd w:id="1"/>
            <w:bookmarkEnd w:id="4"/>
          </w:p>
          <w:p w14:paraId="252781F9" w14:textId="77777777" w:rsidR="00CD111D" w:rsidRPr="00CD111D" w:rsidRDefault="00CD111D" w:rsidP="00CD111D">
            <w:pPr>
              <w:jc w:val="center"/>
              <w:rPr>
                <w:rFonts w:ascii="Arial" w:hAnsi="Arial" w:cs="FrankRuehl"/>
                <w:b/>
                <w:bCs/>
                <w:sz w:val="32"/>
                <w:szCs w:val="32"/>
                <w:rtl/>
              </w:rPr>
            </w:pPr>
            <w:r w:rsidRPr="00CD111D">
              <w:rPr>
                <w:rFonts w:ascii="Arial" w:hAnsi="Arial" w:cs="FrankRuehl"/>
                <w:b/>
                <w:bCs/>
                <w:sz w:val="32"/>
                <w:szCs w:val="32"/>
                <w:rtl/>
              </w:rPr>
              <w:t>גזר דין</w:t>
            </w:r>
          </w:p>
          <w:p w14:paraId="77B1F589" w14:textId="77777777" w:rsidR="007D4C0D" w:rsidRPr="00CD111D" w:rsidRDefault="007D4C0D" w:rsidP="00CD111D">
            <w:pPr>
              <w:jc w:val="center"/>
              <w:rPr>
                <w:rFonts w:ascii="Arial" w:hAnsi="Arial" w:cs="FrankRuehl"/>
                <w:bCs/>
                <w:sz w:val="32"/>
                <w:szCs w:val="32"/>
                <w:rtl/>
              </w:rPr>
            </w:pPr>
          </w:p>
        </w:tc>
      </w:tr>
      <w:bookmarkEnd w:id="5"/>
    </w:tbl>
    <w:p w14:paraId="16835B89" w14:textId="77777777" w:rsidR="007D4C0D" w:rsidRDefault="007D4C0D">
      <w:pPr>
        <w:rPr>
          <w:rFonts w:ascii="Arial" w:hAnsi="Arial"/>
          <w:rtl/>
        </w:rPr>
      </w:pPr>
    </w:p>
    <w:p w14:paraId="485B5FE7" w14:textId="77777777" w:rsidR="007D4C0D" w:rsidRDefault="007D4C0D">
      <w:pPr>
        <w:rPr>
          <w:rFonts w:ascii="Arial" w:hAnsi="Arial"/>
          <w:rtl/>
        </w:rPr>
      </w:pPr>
    </w:p>
    <w:p w14:paraId="747AEAAF" w14:textId="77777777" w:rsidR="007D4C0D" w:rsidRDefault="007D4C0D">
      <w:pPr>
        <w:rPr>
          <w:rtl/>
        </w:rPr>
      </w:pPr>
    </w:p>
    <w:p w14:paraId="2A8A21EE" w14:textId="77777777" w:rsidR="007D4C0D" w:rsidRDefault="00CD111D">
      <w:pPr>
        <w:spacing w:line="360" w:lineRule="auto"/>
        <w:ind w:left="720" w:hanging="720"/>
        <w:jc w:val="both"/>
        <w:rPr>
          <w:rtl/>
        </w:rPr>
      </w:pPr>
      <w:r>
        <w:rPr>
          <w:rFonts w:hint="cs"/>
          <w:rtl/>
        </w:rPr>
        <w:t>1.</w:t>
      </w:r>
      <w:r>
        <w:rPr>
          <w:rFonts w:hint="cs"/>
          <w:rtl/>
        </w:rPr>
        <w:tab/>
      </w:r>
      <w:bookmarkStart w:id="6" w:name="ABSTRACT_START"/>
      <w:bookmarkEnd w:id="6"/>
      <w:r>
        <w:rPr>
          <w:rtl/>
        </w:rPr>
        <w:t xml:space="preserve">הנאשם, הורשע על פי הודאתו בעובדות כתב האישום המתוקן בביצוען של העבירות  הבאות: הדחת קטין לסמים מסוכנים לפי </w:t>
      </w:r>
      <w:hyperlink r:id="rId15" w:history="1">
        <w:r w:rsidR="007A3F3F" w:rsidRPr="007A3F3F">
          <w:rPr>
            <w:color w:val="0000FF"/>
            <w:u w:val="single"/>
            <w:rtl/>
          </w:rPr>
          <w:t>סעיף 21(א)(1)</w:t>
        </w:r>
      </w:hyperlink>
      <w:r>
        <w:rPr>
          <w:rtl/>
        </w:rPr>
        <w:t xml:space="preserve"> ל</w:t>
      </w:r>
      <w:hyperlink r:id="rId16" w:history="1">
        <w:r w:rsidRPr="00CD111D">
          <w:rPr>
            <w:color w:val="0000FF"/>
            <w:u w:val="single"/>
            <w:rtl/>
          </w:rPr>
          <w:t>פקודת הסמים המסוכנים</w:t>
        </w:r>
      </w:hyperlink>
      <w:r>
        <w:rPr>
          <w:rtl/>
        </w:rPr>
        <w:t xml:space="preserve"> תשל"ג 1973 (להלן</w:t>
      </w:r>
      <w:r>
        <w:rPr>
          <w:rFonts w:hint="cs"/>
          <w:rtl/>
        </w:rPr>
        <w:t xml:space="preserve">: </w:t>
      </w:r>
      <w:r>
        <w:rPr>
          <w:b/>
          <w:bCs/>
          <w:rtl/>
        </w:rPr>
        <w:t>הפקודה</w:t>
      </w:r>
      <w:r>
        <w:rPr>
          <w:rtl/>
        </w:rPr>
        <w:t xml:space="preserve">) (ריבוי עבירות); סיוע להדחת קטין לסמים מסוכנים לפי </w:t>
      </w:r>
      <w:hyperlink r:id="rId17" w:history="1">
        <w:r w:rsidR="007A3F3F" w:rsidRPr="007A3F3F">
          <w:rPr>
            <w:color w:val="0000FF"/>
            <w:u w:val="single"/>
            <w:rtl/>
          </w:rPr>
          <w:t>סעיף 21(א)(1)</w:t>
        </w:r>
      </w:hyperlink>
      <w:r>
        <w:rPr>
          <w:rtl/>
        </w:rPr>
        <w:t xml:space="preserve"> לפקודה. יחד עם </w:t>
      </w:r>
      <w:hyperlink r:id="rId18" w:history="1">
        <w:r w:rsidR="007A3F3F" w:rsidRPr="007A3F3F">
          <w:rPr>
            <w:color w:val="0000FF"/>
            <w:u w:val="single"/>
            <w:rtl/>
          </w:rPr>
          <w:t>סעיף 31</w:t>
        </w:r>
      </w:hyperlink>
      <w:r>
        <w:rPr>
          <w:rtl/>
        </w:rPr>
        <w:t xml:space="preserve"> ל</w:t>
      </w:r>
      <w:hyperlink r:id="rId19" w:history="1">
        <w:r w:rsidRPr="00CD111D">
          <w:rPr>
            <w:color w:val="0000FF"/>
            <w:u w:val="single"/>
            <w:rtl/>
          </w:rPr>
          <w:t>חוק העונשין</w:t>
        </w:r>
      </w:hyperlink>
      <w:r>
        <w:rPr>
          <w:rtl/>
        </w:rPr>
        <w:t xml:space="preserve"> תשל"ז</w:t>
      </w:r>
      <w:r>
        <w:rPr>
          <w:rFonts w:hint="cs"/>
          <w:rtl/>
        </w:rPr>
        <w:t xml:space="preserve"> -</w:t>
      </w:r>
      <w:r>
        <w:rPr>
          <w:rtl/>
        </w:rPr>
        <w:t xml:space="preserve"> 1977 (ריבוי עבירות); שימוש בחצרים לפי </w:t>
      </w:r>
      <w:hyperlink r:id="rId20" w:history="1">
        <w:r w:rsidR="007A3F3F" w:rsidRPr="007A3F3F">
          <w:rPr>
            <w:rStyle w:val="Hyperlink"/>
            <w:rtl/>
          </w:rPr>
          <w:t>סעיף 9 (א)</w:t>
        </w:r>
      </w:hyperlink>
      <w:r>
        <w:rPr>
          <w:rtl/>
        </w:rPr>
        <w:t xml:space="preserve"> לפקודה (ר</w:t>
      </w:r>
      <w:r>
        <w:rPr>
          <w:rFonts w:hint="cs"/>
          <w:rtl/>
        </w:rPr>
        <w:t>י</w:t>
      </w:r>
      <w:r>
        <w:rPr>
          <w:rtl/>
        </w:rPr>
        <w:t>בוי עבירות); החזקה וש</w:t>
      </w:r>
      <w:r>
        <w:rPr>
          <w:rFonts w:hint="cs"/>
          <w:rtl/>
        </w:rPr>
        <w:t>י</w:t>
      </w:r>
      <w:r>
        <w:rPr>
          <w:rtl/>
        </w:rPr>
        <w:t xml:space="preserve">מוש בסם מסוכן לפי </w:t>
      </w:r>
      <w:hyperlink r:id="rId21" w:history="1">
        <w:r w:rsidR="007A3F3F" w:rsidRPr="007A3F3F">
          <w:rPr>
            <w:rStyle w:val="Hyperlink"/>
            <w:rtl/>
          </w:rPr>
          <w:t>סעיף 7 (א)</w:t>
        </w:r>
      </w:hyperlink>
      <w:r>
        <w:rPr>
          <w:rtl/>
        </w:rPr>
        <w:t xml:space="preserve"> ו – </w:t>
      </w:r>
      <w:hyperlink r:id="rId22" w:history="1">
        <w:r w:rsidR="007A3F3F" w:rsidRPr="007A3F3F">
          <w:rPr>
            <w:color w:val="0000FF"/>
            <w:u w:val="single"/>
            <w:rtl/>
          </w:rPr>
          <w:t>7 (ג)</w:t>
        </w:r>
      </w:hyperlink>
      <w:r>
        <w:rPr>
          <w:rtl/>
        </w:rPr>
        <w:t xml:space="preserve"> סיפא לפקודה. </w:t>
      </w:r>
    </w:p>
    <w:p w14:paraId="10445FBC" w14:textId="77777777" w:rsidR="007D4C0D" w:rsidRDefault="007D4C0D">
      <w:pPr>
        <w:spacing w:line="360" w:lineRule="auto"/>
        <w:jc w:val="both"/>
        <w:rPr>
          <w:rtl/>
        </w:rPr>
      </w:pPr>
      <w:bookmarkStart w:id="7" w:name="ABSTRACT_END"/>
      <w:bookmarkEnd w:id="7"/>
    </w:p>
    <w:p w14:paraId="2A197296" w14:textId="77777777" w:rsidR="007D4C0D" w:rsidRDefault="00CD111D">
      <w:pPr>
        <w:spacing w:line="360" w:lineRule="auto"/>
        <w:ind w:left="720" w:hanging="720"/>
        <w:jc w:val="both"/>
        <w:rPr>
          <w:rtl/>
        </w:rPr>
      </w:pPr>
      <w:r>
        <w:rPr>
          <w:rFonts w:hint="cs"/>
          <w:rtl/>
        </w:rPr>
        <w:t>2.</w:t>
      </w:r>
      <w:r>
        <w:rPr>
          <w:rFonts w:hint="cs"/>
          <w:rtl/>
        </w:rPr>
        <w:tab/>
      </w:r>
      <w:r>
        <w:rPr>
          <w:rtl/>
        </w:rPr>
        <w:t>על פי עובדות כתב האישום הקטין א', יליד 24.2.1997  (להלן</w:t>
      </w:r>
      <w:r>
        <w:rPr>
          <w:rFonts w:hint="cs"/>
          <w:rtl/>
        </w:rPr>
        <w:t>:</w:t>
      </w:r>
      <w:r>
        <w:rPr>
          <w:rtl/>
        </w:rPr>
        <w:t xml:space="preserve"> </w:t>
      </w:r>
      <w:r>
        <w:rPr>
          <w:b/>
          <w:bCs/>
          <w:rtl/>
        </w:rPr>
        <w:t>קטין א'</w:t>
      </w:r>
      <w:r>
        <w:rPr>
          <w:rtl/>
        </w:rPr>
        <w:t xml:space="preserve">), </w:t>
      </w:r>
      <w:r>
        <w:rPr>
          <w:rFonts w:hint="cs"/>
          <w:rtl/>
        </w:rPr>
        <w:t>ה</w:t>
      </w:r>
      <w:r>
        <w:rPr>
          <w:rtl/>
        </w:rPr>
        <w:t>קטין ב' יליד 15.4.1997 (להלן</w:t>
      </w:r>
      <w:r>
        <w:rPr>
          <w:rFonts w:hint="cs"/>
          <w:rtl/>
        </w:rPr>
        <w:t xml:space="preserve">: </w:t>
      </w:r>
      <w:r>
        <w:rPr>
          <w:b/>
          <w:bCs/>
          <w:rtl/>
        </w:rPr>
        <w:t>קטין ב'</w:t>
      </w:r>
      <w:r>
        <w:rPr>
          <w:rtl/>
        </w:rPr>
        <w:t>), ו</w:t>
      </w:r>
      <w:r>
        <w:rPr>
          <w:rFonts w:hint="cs"/>
          <w:rtl/>
        </w:rPr>
        <w:t>ה</w:t>
      </w:r>
      <w:r>
        <w:rPr>
          <w:rtl/>
        </w:rPr>
        <w:t>קטין ג' הינו יליד 4.8.1997 (להלן</w:t>
      </w:r>
      <w:r>
        <w:rPr>
          <w:rFonts w:hint="cs"/>
          <w:rtl/>
        </w:rPr>
        <w:t>:</w:t>
      </w:r>
      <w:r>
        <w:rPr>
          <w:rtl/>
        </w:rPr>
        <w:t xml:space="preserve"> </w:t>
      </w:r>
      <w:r>
        <w:rPr>
          <w:b/>
          <w:bCs/>
          <w:rtl/>
        </w:rPr>
        <w:t>קטין ג'</w:t>
      </w:r>
      <w:r>
        <w:rPr>
          <w:rtl/>
        </w:rPr>
        <w:t xml:space="preserve">). במהלך </w:t>
      </w:r>
      <w:r>
        <w:rPr>
          <w:rFonts w:hint="cs"/>
          <w:rtl/>
        </w:rPr>
        <w:t>ה</w:t>
      </w:r>
      <w:r>
        <w:rPr>
          <w:rtl/>
        </w:rPr>
        <w:t>חודשים מרץ – אפריל 2013 מכר הנאשם לקטין ג' סם מסוכן מסוג ק</w:t>
      </w:r>
      <w:r>
        <w:rPr>
          <w:rFonts w:hint="cs"/>
          <w:rtl/>
        </w:rPr>
        <w:t>נבו</w:t>
      </w:r>
      <w:r>
        <w:rPr>
          <w:rtl/>
        </w:rPr>
        <w:t xml:space="preserve">ס בכמות שאינה </w:t>
      </w:r>
      <w:r>
        <w:rPr>
          <w:rtl/>
        </w:rPr>
        <w:lastRenderedPageBreak/>
        <w:t>ידועה במדו</w:t>
      </w:r>
      <w:r>
        <w:rPr>
          <w:rFonts w:hint="cs"/>
          <w:rtl/>
        </w:rPr>
        <w:t>י</w:t>
      </w:r>
      <w:r>
        <w:rPr>
          <w:rtl/>
        </w:rPr>
        <w:t>ק למאשימה תמורת סך של 100 ₪. במ</w:t>
      </w:r>
      <w:r>
        <w:rPr>
          <w:rFonts w:hint="cs"/>
          <w:rtl/>
        </w:rPr>
        <w:t>ה</w:t>
      </w:r>
      <w:r>
        <w:rPr>
          <w:rtl/>
        </w:rPr>
        <w:t xml:space="preserve">לך </w:t>
      </w:r>
      <w:r>
        <w:rPr>
          <w:rFonts w:hint="cs"/>
          <w:rtl/>
        </w:rPr>
        <w:t>ה</w:t>
      </w:r>
      <w:r>
        <w:rPr>
          <w:rtl/>
        </w:rPr>
        <w:t>חודשים ינואר – מאי 2013 (להלן</w:t>
      </w:r>
      <w:r>
        <w:rPr>
          <w:rFonts w:hint="cs"/>
          <w:rtl/>
        </w:rPr>
        <w:t>:</w:t>
      </w:r>
      <w:r>
        <w:rPr>
          <w:rtl/>
        </w:rPr>
        <w:t xml:space="preserve"> </w:t>
      </w:r>
      <w:r>
        <w:rPr>
          <w:b/>
          <w:bCs/>
          <w:rtl/>
        </w:rPr>
        <w:t>התקופה</w:t>
      </w:r>
      <w:r>
        <w:rPr>
          <w:rtl/>
        </w:rPr>
        <w:t>), במרכז המסחרי בשוהם, מכר הנאשם לקטין ב' סם מסוכן מסוג ק</w:t>
      </w:r>
      <w:r>
        <w:rPr>
          <w:rFonts w:hint="cs"/>
          <w:rtl/>
        </w:rPr>
        <w:t>נב</w:t>
      </w:r>
      <w:r>
        <w:rPr>
          <w:rtl/>
        </w:rPr>
        <w:t>וס בכמות שאינה ידועה במדויק למאשימה, תמורת סך של 50 ₪. במהלך התקופה בשלוש הזדמנויות שונות, השתמש הנאשם בביתו בסם מסוכן מסוג ק</w:t>
      </w:r>
      <w:r>
        <w:rPr>
          <w:rFonts w:hint="cs"/>
          <w:rtl/>
        </w:rPr>
        <w:t>נב</w:t>
      </w:r>
      <w:r>
        <w:rPr>
          <w:rtl/>
        </w:rPr>
        <w:t xml:space="preserve">וס ביחד עם הקטינים א',  ב' ו – ג'. </w:t>
      </w:r>
    </w:p>
    <w:p w14:paraId="2D4D9C51" w14:textId="77777777" w:rsidR="007D4C0D" w:rsidRDefault="007D4C0D">
      <w:pPr>
        <w:spacing w:line="360" w:lineRule="auto"/>
        <w:jc w:val="both"/>
        <w:rPr>
          <w:rtl/>
        </w:rPr>
      </w:pPr>
    </w:p>
    <w:p w14:paraId="15728F45" w14:textId="77777777" w:rsidR="007D4C0D" w:rsidRDefault="00CD111D">
      <w:pPr>
        <w:spacing w:line="360" w:lineRule="auto"/>
        <w:ind w:left="720" w:hanging="720"/>
        <w:jc w:val="both"/>
        <w:rPr>
          <w:rtl/>
        </w:rPr>
      </w:pPr>
      <w:r>
        <w:rPr>
          <w:rFonts w:hint="cs"/>
          <w:rtl/>
        </w:rPr>
        <w:t>3.</w:t>
      </w:r>
      <w:r>
        <w:rPr>
          <w:rFonts w:hint="cs"/>
          <w:rtl/>
        </w:rPr>
        <w:tab/>
        <w:t>ב</w:t>
      </w:r>
      <w:r>
        <w:rPr>
          <w:rtl/>
        </w:rPr>
        <w:t xml:space="preserve">מהלך התקופה בשתי הזדמנויות </w:t>
      </w:r>
      <w:r>
        <w:rPr>
          <w:rFonts w:hint="cs"/>
          <w:rtl/>
        </w:rPr>
        <w:t xml:space="preserve">שונות </w:t>
      </w:r>
      <w:r>
        <w:rPr>
          <w:rtl/>
        </w:rPr>
        <w:t xml:space="preserve">הסיע הנאשם את הקטין ב' למושב נופך, לצורך רכישת סם מסוכן מסוג קנבוס מאחר, בכמות שאינה יודעה במדויק למאשימה, תמורת סך של 400 ₪ בכל פעם, וזאת ברכב השייך לאמו של הנאשם. הנאשם קיבל תמורה מקטין ב' עבור ההסעה. בנוסף, במהלך התקופה, במועד שאינו ידוע במדויק למאשימה, בחנייה הסמוכה </w:t>
      </w:r>
      <w:r>
        <w:rPr>
          <w:rFonts w:hint="cs"/>
          <w:rtl/>
        </w:rPr>
        <w:t>ל</w:t>
      </w:r>
      <w:r>
        <w:rPr>
          <w:rtl/>
        </w:rPr>
        <w:t xml:space="preserve">מרכז המסחרי בשוהם, נתן הנאשם לקטין ג' סם מסוכן מסוג קנבוס ועישן איתו. </w:t>
      </w:r>
    </w:p>
    <w:p w14:paraId="66EEF440" w14:textId="77777777" w:rsidR="007D4C0D" w:rsidRDefault="007D4C0D">
      <w:pPr>
        <w:spacing w:line="360" w:lineRule="auto"/>
        <w:jc w:val="both"/>
        <w:rPr>
          <w:rtl/>
        </w:rPr>
      </w:pPr>
    </w:p>
    <w:p w14:paraId="781D1F34" w14:textId="77777777" w:rsidR="007D4C0D" w:rsidRDefault="00CD111D">
      <w:pPr>
        <w:spacing w:line="360" w:lineRule="auto"/>
        <w:ind w:left="720" w:hanging="720"/>
        <w:jc w:val="both"/>
        <w:rPr>
          <w:rtl/>
        </w:rPr>
      </w:pPr>
      <w:r>
        <w:rPr>
          <w:rFonts w:hint="cs"/>
          <w:rtl/>
        </w:rPr>
        <w:t>4.</w:t>
      </w:r>
      <w:r>
        <w:rPr>
          <w:rFonts w:hint="cs"/>
          <w:rtl/>
        </w:rPr>
        <w:tab/>
      </w:r>
      <w:r>
        <w:rPr>
          <w:rtl/>
        </w:rPr>
        <w:t xml:space="preserve">הצדדים הגיעו להסדר טיעון </w:t>
      </w:r>
      <w:r>
        <w:rPr>
          <w:rFonts w:hint="cs"/>
          <w:rtl/>
        </w:rPr>
        <w:t>ו</w:t>
      </w:r>
      <w:r>
        <w:rPr>
          <w:rtl/>
        </w:rPr>
        <w:t>אשר לפיו לאחר קבלת תסקיר ש</w:t>
      </w:r>
      <w:r>
        <w:rPr>
          <w:rFonts w:hint="cs"/>
          <w:rtl/>
        </w:rPr>
        <w:t>י</w:t>
      </w:r>
      <w:r>
        <w:rPr>
          <w:rtl/>
        </w:rPr>
        <w:t xml:space="preserve">רות המבחן, ובהנחה שהתסקיר יהיה חיובי, יוטל על הנאשם עונש מאסר בפועל של 6 חודשים שירוצה בדרך של עבודות שירות, וכן מאסר על תנאי וקנס. מתסקיר שירות המבחן שנתקבל בעניינו של הנאשם עולה שהנאשם הינו בן 23, רווק, ואשר שוהה מזה כ – 8 חודשים במעצר בית. לנאשם אין עבר פלילי קודם ועבר הליך טיפולי משמעותי בליווי שירות המבחן לצורך הפסקת השימוש בסמים. הנאשם עבר את תהליך שיקומי זה בהצלחה ובדיקות השתן שלו במהלך תקופת השיקום נמצאו נקיות. שירות המבחן התרשם כי הנאשם מבטא מוטיבציה </w:t>
      </w:r>
      <w:r>
        <w:rPr>
          <w:rFonts w:hint="cs"/>
          <w:rtl/>
        </w:rPr>
        <w:t>גבוהה ב</w:t>
      </w:r>
      <w:r>
        <w:rPr>
          <w:rtl/>
        </w:rPr>
        <w:t>נ</w:t>
      </w:r>
      <w:r>
        <w:rPr>
          <w:rFonts w:hint="cs"/>
          <w:rtl/>
        </w:rPr>
        <w:t>י</w:t>
      </w:r>
      <w:r>
        <w:rPr>
          <w:rtl/>
        </w:rPr>
        <w:t>ה</w:t>
      </w:r>
      <w:r>
        <w:rPr>
          <w:rFonts w:hint="cs"/>
          <w:rtl/>
        </w:rPr>
        <w:t>ו</w:t>
      </w:r>
      <w:r>
        <w:rPr>
          <w:rtl/>
        </w:rPr>
        <w:t>ל חיים נורמט</w:t>
      </w:r>
      <w:r>
        <w:rPr>
          <w:rFonts w:hint="cs"/>
          <w:rtl/>
        </w:rPr>
        <w:t>י</w:t>
      </w:r>
      <w:r>
        <w:rPr>
          <w:rtl/>
        </w:rPr>
        <w:t xml:space="preserve">ביים. </w:t>
      </w:r>
      <w:r>
        <w:rPr>
          <w:rFonts w:hint="cs"/>
          <w:rtl/>
        </w:rPr>
        <w:t xml:space="preserve">שרות המבחן המליץ להטיל על הנאשם צו מבחן. יצוין כי באי כוח הצדדים לא התייחסו להמלצה זו בטיעוניהם לעונש. </w:t>
      </w:r>
      <w:r>
        <w:rPr>
          <w:rtl/>
        </w:rPr>
        <w:t>נתקבלה חוות דעת מטעם הממונה על עבודות השירות אשר לפיה הנאשם</w:t>
      </w:r>
      <w:r>
        <w:rPr>
          <w:rFonts w:hint="cs"/>
          <w:rtl/>
        </w:rPr>
        <w:t xml:space="preserve"> נמצא</w:t>
      </w:r>
      <w:r>
        <w:rPr>
          <w:rtl/>
        </w:rPr>
        <w:t xml:space="preserve"> מתאים לבצע עבודות שירות. </w:t>
      </w:r>
    </w:p>
    <w:p w14:paraId="1042F392" w14:textId="77777777" w:rsidR="007D4C0D" w:rsidRDefault="007D4C0D">
      <w:pPr>
        <w:spacing w:line="360" w:lineRule="auto"/>
        <w:jc w:val="both"/>
        <w:rPr>
          <w:rtl/>
        </w:rPr>
      </w:pPr>
    </w:p>
    <w:p w14:paraId="7386EE3E" w14:textId="77777777" w:rsidR="007D4C0D" w:rsidRDefault="00CD111D">
      <w:pPr>
        <w:spacing w:line="360" w:lineRule="auto"/>
        <w:ind w:left="720" w:hanging="720"/>
        <w:jc w:val="both"/>
        <w:rPr>
          <w:rtl/>
        </w:rPr>
      </w:pPr>
      <w:r>
        <w:rPr>
          <w:rFonts w:hint="cs"/>
          <w:rtl/>
        </w:rPr>
        <w:t>5.</w:t>
      </w:r>
      <w:r>
        <w:rPr>
          <w:rFonts w:hint="cs"/>
          <w:rtl/>
        </w:rPr>
        <w:tab/>
      </w:r>
      <w:r>
        <w:rPr>
          <w:rtl/>
        </w:rPr>
        <w:t>למעשה, באי כוח הצדדים הגיעו להסכמה הן לעניין רכיבי הענישה בתיק והן לעניין אורך המאסר בפועל ואופן ריצוי</w:t>
      </w:r>
      <w:r>
        <w:rPr>
          <w:rFonts w:hint="cs"/>
          <w:rtl/>
        </w:rPr>
        <w:t>ו</w:t>
      </w:r>
      <w:r>
        <w:rPr>
          <w:rtl/>
        </w:rPr>
        <w:t>. במילים אחרות, אם להשתמש ב</w:t>
      </w:r>
      <w:r>
        <w:rPr>
          <w:rFonts w:hint="cs"/>
          <w:rtl/>
        </w:rPr>
        <w:t>-"</w:t>
      </w:r>
      <w:r>
        <w:rPr>
          <w:rtl/>
        </w:rPr>
        <w:t>לקסיקון</w:t>
      </w:r>
      <w:r>
        <w:rPr>
          <w:rFonts w:hint="cs"/>
          <w:rtl/>
        </w:rPr>
        <w:t>"</w:t>
      </w:r>
      <w:r>
        <w:rPr>
          <w:rtl/>
        </w:rPr>
        <w:t xml:space="preserve"> של תיקון 113 ל</w:t>
      </w:r>
      <w:hyperlink r:id="rId23" w:history="1">
        <w:r w:rsidRPr="00CD111D">
          <w:rPr>
            <w:color w:val="0000FF"/>
            <w:u w:val="single"/>
            <w:rtl/>
          </w:rPr>
          <w:t>חוק העונשין</w:t>
        </w:r>
      </w:hyperlink>
      <w:r>
        <w:rPr>
          <w:rtl/>
        </w:rPr>
        <w:t xml:space="preserve"> תשל"ז 1977, הצדדים הגיעו להסכמה לגבי </w:t>
      </w:r>
      <w:r>
        <w:rPr>
          <w:rFonts w:hint="cs"/>
          <w:rtl/>
        </w:rPr>
        <w:t>ה</w:t>
      </w:r>
      <w:r>
        <w:rPr>
          <w:rtl/>
        </w:rPr>
        <w:t xml:space="preserve">עונש "המתאים" שיש להשית על הנאשם. יובהר שלאור ההליך השיקומי המשמעותי שאותו עבר הנאשם, גילו הצעיר, וההלכה הפסוקה שיש לכבד את הסדרי הטיעון ככלל, למעט </w:t>
      </w:r>
      <w:r>
        <w:rPr>
          <w:rFonts w:hint="cs"/>
          <w:rtl/>
        </w:rPr>
        <w:t>ב</w:t>
      </w:r>
      <w:r>
        <w:rPr>
          <w:rtl/>
        </w:rPr>
        <w:t xml:space="preserve">מקרים חריגים ומיוחדים – בכוונתי לכבד את ההסדר בהיותו סביר ומאוזן. </w:t>
      </w:r>
    </w:p>
    <w:p w14:paraId="1A6EC84C" w14:textId="77777777" w:rsidR="007D4C0D" w:rsidRDefault="007D4C0D">
      <w:pPr>
        <w:spacing w:line="360" w:lineRule="auto"/>
        <w:jc w:val="both"/>
        <w:rPr>
          <w:rtl/>
        </w:rPr>
      </w:pPr>
    </w:p>
    <w:p w14:paraId="2706C42F" w14:textId="77777777" w:rsidR="007D4C0D" w:rsidRDefault="00CD111D">
      <w:pPr>
        <w:spacing w:line="360" w:lineRule="auto"/>
        <w:ind w:left="720" w:hanging="720"/>
        <w:jc w:val="both"/>
        <w:rPr>
          <w:rtl/>
        </w:rPr>
      </w:pPr>
      <w:r>
        <w:rPr>
          <w:rFonts w:hint="cs"/>
          <w:rtl/>
        </w:rPr>
        <w:t>6.</w:t>
      </w:r>
      <w:r>
        <w:rPr>
          <w:rFonts w:hint="cs"/>
          <w:rtl/>
        </w:rPr>
        <w:tab/>
      </w:r>
      <w:r>
        <w:rPr>
          <w:rtl/>
        </w:rPr>
        <w:t xml:space="preserve">הצדדים, למעשה, השאירו לבית המשפט את המלאכה </w:t>
      </w:r>
      <w:r>
        <w:rPr>
          <w:rFonts w:hint="cs"/>
          <w:rtl/>
        </w:rPr>
        <w:t xml:space="preserve">של קביעת גובה </w:t>
      </w:r>
      <w:r>
        <w:rPr>
          <w:rtl/>
        </w:rPr>
        <w:t>הקנס שיוטל על הנאשם, וזאת מבלי לפרט מהו מתחם הקנס ההולם לעבירות נשוא כתב האישום. מן הראוי לציין, שכתב האישום כולל בתוכו מספר אירועים שלגבי כל אחד מהם הכלל הוא שיש לקבוע מתחם קנס הולם נפרד. מכל מקום, על מנת לפשט את הדברים ו</w:t>
      </w:r>
      <w:r>
        <w:rPr>
          <w:rFonts w:hint="cs"/>
          <w:rtl/>
        </w:rPr>
        <w:t>מ</w:t>
      </w:r>
      <w:r>
        <w:rPr>
          <w:rtl/>
        </w:rPr>
        <w:t xml:space="preserve">אחר וממילא באי </w:t>
      </w:r>
      <w:r>
        <w:rPr>
          <w:rtl/>
        </w:rPr>
        <w:lastRenderedPageBreak/>
        <w:t xml:space="preserve">כוח הצדדים לא מצאו צורך לפרט מהו מתחם הקנס ההולם לכל אירוע ואירוע, אקבע מתחם קנס הולם אחד למכלול האירועים. </w:t>
      </w:r>
    </w:p>
    <w:p w14:paraId="49A0F7DF" w14:textId="77777777" w:rsidR="007D4C0D" w:rsidRDefault="007D4C0D">
      <w:pPr>
        <w:spacing w:line="360" w:lineRule="auto"/>
        <w:jc w:val="both"/>
        <w:rPr>
          <w:rtl/>
        </w:rPr>
      </w:pPr>
    </w:p>
    <w:p w14:paraId="3F51F3B6" w14:textId="77777777" w:rsidR="007D4C0D" w:rsidRDefault="00CD111D">
      <w:pPr>
        <w:spacing w:line="360" w:lineRule="auto"/>
        <w:ind w:left="720" w:hanging="720"/>
        <w:jc w:val="both"/>
        <w:rPr>
          <w:rtl/>
        </w:rPr>
      </w:pPr>
      <w:r>
        <w:rPr>
          <w:rFonts w:hint="cs"/>
          <w:rtl/>
        </w:rPr>
        <w:t>7.</w:t>
      </w:r>
      <w:r>
        <w:rPr>
          <w:rFonts w:hint="cs"/>
          <w:rtl/>
        </w:rPr>
        <w:tab/>
      </w:r>
      <w:r>
        <w:rPr>
          <w:rtl/>
        </w:rPr>
        <w:t xml:space="preserve">על פי </w:t>
      </w:r>
      <w:hyperlink r:id="rId24" w:history="1">
        <w:r w:rsidR="007A3F3F" w:rsidRPr="007A3F3F">
          <w:rPr>
            <w:color w:val="0000FF"/>
            <w:u w:val="single"/>
            <w:rtl/>
          </w:rPr>
          <w:t>סעיף 40ח</w:t>
        </w:r>
      </w:hyperlink>
      <w:r>
        <w:rPr>
          <w:rtl/>
        </w:rPr>
        <w:t xml:space="preserve"> ל</w:t>
      </w:r>
      <w:hyperlink r:id="rId25" w:history="1">
        <w:r w:rsidRPr="00CD111D">
          <w:rPr>
            <w:color w:val="0000FF"/>
            <w:u w:val="single"/>
            <w:rtl/>
          </w:rPr>
          <w:t>חוק העונשין</w:t>
        </w:r>
      </w:hyperlink>
      <w:r>
        <w:rPr>
          <w:rtl/>
        </w:rPr>
        <w:t xml:space="preserve"> התשל"ז – 1977 מתחם הקנס ההולם מוכרע על פי שני פרמטרים מרכזיים: ראשית חומרת העבירה</w:t>
      </w:r>
      <w:r>
        <w:rPr>
          <w:rFonts w:hint="cs"/>
          <w:rtl/>
        </w:rPr>
        <w:t xml:space="preserve"> (עקרון ההלימה)</w:t>
      </w:r>
      <w:r>
        <w:rPr>
          <w:rtl/>
        </w:rPr>
        <w:t xml:space="preserve">, ושנית מצבו הכלכלי של הנאשם. לעניין </w:t>
      </w:r>
      <w:r>
        <w:rPr>
          <w:u w:val="single"/>
          <w:rtl/>
        </w:rPr>
        <w:t>חומרת העבירות</w:t>
      </w:r>
      <w:r>
        <w:rPr>
          <w:rtl/>
        </w:rPr>
        <w:t xml:space="preserve">, העבירות שבהם הורשע הנאשם הינן עבירות חמורות ביותר, כאשר אני לוקח בחשבון גם את תפקידו היחסי של הנאשם בביצוע העבירות (לא היה לו תפקיד מוביל בביצוע העבירות), סוג הסם (חשיש, שהוגדר בפסיקה כסם קל), וכן כמות הסם (בכל אחד מהאירועים מדובר בכמות קטנה של סמים). לעניין </w:t>
      </w:r>
      <w:r>
        <w:rPr>
          <w:u w:val="single"/>
          <w:rtl/>
        </w:rPr>
        <w:t>מצבו הכלכלי של הנאשם</w:t>
      </w:r>
      <w:r>
        <w:rPr>
          <w:rtl/>
        </w:rPr>
        <w:t>, לקחתי בחשבון את העובדה שהנאשם מצוי במעצר בית מזה 8 חודשים ואין לו מקורות הכנסה וגם את העבודה שהוא צפוי לבצע עבוד</w:t>
      </w:r>
      <w:r>
        <w:rPr>
          <w:rFonts w:hint="cs"/>
          <w:rtl/>
        </w:rPr>
        <w:t>ו</w:t>
      </w:r>
      <w:r>
        <w:rPr>
          <w:rtl/>
        </w:rPr>
        <w:t xml:space="preserve">ת שירות לפרק זמן של 6 חודשים, דבר שכשלעצמו מציבו מחוץ למעגל העבודה בתקופה האמורה. </w:t>
      </w:r>
      <w:r>
        <w:rPr>
          <w:rFonts w:hint="cs"/>
          <w:rtl/>
        </w:rPr>
        <w:t>ע</w:t>
      </w:r>
      <w:r>
        <w:rPr>
          <w:rtl/>
        </w:rPr>
        <w:t>ל כן, הננ</w:t>
      </w:r>
      <w:r>
        <w:rPr>
          <w:rFonts w:hint="cs"/>
          <w:rtl/>
        </w:rPr>
        <w:t>י</w:t>
      </w:r>
      <w:r>
        <w:rPr>
          <w:rtl/>
        </w:rPr>
        <w:t xml:space="preserve"> קובע כי מתחם הקנס ההולם לגבי מכלול העבירות אשר בוצעו על ידי הנאשם נע בין 2,500 ועד 10,000 ₪. לאור העדר עבר פלילי קודם בעבירות דומות לאלה שבהן הורשע וכן ההליך השיקומי המש</w:t>
      </w:r>
      <w:r>
        <w:rPr>
          <w:rFonts w:hint="cs"/>
          <w:rtl/>
        </w:rPr>
        <w:t>מ</w:t>
      </w:r>
      <w:r>
        <w:rPr>
          <w:rtl/>
        </w:rPr>
        <w:t xml:space="preserve">עותי שאותו עבר, יש להציבו בחלקו התחתון של מתחם הקנס ההולם שאותו קבעתי. </w:t>
      </w:r>
    </w:p>
    <w:p w14:paraId="45FF74D1" w14:textId="77777777" w:rsidR="007D4C0D" w:rsidRDefault="007D4C0D">
      <w:pPr>
        <w:spacing w:line="360" w:lineRule="auto"/>
        <w:jc w:val="both"/>
        <w:rPr>
          <w:rtl/>
        </w:rPr>
      </w:pPr>
    </w:p>
    <w:p w14:paraId="74315EBF" w14:textId="77777777" w:rsidR="007D4C0D" w:rsidRDefault="00CD111D">
      <w:pPr>
        <w:spacing w:line="360" w:lineRule="auto"/>
        <w:jc w:val="both"/>
        <w:rPr>
          <w:rtl/>
        </w:rPr>
      </w:pPr>
      <w:r>
        <w:rPr>
          <w:rFonts w:hint="cs"/>
          <w:rtl/>
        </w:rPr>
        <w:t>8.</w:t>
      </w:r>
      <w:r>
        <w:rPr>
          <w:rFonts w:hint="cs"/>
          <w:rtl/>
        </w:rPr>
        <w:tab/>
      </w:r>
      <w:r>
        <w:rPr>
          <w:rtl/>
        </w:rPr>
        <w:t>לאור כל האמור לעיל הנני משית על הנאשם את העונשים הבאים :</w:t>
      </w:r>
    </w:p>
    <w:p w14:paraId="250CCA03" w14:textId="77777777" w:rsidR="007D4C0D" w:rsidRDefault="007D4C0D">
      <w:pPr>
        <w:spacing w:line="360" w:lineRule="auto"/>
        <w:jc w:val="both"/>
        <w:rPr>
          <w:rtl/>
        </w:rPr>
      </w:pPr>
    </w:p>
    <w:p w14:paraId="76AE9C0B" w14:textId="77777777" w:rsidR="007D4C0D" w:rsidRDefault="00CD111D">
      <w:pPr>
        <w:numPr>
          <w:ilvl w:val="0"/>
          <w:numId w:val="1"/>
        </w:numPr>
        <w:spacing w:line="360" w:lineRule="auto"/>
        <w:jc w:val="both"/>
      </w:pPr>
      <w:r>
        <w:rPr>
          <w:rtl/>
        </w:rPr>
        <w:t>הנני מטיל על הנאשם 6 חודשי מאסר בפועל שי</w:t>
      </w:r>
      <w:r>
        <w:rPr>
          <w:rFonts w:hint="cs"/>
          <w:rtl/>
        </w:rPr>
        <w:t xml:space="preserve">רוצו </w:t>
      </w:r>
      <w:r>
        <w:rPr>
          <w:rtl/>
        </w:rPr>
        <w:t>בדרך של עבודות שירות. הנאשם יתייצב ביום 8.4.14 בשעה 08:00 ביח</w:t>
      </w:r>
      <w:r>
        <w:rPr>
          <w:rFonts w:hint="cs"/>
          <w:rtl/>
        </w:rPr>
        <w:t>ידת</w:t>
      </w:r>
      <w:r>
        <w:rPr>
          <w:rtl/>
        </w:rPr>
        <w:t xml:space="preserve"> עבודות </w:t>
      </w:r>
      <w:r>
        <w:rPr>
          <w:rFonts w:hint="cs"/>
          <w:rtl/>
        </w:rPr>
        <w:t>ה</w:t>
      </w:r>
      <w:r>
        <w:rPr>
          <w:rtl/>
        </w:rPr>
        <w:t>שירות במפקדת מחוז מרכז של שירות בתי הסוהר ברמלה, וזאת לצורך תחילת ריצוי עבודות השירות. מו</w:t>
      </w:r>
      <w:r>
        <w:rPr>
          <w:rFonts w:hint="cs"/>
          <w:rtl/>
        </w:rPr>
        <w:t>ב</w:t>
      </w:r>
      <w:r>
        <w:rPr>
          <w:rtl/>
        </w:rPr>
        <w:t xml:space="preserve">הר לנאשם כי עליו להישמע להוראותיו של הממונה על עבודות שירות. </w:t>
      </w:r>
    </w:p>
    <w:p w14:paraId="23A552BA" w14:textId="77777777" w:rsidR="007D4C0D" w:rsidRDefault="007D4C0D">
      <w:pPr>
        <w:spacing w:line="360" w:lineRule="auto"/>
        <w:ind w:left="1080"/>
        <w:jc w:val="both"/>
        <w:rPr>
          <w:rtl/>
        </w:rPr>
      </w:pPr>
    </w:p>
    <w:p w14:paraId="18635F72" w14:textId="77777777" w:rsidR="007D4C0D" w:rsidRDefault="00CD111D">
      <w:pPr>
        <w:numPr>
          <w:ilvl w:val="0"/>
          <w:numId w:val="1"/>
        </w:numPr>
        <w:spacing w:line="360" w:lineRule="auto"/>
        <w:jc w:val="both"/>
      </w:pPr>
      <w:r>
        <w:rPr>
          <w:rtl/>
        </w:rPr>
        <w:t>3 חודשי מא</w:t>
      </w:r>
      <w:r>
        <w:rPr>
          <w:rFonts w:hint="cs"/>
          <w:rtl/>
        </w:rPr>
        <w:t>ס</w:t>
      </w:r>
      <w:r>
        <w:rPr>
          <w:rtl/>
        </w:rPr>
        <w:t>ר על התנאי והתנאי הוא שבמשך שלוש שנים מהיום</w:t>
      </w:r>
      <w:r>
        <w:rPr>
          <w:rFonts w:hint="cs"/>
          <w:rtl/>
        </w:rPr>
        <w:t xml:space="preserve"> </w:t>
      </w:r>
      <w:r>
        <w:rPr>
          <w:rtl/>
        </w:rPr>
        <w:t xml:space="preserve">הנאשם לא יבצע עבירה לפי </w:t>
      </w:r>
      <w:hyperlink r:id="rId26" w:history="1">
        <w:r w:rsidRPr="00CD111D">
          <w:rPr>
            <w:color w:val="0000FF"/>
            <w:u w:val="single"/>
            <w:rtl/>
          </w:rPr>
          <w:t>פקודת הסמים המסוכנים</w:t>
        </w:r>
      </w:hyperlink>
      <w:r>
        <w:rPr>
          <w:rtl/>
        </w:rPr>
        <w:t xml:space="preserve"> מסוג עוון. </w:t>
      </w:r>
    </w:p>
    <w:p w14:paraId="375162E5" w14:textId="77777777" w:rsidR="007D4C0D" w:rsidRDefault="007D4C0D">
      <w:pPr>
        <w:spacing w:line="360" w:lineRule="auto"/>
        <w:ind w:left="1080"/>
        <w:jc w:val="both"/>
      </w:pPr>
    </w:p>
    <w:p w14:paraId="484BB3CC" w14:textId="77777777" w:rsidR="007D4C0D" w:rsidRDefault="00CD111D">
      <w:pPr>
        <w:numPr>
          <w:ilvl w:val="0"/>
          <w:numId w:val="1"/>
        </w:numPr>
        <w:spacing w:line="360" w:lineRule="auto"/>
        <w:jc w:val="both"/>
      </w:pPr>
      <w:r>
        <w:rPr>
          <w:rtl/>
        </w:rPr>
        <w:t xml:space="preserve">7 חודשי מאסר על התנאי והתנאי הוא שבמשך 3 שנים מהיום הנאשם לא יבצע עבירה לפי </w:t>
      </w:r>
      <w:hyperlink r:id="rId27" w:history="1">
        <w:r w:rsidRPr="00CD111D">
          <w:rPr>
            <w:color w:val="0000FF"/>
            <w:u w:val="single"/>
            <w:rtl/>
          </w:rPr>
          <w:t>פקודת הסמים המסוכנים</w:t>
        </w:r>
      </w:hyperlink>
      <w:r>
        <w:rPr>
          <w:rtl/>
        </w:rPr>
        <w:t xml:space="preserve"> מסוג פשע. </w:t>
      </w:r>
    </w:p>
    <w:p w14:paraId="1B3D7353" w14:textId="77777777" w:rsidR="007D4C0D" w:rsidRDefault="007D4C0D">
      <w:pPr>
        <w:spacing w:line="360" w:lineRule="auto"/>
        <w:ind w:left="1080"/>
        <w:jc w:val="both"/>
      </w:pPr>
    </w:p>
    <w:p w14:paraId="1F7E054E" w14:textId="77777777" w:rsidR="007D4C0D" w:rsidRDefault="00CD111D">
      <w:pPr>
        <w:numPr>
          <w:ilvl w:val="0"/>
          <w:numId w:val="1"/>
        </w:numPr>
        <w:spacing w:line="360" w:lineRule="auto"/>
        <w:jc w:val="both"/>
      </w:pPr>
      <w:r>
        <w:rPr>
          <w:rtl/>
        </w:rPr>
        <w:t>הנאשם ישלם קנס בסך של 2,500 ₪, או 10 ימי מאסר תמורתו. הקנס ישולם ב – 5 תשלומים חודשיים</w:t>
      </w:r>
      <w:r>
        <w:rPr>
          <w:rFonts w:hint="cs"/>
          <w:rtl/>
        </w:rPr>
        <w:t xml:space="preserve"> שווים</w:t>
      </w:r>
      <w:r>
        <w:rPr>
          <w:rtl/>
        </w:rPr>
        <w:t xml:space="preserve"> ורצופים, </w:t>
      </w:r>
      <w:r>
        <w:rPr>
          <w:rFonts w:hint="cs"/>
          <w:rtl/>
        </w:rPr>
        <w:t>כ</w:t>
      </w:r>
      <w:r>
        <w:rPr>
          <w:rtl/>
        </w:rPr>
        <w:t>אשר הראשון שבהם לא יאוחר מיום 15.5.14, והיתרה ב – 15 לכל חודש שלאחריו. היה ואחד התשלומים לא ישולם במועד, אזי, יעמוד מלוא סכום הקנס לפ</w:t>
      </w:r>
      <w:r>
        <w:rPr>
          <w:rFonts w:hint="cs"/>
          <w:rtl/>
        </w:rPr>
        <w:t>י</w:t>
      </w:r>
      <w:r>
        <w:rPr>
          <w:rtl/>
        </w:rPr>
        <w:t xml:space="preserve">רעון מידי. </w:t>
      </w:r>
    </w:p>
    <w:p w14:paraId="409E461F" w14:textId="77777777" w:rsidR="007D4C0D" w:rsidRDefault="007D4C0D">
      <w:pPr>
        <w:spacing w:line="360" w:lineRule="auto"/>
        <w:jc w:val="both"/>
        <w:rPr>
          <w:rtl/>
        </w:rPr>
      </w:pPr>
    </w:p>
    <w:p w14:paraId="12F4E35D" w14:textId="77777777" w:rsidR="007D4C0D" w:rsidRDefault="00CD111D">
      <w:pPr>
        <w:spacing w:line="360" w:lineRule="auto"/>
        <w:ind w:left="1080"/>
        <w:jc w:val="both"/>
        <w:rPr>
          <w:rtl/>
        </w:rPr>
      </w:pPr>
      <w:r>
        <w:rPr>
          <w:rFonts w:hint="cs"/>
          <w:rtl/>
        </w:rPr>
        <w:t xml:space="preserve">ככל שקיימת הפקדה כספית בתיק </w:t>
      </w:r>
      <w:hyperlink r:id="rId28" w:history="1">
        <w:r w:rsidRPr="00CD111D">
          <w:rPr>
            <w:color w:val="0000FF"/>
            <w:u w:val="single"/>
            <w:rtl/>
          </w:rPr>
          <w:t>מ"ת 11733-06-13</w:t>
        </w:r>
      </w:hyperlink>
      <w:r>
        <w:rPr>
          <w:rFonts w:hint="cs"/>
          <w:rtl/>
        </w:rPr>
        <w:t xml:space="preserve"> ניתן יהיה לקזז את סכום הקנס מתוך הפקדון. ככל שתישאר יתרה יש להחזירה לידי המפקיד. </w:t>
      </w:r>
    </w:p>
    <w:p w14:paraId="57C320EE" w14:textId="77777777" w:rsidR="007D4C0D" w:rsidRDefault="007D4C0D">
      <w:pPr>
        <w:spacing w:line="360" w:lineRule="auto"/>
        <w:jc w:val="both"/>
        <w:rPr>
          <w:rtl/>
        </w:rPr>
      </w:pPr>
    </w:p>
    <w:p w14:paraId="73D32280" w14:textId="77777777" w:rsidR="007D4C0D" w:rsidRDefault="00CD111D">
      <w:pPr>
        <w:spacing w:line="360" w:lineRule="auto"/>
        <w:jc w:val="both"/>
        <w:rPr>
          <w:b/>
          <w:bCs/>
          <w:rtl/>
        </w:rPr>
      </w:pPr>
      <w:r>
        <w:rPr>
          <w:b/>
          <w:bCs/>
          <w:rtl/>
        </w:rPr>
        <w:t xml:space="preserve">המזכירות תעביר העתק גזר הדין לממונה על עבודות השירות. </w:t>
      </w:r>
    </w:p>
    <w:p w14:paraId="05DF72C1" w14:textId="77777777" w:rsidR="007D4C0D" w:rsidRPr="00CD111D" w:rsidRDefault="00CD111D">
      <w:pPr>
        <w:spacing w:line="360" w:lineRule="auto"/>
        <w:jc w:val="both"/>
        <w:rPr>
          <w:color w:val="FFFFFF"/>
          <w:sz w:val="2"/>
          <w:szCs w:val="2"/>
          <w:rtl/>
        </w:rPr>
      </w:pPr>
      <w:r w:rsidRPr="00CD111D">
        <w:rPr>
          <w:color w:val="FFFFFF"/>
          <w:sz w:val="2"/>
          <w:szCs w:val="2"/>
          <w:rtl/>
        </w:rPr>
        <w:t>5129371</w:t>
      </w:r>
    </w:p>
    <w:p w14:paraId="6841F91A" w14:textId="77777777" w:rsidR="007D4C0D" w:rsidRDefault="00CD111D">
      <w:pPr>
        <w:spacing w:line="360" w:lineRule="auto"/>
        <w:jc w:val="both"/>
        <w:rPr>
          <w:rtl/>
        </w:rPr>
      </w:pPr>
      <w:r w:rsidRPr="00CD111D">
        <w:rPr>
          <w:color w:val="FFFFFF"/>
          <w:sz w:val="2"/>
          <w:szCs w:val="2"/>
          <w:rtl/>
        </w:rPr>
        <w:t>54678313</w:t>
      </w:r>
      <w:r>
        <w:rPr>
          <w:rtl/>
        </w:rPr>
        <w:t>זכות ערעור לבית המשפט המחוזי מחוז מרכז תוך 45 יום.</w:t>
      </w:r>
      <w:bookmarkStart w:id="8" w:name="_GoBack"/>
      <w:bookmarkEnd w:id="8"/>
    </w:p>
    <w:p w14:paraId="45FE53FB" w14:textId="77777777" w:rsidR="007D4C0D" w:rsidRDefault="007D4C0D">
      <w:pPr>
        <w:spacing w:line="360" w:lineRule="auto"/>
        <w:jc w:val="both"/>
        <w:rPr>
          <w:rtl/>
        </w:rPr>
      </w:pPr>
    </w:p>
    <w:p w14:paraId="48E88F7C" w14:textId="77777777" w:rsidR="007D4C0D" w:rsidRDefault="00CD111D">
      <w:pPr>
        <w:spacing w:line="360" w:lineRule="auto"/>
        <w:jc w:val="both"/>
        <w:rPr>
          <w:rFonts w:cs="FrankRuehl"/>
          <w:sz w:val="28"/>
          <w:szCs w:val="28"/>
          <w:rtl/>
        </w:rPr>
      </w:pPr>
      <w:r>
        <w:rPr>
          <w:rFonts w:ascii="Arial" w:hAnsi="Arial"/>
          <w:rtl/>
        </w:rPr>
        <w:t xml:space="preserve">ניתן היום,  ט' אדר ב תשע"ד, 11 מרץ 2014, במעמד הצדדים. </w:t>
      </w:r>
    </w:p>
    <w:p w14:paraId="1CD576F1" w14:textId="77777777" w:rsidR="007D4C0D" w:rsidRDefault="00CD111D">
      <w:pPr>
        <w:spacing w:line="360" w:lineRule="auto"/>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440CECC" w14:textId="77777777" w:rsidR="007D4C0D" w:rsidRDefault="007D4C0D">
      <w:pPr>
        <w:spacing w:line="360" w:lineRule="auto"/>
        <w:jc w:val="both"/>
        <w:rPr>
          <w:rFonts w:ascii="Arial" w:hAnsi="Arial" w:cs="FrankRuehl"/>
          <w:sz w:val="28"/>
          <w:szCs w:val="28"/>
          <w:rtl/>
        </w:rPr>
      </w:pPr>
    </w:p>
    <w:p w14:paraId="054A3A62" w14:textId="77777777" w:rsidR="00CD111D" w:rsidRPr="00CD111D" w:rsidRDefault="00CD111D" w:rsidP="00CD111D">
      <w:pPr>
        <w:keepNext/>
        <w:rPr>
          <w:rFonts w:ascii="David" w:hAnsi="David"/>
          <w:color w:val="000000"/>
          <w:sz w:val="22"/>
          <w:szCs w:val="22"/>
          <w:rtl/>
        </w:rPr>
      </w:pPr>
    </w:p>
    <w:p w14:paraId="0BAE8604" w14:textId="77777777" w:rsidR="00CD111D" w:rsidRPr="00CD111D" w:rsidRDefault="00CD111D" w:rsidP="00CD111D">
      <w:pPr>
        <w:keepNext/>
        <w:rPr>
          <w:rFonts w:ascii="David" w:hAnsi="David"/>
          <w:color w:val="000000"/>
          <w:sz w:val="22"/>
          <w:szCs w:val="22"/>
          <w:rtl/>
        </w:rPr>
      </w:pPr>
      <w:r w:rsidRPr="00CD111D">
        <w:rPr>
          <w:rFonts w:ascii="David" w:hAnsi="David"/>
          <w:color w:val="000000"/>
          <w:sz w:val="22"/>
          <w:szCs w:val="22"/>
          <w:rtl/>
        </w:rPr>
        <w:t>הישאם אבו שחאדה 54678313</w:t>
      </w:r>
    </w:p>
    <w:p w14:paraId="4157F4B6" w14:textId="77777777" w:rsidR="00CD111D" w:rsidRDefault="00CD111D" w:rsidP="00CD111D">
      <w:r w:rsidRPr="00CD111D">
        <w:rPr>
          <w:color w:val="000000"/>
          <w:rtl/>
        </w:rPr>
        <w:t>נוסח מסמך זה כפוף לשינויי ניסוח ועריכה</w:t>
      </w:r>
    </w:p>
    <w:p w14:paraId="6653B8DD" w14:textId="77777777" w:rsidR="00CD111D" w:rsidRDefault="00CD111D" w:rsidP="00CD111D">
      <w:pPr>
        <w:rPr>
          <w:rtl/>
        </w:rPr>
      </w:pPr>
    </w:p>
    <w:p w14:paraId="34E7F2D1" w14:textId="77777777" w:rsidR="00CD111D" w:rsidRDefault="00CD111D" w:rsidP="00CD111D">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415B116B" w14:textId="77777777" w:rsidR="007D4C0D" w:rsidRPr="00CD111D" w:rsidRDefault="007D4C0D" w:rsidP="00CD111D">
      <w:pPr>
        <w:jc w:val="center"/>
        <w:rPr>
          <w:color w:val="0000FF"/>
          <w:u w:val="single"/>
        </w:rPr>
      </w:pPr>
    </w:p>
    <w:sectPr w:rsidR="007D4C0D" w:rsidRPr="00CD111D" w:rsidSect="00CD111D">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14B336" w14:textId="77777777" w:rsidR="00F724C2" w:rsidRPr="00A352CF" w:rsidRDefault="00F724C2">
      <w:pPr>
        <w:rPr>
          <w:rFonts w:cs="Arial"/>
          <w:szCs w:val="20"/>
        </w:rPr>
      </w:pPr>
      <w:r>
        <w:separator/>
      </w:r>
    </w:p>
  </w:endnote>
  <w:endnote w:type="continuationSeparator" w:id="0">
    <w:p w14:paraId="380A7328" w14:textId="77777777" w:rsidR="00F724C2" w:rsidRPr="00A352CF" w:rsidRDefault="00F724C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A6A9E" w14:textId="77777777" w:rsidR="00CD111D" w:rsidRDefault="00CD111D" w:rsidP="00CD111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778D7A3" w14:textId="77777777" w:rsidR="007D4C0D" w:rsidRPr="00CD111D" w:rsidRDefault="00CD111D" w:rsidP="00CD111D">
    <w:pPr>
      <w:pStyle w:val="a4"/>
      <w:pBdr>
        <w:top w:val="single" w:sz="4" w:space="1" w:color="auto"/>
        <w:between w:val="single" w:sz="4" w:space="0" w:color="auto"/>
      </w:pBdr>
      <w:spacing w:after="60"/>
      <w:jc w:val="center"/>
      <w:rPr>
        <w:rFonts w:ascii="FrankRuehl" w:hAnsi="FrankRuehl" w:cs="FrankRuehl"/>
        <w:color w:val="000000"/>
      </w:rPr>
    </w:pPr>
    <w:r w:rsidRPr="00CD111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C1A28" w14:textId="77777777" w:rsidR="00CD111D" w:rsidRDefault="00CD111D" w:rsidP="00CD111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15C1A">
      <w:rPr>
        <w:rFonts w:ascii="FrankRuehl" w:hAnsi="FrankRuehl" w:cs="FrankRuehl"/>
        <w:noProof/>
        <w:rtl/>
      </w:rPr>
      <w:t>1</w:t>
    </w:r>
    <w:r>
      <w:rPr>
        <w:rFonts w:ascii="FrankRuehl" w:hAnsi="FrankRuehl" w:cs="FrankRuehl"/>
        <w:rtl/>
      </w:rPr>
      <w:fldChar w:fldCharType="end"/>
    </w:r>
  </w:p>
  <w:p w14:paraId="202423DC" w14:textId="77777777" w:rsidR="007D4C0D" w:rsidRPr="00CD111D" w:rsidRDefault="00CD111D" w:rsidP="00CD111D">
    <w:pPr>
      <w:pStyle w:val="a4"/>
      <w:pBdr>
        <w:top w:val="single" w:sz="4" w:space="1" w:color="auto"/>
        <w:between w:val="single" w:sz="4" w:space="0" w:color="auto"/>
      </w:pBdr>
      <w:spacing w:after="60"/>
      <w:jc w:val="center"/>
      <w:rPr>
        <w:rFonts w:ascii="FrankRuehl" w:hAnsi="FrankRuehl" w:cs="FrankRuehl"/>
        <w:color w:val="000000"/>
      </w:rPr>
    </w:pPr>
    <w:r w:rsidRPr="00CD111D">
      <w:rPr>
        <w:rFonts w:ascii="FrankRuehl" w:hAnsi="FrankRuehl" w:cs="FrankRuehl"/>
        <w:color w:val="000000"/>
      </w:rPr>
      <w:pict w14:anchorId="7210DF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B25A1A" w14:textId="77777777" w:rsidR="00F724C2" w:rsidRPr="00A352CF" w:rsidRDefault="00F724C2">
      <w:pPr>
        <w:rPr>
          <w:rFonts w:cs="Arial"/>
          <w:szCs w:val="20"/>
        </w:rPr>
      </w:pPr>
      <w:r>
        <w:separator/>
      </w:r>
    </w:p>
  </w:footnote>
  <w:footnote w:type="continuationSeparator" w:id="0">
    <w:p w14:paraId="1B822477" w14:textId="77777777" w:rsidR="00F724C2" w:rsidRPr="00A352CF" w:rsidRDefault="00F724C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F9A2E" w14:textId="77777777" w:rsidR="00CD111D" w:rsidRPr="00CD111D" w:rsidRDefault="00CD111D" w:rsidP="00CD111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11704-06-13</w:t>
    </w:r>
    <w:r>
      <w:rPr>
        <w:rFonts w:ascii="David" w:hAnsi="David"/>
        <w:color w:val="000000"/>
        <w:sz w:val="22"/>
        <w:szCs w:val="22"/>
        <w:rtl/>
      </w:rPr>
      <w:tab/>
      <w:t xml:space="preserve"> מדינת ישראל פרקליטות מחוז מרכז נ' אור גרשונוביץ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0402E" w14:textId="77777777" w:rsidR="00CD111D" w:rsidRPr="00CD111D" w:rsidRDefault="00CD111D" w:rsidP="00CD111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11704-06-13</w:t>
    </w:r>
    <w:r>
      <w:rPr>
        <w:rFonts w:ascii="David" w:hAnsi="David"/>
        <w:color w:val="000000"/>
        <w:sz w:val="22"/>
        <w:szCs w:val="22"/>
        <w:rtl/>
      </w:rPr>
      <w:tab/>
      <w:t xml:space="preserve"> מדינת ישראל פרקליטות מחוז מרכז נ' אור גרשונוביץ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544BD5"/>
    <w:multiLevelType w:val="hybridMultilevel"/>
    <w:tmpl w:val="06741298"/>
    <w:lvl w:ilvl="0" w:tplc="AB6CBD42">
      <w:start w:val="1"/>
      <w:numFmt w:val="hebrew1"/>
      <w:lvlText w:val="%1."/>
      <w:lvlJc w:val="left"/>
      <w:pPr>
        <w:tabs>
          <w:tab w:val="num" w:pos="1080"/>
        </w:tabs>
        <w:ind w:left="1080" w:hanging="360"/>
      </w:pPr>
      <w:rPr>
        <w:rFonts w:cs="Times New Roman" w:hint="default"/>
      </w:rPr>
    </w:lvl>
    <w:lvl w:ilvl="1" w:tplc="040D0019">
      <w:start w:val="1"/>
      <w:numFmt w:val="lowerLetter"/>
      <w:lvlText w:val="%2."/>
      <w:lvlJc w:val="left"/>
      <w:pPr>
        <w:tabs>
          <w:tab w:val="num" w:pos="1800"/>
        </w:tabs>
        <w:ind w:left="1800" w:hanging="360"/>
      </w:pPr>
      <w:rPr>
        <w:rFonts w:cs="Times New Roman"/>
      </w:rPr>
    </w:lvl>
    <w:lvl w:ilvl="2" w:tplc="040D001B">
      <w:start w:val="1"/>
      <w:numFmt w:val="lowerRoman"/>
      <w:lvlText w:val="%3."/>
      <w:lvlJc w:val="right"/>
      <w:pPr>
        <w:tabs>
          <w:tab w:val="num" w:pos="2520"/>
        </w:tabs>
        <w:ind w:left="2520" w:hanging="180"/>
      </w:pPr>
      <w:rPr>
        <w:rFonts w:cs="Times New Roman"/>
      </w:rPr>
    </w:lvl>
    <w:lvl w:ilvl="3" w:tplc="040D000F">
      <w:start w:val="1"/>
      <w:numFmt w:val="decimal"/>
      <w:lvlText w:val="%4."/>
      <w:lvlJc w:val="left"/>
      <w:pPr>
        <w:tabs>
          <w:tab w:val="num" w:pos="3240"/>
        </w:tabs>
        <w:ind w:left="3240" w:hanging="360"/>
      </w:pPr>
      <w:rPr>
        <w:rFonts w:cs="Times New Roman"/>
      </w:rPr>
    </w:lvl>
    <w:lvl w:ilvl="4" w:tplc="040D0019">
      <w:start w:val="1"/>
      <w:numFmt w:val="lowerLetter"/>
      <w:lvlText w:val="%5."/>
      <w:lvlJc w:val="left"/>
      <w:pPr>
        <w:tabs>
          <w:tab w:val="num" w:pos="3960"/>
        </w:tabs>
        <w:ind w:left="3960" w:hanging="360"/>
      </w:pPr>
      <w:rPr>
        <w:rFonts w:cs="Times New Roman"/>
      </w:rPr>
    </w:lvl>
    <w:lvl w:ilvl="5" w:tplc="040D001B">
      <w:start w:val="1"/>
      <w:numFmt w:val="lowerRoman"/>
      <w:lvlText w:val="%6."/>
      <w:lvlJc w:val="right"/>
      <w:pPr>
        <w:tabs>
          <w:tab w:val="num" w:pos="4680"/>
        </w:tabs>
        <w:ind w:left="4680" w:hanging="180"/>
      </w:pPr>
      <w:rPr>
        <w:rFonts w:cs="Times New Roman"/>
      </w:rPr>
    </w:lvl>
    <w:lvl w:ilvl="6" w:tplc="040D000F">
      <w:start w:val="1"/>
      <w:numFmt w:val="decimal"/>
      <w:lvlText w:val="%7."/>
      <w:lvlJc w:val="left"/>
      <w:pPr>
        <w:tabs>
          <w:tab w:val="num" w:pos="5400"/>
        </w:tabs>
        <w:ind w:left="5400" w:hanging="360"/>
      </w:pPr>
      <w:rPr>
        <w:rFonts w:cs="Times New Roman"/>
      </w:rPr>
    </w:lvl>
    <w:lvl w:ilvl="7" w:tplc="040D0019">
      <w:start w:val="1"/>
      <w:numFmt w:val="lowerLetter"/>
      <w:lvlText w:val="%8."/>
      <w:lvlJc w:val="left"/>
      <w:pPr>
        <w:tabs>
          <w:tab w:val="num" w:pos="6120"/>
        </w:tabs>
        <w:ind w:left="6120" w:hanging="360"/>
      </w:pPr>
      <w:rPr>
        <w:rFonts w:cs="Times New Roman"/>
      </w:rPr>
    </w:lvl>
    <w:lvl w:ilvl="8" w:tplc="040D001B">
      <w:start w:val="1"/>
      <w:numFmt w:val="lowerRoman"/>
      <w:lvlText w:val="%9."/>
      <w:lvlJc w:val="right"/>
      <w:pPr>
        <w:tabs>
          <w:tab w:val="num" w:pos="6840"/>
        </w:tabs>
        <w:ind w:left="6840" w:hanging="180"/>
      </w:pPr>
      <w:rPr>
        <w:rFonts w:cs="Times New Roman"/>
      </w:rPr>
    </w:lvl>
  </w:abstractNum>
  <w:num w:numId="1" w16cid:durableId="778913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D4C0D"/>
    <w:rsid w:val="000E6C01"/>
    <w:rsid w:val="007A3F3F"/>
    <w:rsid w:val="007D4C0D"/>
    <w:rsid w:val="00A07CEA"/>
    <w:rsid w:val="00C15C1A"/>
    <w:rsid w:val="00CD111D"/>
    <w:rsid w:val="00F724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3D23D1F"/>
  <w15:chartTrackingRefBased/>
  <w15:docId w15:val="{8086A53C-5C87-40F2-9B6E-77A572E0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D4C0D"/>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D4C0D"/>
    <w:pPr>
      <w:tabs>
        <w:tab w:val="center" w:pos="4153"/>
        <w:tab w:val="right" w:pos="8306"/>
      </w:tabs>
    </w:pPr>
  </w:style>
  <w:style w:type="paragraph" w:styleId="a4">
    <w:name w:val="footer"/>
    <w:basedOn w:val="a"/>
    <w:rsid w:val="007D4C0D"/>
    <w:pPr>
      <w:tabs>
        <w:tab w:val="center" w:pos="4153"/>
        <w:tab w:val="right" w:pos="8306"/>
      </w:tabs>
    </w:pPr>
  </w:style>
  <w:style w:type="character" w:styleId="a5">
    <w:name w:val="page number"/>
    <w:basedOn w:val="a0"/>
    <w:rsid w:val="007D4C0D"/>
  </w:style>
  <w:style w:type="character" w:styleId="Hyperlink">
    <w:name w:val="Hyperlink"/>
    <w:basedOn w:val="a0"/>
    <w:rsid w:val="00CD11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1" TargetMode="External"/><Relationship Id="rId18" Type="http://schemas.openxmlformats.org/officeDocument/2006/relationships/hyperlink" Target="http://www.nevo.co.il/law/70301/31"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law/4216/7.a"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21.a.1" TargetMode="External"/><Relationship Id="rId25" Type="http://schemas.openxmlformats.org/officeDocument/2006/relationships/hyperlink" Target="http://www.nevo.co.il/law/70301"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4216/9.a"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21.a.1" TargetMode="External"/><Relationship Id="rId24" Type="http://schemas.openxmlformats.org/officeDocument/2006/relationships/hyperlink" Target="http://www.nevo.co.il/law/70301/40h"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21.a.1" TargetMode="External"/><Relationship Id="rId23" Type="http://schemas.openxmlformats.org/officeDocument/2006/relationships/hyperlink" Target="http://www.nevo.co.il/law/70301" TargetMode="External"/><Relationship Id="rId28" Type="http://schemas.openxmlformats.org/officeDocument/2006/relationships/hyperlink" Target="http://www.nevo.co.il/links/psika/?NEWPROC=&#1502;&#1514;&amp;NEWPARTA=11733&amp;NEWPARTB=06&amp;NEWPARTC=13" TargetMode="External"/><Relationship Id="rId10" Type="http://schemas.openxmlformats.org/officeDocument/2006/relationships/hyperlink" Target="http://www.nevo.co.il/law/4216/9.a" TargetMode="External"/><Relationship Id="rId19" Type="http://schemas.openxmlformats.org/officeDocument/2006/relationships/hyperlink" Target="http://www.nevo.co.il/law/70301"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h" TargetMode="External"/><Relationship Id="rId22" Type="http://schemas.openxmlformats.org/officeDocument/2006/relationships/hyperlink" Target="http://www.nevo.co.il/law/4216/7.c" TargetMode="External"/><Relationship Id="rId27" Type="http://schemas.openxmlformats.org/officeDocument/2006/relationships/hyperlink" Target="http://www.nevo.co.il/law/4216"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1121</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6717</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99091923</vt:i4>
      </vt:variant>
      <vt:variant>
        <vt:i4>63</vt:i4>
      </vt:variant>
      <vt:variant>
        <vt:i4>0</vt:i4>
      </vt:variant>
      <vt:variant>
        <vt:i4>5</vt:i4>
      </vt:variant>
      <vt:variant>
        <vt:lpwstr>http://www.nevo.co.il/links/psika/?NEWPROC=מת&amp;NEWPARTA=11733&amp;NEWPARTB=06&amp;NEWPARTC=13</vt:lpwstr>
      </vt:variant>
      <vt:variant>
        <vt:lpwstr/>
      </vt:variant>
      <vt:variant>
        <vt:i4>8257637</vt:i4>
      </vt:variant>
      <vt:variant>
        <vt:i4>60</vt:i4>
      </vt:variant>
      <vt:variant>
        <vt:i4>0</vt:i4>
      </vt:variant>
      <vt:variant>
        <vt:i4>5</vt:i4>
      </vt:variant>
      <vt:variant>
        <vt:lpwstr>http://www.nevo.co.il/law/4216</vt:lpwstr>
      </vt:variant>
      <vt:variant>
        <vt:lpwstr/>
      </vt:variant>
      <vt:variant>
        <vt:i4>8257637</vt:i4>
      </vt:variant>
      <vt:variant>
        <vt:i4>57</vt:i4>
      </vt:variant>
      <vt:variant>
        <vt:i4>0</vt:i4>
      </vt:variant>
      <vt:variant>
        <vt:i4>5</vt:i4>
      </vt:variant>
      <vt:variant>
        <vt:lpwstr>http://www.nevo.co.il/law/4216</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http://www.nevo.co.il/law/70301/40h</vt:lpwstr>
      </vt:variant>
      <vt:variant>
        <vt:lpwstr/>
      </vt:variant>
      <vt:variant>
        <vt:i4>7995492</vt:i4>
      </vt:variant>
      <vt:variant>
        <vt:i4>48</vt:i4>
      </vt:variant>
      <vt:variant>
        <vt:i4>0</vt:i4>
      </vt:variant>
      <vt:variant>
        <vt:i4>5</vt:i4>
      </vt:variant>
      <vt:variant>
        <vt:lpwstr>http://www.nevo.co.il/law/70301</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2490468</vt:i4>
      </vt:variant>
      <vt:variant>
        <vt:i4>39</vt:i4>
      </vt:variant>
      <vt:variant>
        <vt:i4>0</vt:i4>
      </vt:variant>
      <vt:variant>
        <vt:i4>5</vt:i4>
      </vt:variant>
      <vt:variant>
        <vt:lpwstr>http://www.nevo.co.il/law/4216/9.a</vt:lpwstr>
      </vt:variant>
      <vt:variant>
        <vt:lpwstr/>
      </vt:variant>
      <vt:variant>
        <vt:i4>7995492</vt:i4>
      </vt:variant>
      <vt:variant>
        <vt:i4>36</vt:i4>
      </vt:variant>
      <vt:variant>
        <vt:i4>0</vt:i4>
      </vt:variant>
      <vt:variant>
        <vt:i4>5</vt:i4>
      </vt:variant>
      <vt:variant>
        <vt:lpwstr>http://www.nevo.co.il/law/70301</vt:lpwstr>
      </vt:variant>
      <vt:variant>
        <vt:lpwstr/>
      </vt:variant>
      <vt:variant>
        <vt:i4>6553702</vt:i4>
      </vt:variant>
      <vt:variant>
        <vt:i4>33</vt:i4>
      </vt:variant>
      <vt:variant>
        <vt:i4>0</vt:i4>
      </vt:variant>
      <vt:variant>
        <vt:i4>5</vt:i4>
      </vt:variant>
      <vt:variant>
        <vt:lpwstr>http://www.nevo.co.il/law/70301/31</vt:lpwstr>
      </vt:variant>
      <vt:variant>
        <vt:lpwstr/>
      </vt:variant>
      <vt:variant>
        <vt:i4>4980762</vt:i4>
      </vt:variant>
      <vt:variant>
        <vt:i4>30</vt:i4>
      </vt:variant>
      <vt:variant>
        <vt:i4>0</vt:i4>
      </vt:variant>
      <vt:variant>
        <vt:i4>5</vt:i4>
      </vt:variant>
      <vt:variant>
        <vt:lpwstr>http://www.nevo.co.il/law/4216/21.a.1</vt:lpwstr>
      </vt:variant>
      <vt:variant>
        <vt:lpwstr/>
      </vt:variant>
      <vt:variant>
        <vt:i4>8257637</vt:i4>
      </vt:variant>
      <vt:variant>
        <vt:i4>27</vt:i4>
      </vt:variant>
      <vt:variant>
        <vt:i4>0</vt:i4>
      </vt:variant>
      <vt:variant>
        <vt:i4>5</vt:i4>
      </vt:variant>
      <vt:variant>
        <vt:lpwstr>http://www.nevo.co.il/law/4216</vt:lpwstr>
      </vt:variant>
      <vt:variant>
        <vt:lpwstr/>
      </vt:variant>
      <vt:variant>
        <vt:i4>4980762</vt:i4>
      </vt:variant>
      <vt:variant>
        <vt:i4>24</vt:i4>
      </vt:variant>
      <vt:variant>
        <vt:i4>0</vt:i4>
      </vt:variant>
      <vt:variant>
        <vt:i4>5</vt:i4>
      </vt:variant>
      <vt:variant>
        <vt:lpwstr>http://www.nevo.co.il/law/4216/21.a.1</vt:lpwstr>
      </vt:variant>
      <vt:variant>
        <vt:lpwstr/>
      </vt:variant>
      <vt:variant>
        <vt:i4>6619233</vt:i4>
      </vt:variant>
      <vt:variant>
        <vt:i4>21</vt:i4>
      </vt:variant>
      <vt:variant>
        <vt:i4>0</vt:i4>
      </vt:variant>
      <vt:variant>
        <vt:i4>5</vt:i4>
      </vt:variant>
      <vt:variant>
        <vt:lpwstr>http://www.nevo.co.il/law/70301/40h</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7995492</vt:i4>
      </vt:variant>
      <vt:variant>
        <vt:i4>15</vt:i4>
      </vt:variant>
      <vt:variant>
        <vt:i4>0</vt:i4>
      </vt:variant>
      <vt:variant>
        <vt:i4>5</vt:i4>
      </vt:variant>
      <vt:variant>
        <vt:lpwstr>http://www.nevo.co.il/law/70301</vt:lpwstr>
      </vt:variant>
      <vt:variant>
        <vt:lpwstr/>
      </vt:variant>
      <vt:variant>
        <vt:i4>4980762</vt:i4>
      </vt:variant>
      <vt:variant>
        <vt:i4>12</vt:i4>
      </vt:variant>
      <vt:variant>
        <vt:i4>0</vt:i4>
      </vt:variant>
      <vt:variant>
        <vt:i4>5</vt:i4>
      </vt:variant>
      <vt:variant>
        <vt:lpwstr>http://www.nevo.co.il/law/4216/21.a.1</vt:lpwstr>
      </vt:variant>
      <vt:variant>
        <vt:lpwstr/>
      </vt:variant>
      <vt:variant>
        <vt:i4>2490468</vt:i4>
      </vt:variant>
      <vt:variant>
        <vt:i4>9</vt:i4>
      </vt:variant>
      <vt:variant>
        <vt:i4>0</vt:i4>
      </vt:variant>
      <vt:variant>
        <vt:i4>5</vt:i4>
      </vt:variant>
      <vt:variant>
        <vt:lpwstr>http://www.nevo.co.il/law/4216/9.a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2025-04-22T22:03:00Z</dcterms:created>
  <dcterms:modified xsi:type="dcterms:W3CDTF">2025-04-22T22:03:00Z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11704</vt:lpwstr>
  </property>
  <property fmtid="{D5CDD505-2E9C-101B-9397-08002B2CF9AE}" pid="6" name="NEWPARTB">
    <vt:lpwstr>06</vt:lpwstr>
  </property>
  <property fmtid="{D5CDD505-2E9C-101B-9397-08002B2CF9AE}" pid="7" name="NEWPARTC">
    <vt:lpwstr>13</vt:lpwstr>
  </property>
  <property fmtid="{D5CDD505-2E9C-101B-9397-08002B2CF9AE}" pid="8" name="APPELLANT">
    <vt:lpwstr>מדינת ישראל פרקליטות מחוז מרכז</vt:lpwstr>
  </property>
  <property fmtid="{D5CDD505-2E9C-101B-9397-08002B2CF9AE}" pid="9" name="APPELLEE">
    <vt:lpwstr>אור גרשונוביץ</vt:lpwstr>
  </property>
  <property fmtid="{D5CDD505-2E9C-101B-9397-08002B2CF9AE}" pid="10" name="LAWYER">
    <vt:lpwstr>פרקליטות מחוז;יפה מרשה;דורון לוי</vt:lpwstr>
  </property>
  <property fmtid="{D5CDD505-2E9C-101B-9397-08002B2CF9AE}" pid="11" name="JUDGE">
    <vt:lpwstr>הישאם אבו שחאדה</vt:lpwstr>
  </property>
  <property fmtid="{D5CDD505-2E9C-101B-9397-08002B2CF9AE}" pid="12" name="CITY">
    <vt:lpwstr>רמ'</vt:lpwstr>
  </property>
  <property fmtid="{D5CDD505-2E9C-101B-9397-08002B2CF9AE}" pid="13" name="DATE">
    <vt:lpwstr>20140311</vt:lpwstr>
  </property>
  <property fmtid="{D5CDD505-2E9C-101B-9397-08002B2CF9AE}" pid="14" name="TYPE_N_DATE">
    <vt:lpwstr>38020140311</vt:lpwstr>
  </property>
  <property fmtid="{D5CDD505-2E9C-101B-9397-08002B2CF9AE}" pid="15" name="WORDNUMPAGES">
    <vt:lpwstr>4</vt:lpwstr>
  </property>
  <property fmtid="{D5CDD505-2E9C-101B-9397-08002B2CF9AE}" pid="16" name="TYPE_ABS_DATE">
    <vt:lpwstr>380020140311</vt:lpwstr>
  </property>
  <property fmtid="{D5CDD505-2E9C-101B-9397-08002B2CF9AE}" pid="17" name="ISABSTRACT">
    <vt:lpwstr>Y</vt:lpwstr>
  </property>
  <property fmtid="{D5CDD505-2E9C-101B-9397-08002B2CF9AE}" pid="18" name="LAWLISTTMP1">
    <vt:lpwstr>4216/021.a.1:2;009.a;007.a;007.c</vt:lpwstr>
  </property>
  <property fmtid="{D5CDD505-2E9C-101B-9397-08002B2CF9AE}" pid="19" name="LAWLISTTMP2">
    <vt:lpwstr>70301/031;040h</vt:lpwstr>
  </property>
</Properties>
</file>