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62F2A" w:rsidRPr="00941ABF" w14:paraId="3E1ECEAA" w14:textId="77777777" w:rsidTr="0070772B">
        <w:trPr>
          <w:trHeight w:hRule="exact" w:val="418"/>
          <w:jc w:val="center"/>
        </w:trPr>
        <w:tc>
          <w:tcPr>
            <w:tcW w:w="8721" w:type="dxa"/>
            <w:gridSpan w:val="2"/>
          </w:tcPr>
          <w:p w14:paraId="4B52AF60" w14:textId="77777777" w:rsidR="00062F2A" w:rsidRPr="00941ABF" w:rsidRDefault="00941ABF">
            <w:pPr>
              <w:pStyle w:val="a3"/>
              <w:jc w:val="center"/>
              <w:rPr>
                <w:rFonts w:ascii="Tahoma" w:hAnsi="Tahoma" w:cs="Tahoma"/>
                <w:color w:val="000080"/>
                <w:rtl/>
              </w:rPr>
            </w:pPr>
            <w:bookmarkStart w:id="0" w:name="LastJudge"/>
            <w:r w:rsidRPr="00941ABF">
              <w:rPr>
                <w:rFonts w:ascii="Tahoma" w:hAnsi="Tahoma" w:cs="Tahoma"/>
                <w:b/>
                <w:bCs/>
                <w:color w:val="000080"/>
                <w:rtl/>
              </w:rPr>
              <w:t>בית משפט השלום בפתח תקווה</w:t>
            </w:r>
          </w:p>
        </w:tc>
      </w:tr>
      <w:tr w:rsidR="00062F2A" w:rsidRPr="00941ABF" w14:paraId="5AA2BCEF" w14:textId="77777777" w:rsidTr="0070772B">
        <w:trPr>
          <w:trHeight w:val="337"/>
          <w:jc w:val="center"/>
        </w:trPr>
        <w:tc>
          <w:tcPr>
            <w:tcW w:w="5054" w:type="dxa"/>
          </w:tcPr>
          <w:p w14:paraId="3EEB32F7" w14:textId="77777777" w:rsidR="00062F2A" w:rsidRPr="00941ABF" w:rsidRDefault="00941ABF">
            <w:pPr>
              <w:rPr>
                <w:rFonts w:cs="FrankRuehl"/>
                <w:sz w:val="28"/>
                <w:szCs w:val="28"/>
                <w:rtl/>
              </w:rPr>
            </w:pPr>
            <w:r w:rsidRPr="00941ABF">
              <w:rPr>
                <w:rFonts w:cs="FrankRuehl"/>
                <w:sz w:val="28"/>
                <w:szCs w:val="28"/>
                <w:rtl/>
              </w:rPr>
              <w:t>ת"פ</w:t>
            </w:r>
            <w:r w:rsidRPr="00941ABF">
              <w:rPr>
                <w:rFonts w:cs="FrankRuehl" w:hint="cs"/>
                <w:sz w:val="28"/>
                <w:szCs w:val="28"/>
                <w:rtl/>
              </w:rPr>
              <w:t xml:space="preserve"> </w:t>
            </w:r>
            <w:r w:rsidRPr="00941ABF">
              <w:rPr>
                <w:rFonts w:cs="FrankRuehl"/>
                <w:sz w:val="28"/>
                <w:szCs w:val="28"/>
                <w:rtl/>
              </w:rPr>
              <w:t>13426-06-13</w:t>
            </w:r>
            <w:r w:rsidRPr="00941ABF">
              <w:rPr>
                <w:rFonts w:cs="FrankRuehl" w:hint="cs"/>
                <w:sz w:val="28"/>
                <w:szCs w:val="28"/>
                <w:rtl/>
              </w:rPr>
              <w:t xml:space="preserve"> </w:t>
            </w:r>
            <w:r w:rsidRPr="00941ABF">
              <w:rPr>
                <w:rFonts w:cs="FrankRuehl"/>
                <w:sz w:val="28"/>
                <w:szCs w:val="28"/>
                <w:rtl/>
              </w:rPr>
              <w:t>מדינת ישראל נ' תובל</w:t>
            </w:r>
          </w:p>
          <w:p w14:paraId="600EF416" w14:textId="77777777" w:rsidR="00062F2A" w:rsidRPr="00941ABF" w:rsidRDefault="00062F2A">
            <w:pPr>
              <w:pStyle w:val="a3"/>
              <w:rPr>
                <w:rFonts w:cs="FrankRuehl"/>
                <w:sz w:val="28"/>
                <w:szCs w:val="28"/>
                <w:rtl/>
              </w:rPr>
            </w:pPr>
          </w:p>
        </w:tc>
        <w:tc>
          <w:tcPr>
            <w:tcW w:w="3667" w:type="dxa"/>
          </w:tcPr>
          <w:p w14:paraId="38B6DF56" w14:textId="77777777" w:rsidR="00062F2A" w:rsidRPr="00941ABF" w:rsidRDefault="00062F2A">
            <w:pPr>
              <w:pStyle w:val="a3"/>
              <w:jc w:val="right"/>
              <w:rPr>
                <w:rFonts w:cs="FrankRuehl"/>
                <w:sz w:val="28"/>
                <w:szCs w:val="28"/>
                <w:rtl/>
              </w:rPr>
            </w:pPr>
          </w:p>
        </w:tc>
      </w:tr>
    </w:tbl>
    <w:p w14:paraId="3036FCBC" w14:textId="77777777" w:rsidR="00062F2A" w:rsidRPr="00941ABF" w:rsidRDefault="00941ABF">
      <w:pPr>
        <w:pStyle w:val="a3"/>
        <w:rPr>
          <w:rtl/>
        </w:rPr>
      </w:pPr>
      <w:r w:rsidRPr="00941ABF">
        <w:rPr>
          <w:rFonts w:hint="cs"/>
          <w:rtl/>
        </w:rPr>
        <w:t xml:space="preserve"> </w:t>
      </w:r>
    </w:p>
    <w:p w14:paraId="488A7EF4" w14:textId="77777777" w:rsidR="00062F2A" w:rsidRPr="00941ABF" w:rsidRDefault="00062F2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3958"/>
        <w:gridCol w:w="3592"/>
      </w:tblGrid>
      <w:tr w:rsidR="00062F2A" w:rsidRPr="00941ABF" w14:paraId="197E0B5C" w14:textId="77777777" w:rsidTr="009E75D1">
        <w:trPr>
          <w:trHeight w:val="295"/>
          <w:jc w:val="center"/>
        </w:trPr>
        <w:tc>
          <w:tcPr>
            <w:tcW w:w="1270" w:type="dxa"/>
            <w:tcBorders>
              <w:top w:val="nil"/>
              <w:left w:val="nil"/>
              <w:bottom w:val="nil"/>
              <w:right w:val="nil"/>
            </w:tcBorders>
            <w:shd w:val="clear" w:color="auto" w:fill="auto"/>
          </w:tcPr>
          <w:p w14:paraId="04353B80" w14:textId="77777777" w:rsidR="00062F2A" w:rsidRPr="00941ABF" w:rsidRDefault="00941ABF">
            <w:pPr>
              <w:jc w:val="both"/>
              <w:rPr>
                <w:rFonts w:ascii="Arial" w:hAnsi="Arial" w:cs="FrankRuehl"/>
                <w:sz w:val="28"/>
                <w:szCs w:val="28"/>
              </w:rPr>
            </w:pPr>
            <w:r w:rsidRPr="00941ABF">
              <w:rPr>
                <w:rFonts w:ascii="Arial" w:hAnsi="Arial" w:cs="FrankRuehl" w:hint="cs"/>
                <w:sz w:val="28"/>
                <w:szCs w:val="28"/>
                <w:rtl/>
              </w:rPr>
              <w:t>ב</w:t>
            </w:r>
            <w:r w:rsidRPr="00941ABF">
              <w:rPr>
                <w:rFonts w:ascii="Arial" w:hAnsi="Arial" w:cs="FrankRuehl"/>
                <w:sz w:val="28"/>
                <w:szCs w:val="28"/>
                <w:rtl/>
              </w:rPr>
              <w:t xml:space="preserve">פני </w:t>
            </w:r>
          </w:p>
        </w:tc>
        <w:tc>
          <w:tcPr>
            <w:tcW w:w="7550" w:type="dxa"/>
            <w:gridSpan w:val="2"/>
            <w:tcBorders>
              <w:top w:val="nil"/>
              <w:left w:val="nil"/>
              <w:bottom w:val="nil"/>
              <w:right w:val="nil"/>
            </w:tcBorders>
            <w:shd w:val="clear" w:color="auto" w:fill="auto"/>
          </w:tcPr>
          <w:p w14:paraId="09383D59" w14:textId="77777777" w:rsidR="00062F2A" w:rsidRPr="00941ABF" w:rsidRDefault="00941ABF">
            <w:pPr>
              <w:rPr>
                <w:rFonts w:ascii="Arial" w:hAnsi="Arial"/>
                <w:b/>
                <w:bCs/>
                <w:rtl/>
              </w:rPr>
            </w:pPr>
            <w:r w:rsidRPr="00941ABF">
              <w:rPr>
                <w:rFonts w:ascii="Arial" w:hAnsi="Arial" w:hint="cs"/>
                <w:b/>
                <w:bCs/>
                <w:rtl/>
              </w:rPr>
              <w:t>כבוד ה</w:t>
            </w:r>
            <w:r w:rsidRPr="00941ABF">
              <w:rPr>
                <w:rFonts w:hint="cs"/>
                <w:rtl/>
              </w:rPr>
              <w:t>שופטת</w:t>
            </w:r>
            <w:r w:rsidRPr="00941ABF">
              <w:rPr>
                <w:rFonts w:ascii="Arial" w:hAnsi="Arial" w:hint="cs"/>
                <w:b/>
                <w:bCs/>
                <w:rtl/>
              </w:rPr>
              <w:t xml:space="preserve">  </w:t>
            </w:r>
            <w:r w:rsidRPr="00941ABF">
              <w:rPr>
                <w:rFonts w:hint="cs"/>
                <w:rtl/>
              </w:rPr>
              <w:t>אליאנא דניאלי</w:t>
            </w:r>
          </w:p>
          <w:p w14:paraId="4D963A60" w14:textId="77777777" w:rsidR="00062F2A" w:rsidRPr="00941ABF" w:rsidRDefault="00062F2A">
            <w:pPr>
              <w:rPr>
                <w:rtl/>
              </w:rPr>
            </w:pPr>
          </w:p>
          <w:p w14:paraId="174A53D0" w14:textId="77777777" w:rsidR="00062F2A" w:rsidRPr="00941ABF" w:rsidRDefault="00062F2A">
            <w:pPr>
              <w:jc w:val="both"/>
              <w:rPr>
                <w:rFonts w:ascii="Arial" w:hAnsi="Arial" w:cs="FrankRuehl"/>
                <w:sz w:val="28"/>
                <w:szCs w:val="28"/>
              </w:rPr>
            </w:pPr>
          </w:p>
        </w:tc>
      </w:tr>
      <w:tr w:rsidR="00062F2A" w:rsidRPr="00941ABF" w14:paraId="3180FE10" w14:textId="77777777" w:rsidTr="009E75D1">
        <w:trPr>
          <w:trHeight w:val="355"/>
          <w:jc w:val="center"/>
        </w:trPr>
        <w:tc>
          <w:tcPr>
            <w:tcW w:w="1270" w:type="dxa"/>
            <w:tcBorders>
              <w:top w:val="nil"/>
              <w:left w:val="nil"/>
              <w:bottom w:val="nil"/>
              <w:right w:val="nil"/>
            </w:tcBorders>
            <w:shd w:val="clear" w:color="auto" w:fill="auto"/>
          </w:tcPr>
          <w:p w14:paraId="13869620" w14:textId="77777777" w:rsidR="00062F2A" w:rsidRPr="00941ABF" w:rsidRDefault="00941ABF">
            <w:pPr>
              <w:jc w:val="both"/>
              <w:rPr>
                <w:rFonts w:ascii="Arial" w:hAnsi="Arial"/>
                <w:sz w:val="28"/>
                <w:szCs w:val="28"/>
                <w:rtl/>
              </w:rPr>
            </w:pPr>
            <w:bookmarkStart w:id="1" w:name="FirstAppellant"/>
            <w:r w:rsidRPr="00941ABF">
              <w:rPr>
                <w:rFonts w:ascii="Arial" w:hAnsi="Arial" w:hint="cs"/>
                <w:sz w:val="28"/>
                <w:szCs w:val="28"/>
                <w:rtl/>
              </w:rPr>
              <w:t>המאשימה</w:t>
            </w:r>
          </w:p>
        </w:tc>
        <w:tc>
          <w:tcPr>
            <w:tcW w:w="3958" w:type="dxa"/>
            <w:tcBorders>
              <w:top w:val="nil"/>
              <w:left w:val="nil"/>
              <w:bottom w:val="nil"/>
              <w:right w:val="nil"/>
            </w:tcBorders>
            <w:shd w:val="clear" w:color="auto" w:fill="auto"/>
          </w:tcPr>
          <w:p w14:paraId="2D3A0AF7" w14:textId="77777777" w:rsidR="00062F2A" w:rsidRPr="00941ABF" w:rsidRDefault="00941ABF">
            <w:r w:rsidRPr="00941ABF">
              <w:rPr>
                <w:rFonts w:hint="cs"/>
                <w:rtl/>
              </w:rPr>
              <w:t>מדינת ישראל</w:t>
            </w:r>
          </w:p>
        </w:tc>
        <w:tc>
          <w:tcPr>
            <w:tcW w:w="3592" w:type="dxa"/>
            <w:tcBorders>
              <w:top w:val="nil"/>
              <w:left w:val="nil"/>
              <w:bottom w:val="nil"/>
              <w:right w:val="nil"/>
            </w:tcBorders>
            <w:shd w:val="clear" w:color="auto" w:fill="auto"/>
          </w:tcPr>
          <w:p w14:paraId="26C36832" w14:textId="77777777" w:rsidR="00062F2A" w:rsidRPr="00941ABF" w:rsidRDefault="00062F2A">
            <w:pPr>
              <w:jc w:val="both"/>
              <w:rPr>
                <w:rFonts w:ascii="Arial" w:hAnsi="Arial"/>
                <w:sz w:val="28"/>
                <w:szCs w:val="28"/>
              </w:rPr>
            </w:pPr>
          </w:p>
        </w:tc>
      </w:tr>
      <w:bookmarkEnd w:id="1"/>
      <w:tr w:rsidR="00062F2A" w:rsidRPr="00941ABF" w14:paraId="5CA2BC5C" w14:textId="77777777" w:rsidTr="009E75D1">
        <w:trPr>
          <w:trHeight w:val="355"/>
          <w:jc w:val="center"/>
        </w:trPr>
        <w:tc>
          <w:tcPr>
            <w:tcW w:w="1270" w:type="dxa"/>
            <w:tcBorders>
              <w:top w:val="nil"/>
              <w:left w:val="nil"/>
              <w:bottom w:val="nil"/>
              <w:right w:val="nil"/>
            </w:tcBorders>
            <w:shd w:val="clear" w:color="auto" w:fill="auto"/>
          </w:tcPr>
          <w:p w14:paraId="3C9F729F" w14:textId="77777777" w:rsidR="00062F2A" w:rsidRPr="00941ABF" w:rsidRDefault="00062F2A">
            <w:pPr>
              <w:jc w:val="both"/>
              <w:rPr>
                <w:rFonts w:ascii="Arial" w:hAnsi="Arial"/>
                <w:sz w:val="28"/>
                <w:szCs w:val="28"/>
                <w:rtl/>
              </w:rPr>
            </w:pPr>
          </w:p>
        </w:tc>
        <w:tc>
          <w:tcPr>
            <w:tcW w:w="3958" w:type="dxa"/>
            <w:tcBorders>
              <w:top w:val="nil"/>
              <w:left w:val="nil"/>
              <w:bottom w:val="nil"/>
              <w:right w:val="nil"/>
            </w:tcBorders>
            <w:shd w:val="clear" w:color="auto" w:fill="auto"/>
          </w:tcPr>
          <w:p w14:paraId="4BFD0A30" w14:textId="77777777" w:rsidR="00062F2A" w:rsidRPr="00941ABF" w:rsidRDefault="00062F2A">
            <w:pPr>
              <w:jc w:val="both"/>
              <w:rPr>
                <w:rtl/>
              </w:rPr>
            </w:pPr>
          </w:p>
        </w:tc>
        <w:tc>
          <w:tcPr>
            <w:tcW w:w="3592" w:type="dxa"/>
            <w:tcBorders>
              <w:top w:val="nil"/>
              <w:left w:val="nil"/>
              <w:bottom w:val="nil"/>
              <w:right w:val="nil"/>
            </w:tcBorders>
            <w:shd w:val="clear" w:color="auto" w:fill="auto"/>
          </w:tcPr>
          <w:p w14:paraId="457CB7C4" w14:textId="77777777" w:rsidR="00062F2A" w:rsidRPr="00941ABF" w:rsidRDefault="00062F2A">
            <w:pPr>
              <w:jc w:val="right"/>
              <w:rPr>
                <w:rFonts w:ascii="Arial" w:hAnsi="Arial"/>
                <w:sz w:val="28"/>
                <w:szCs w:val="28"/>
                <w:rtl/>
              </w:rPr>
            </w:pPr>
          </w:p>
        </w:tc>
      </w:tr>
      <w:tr w:rsidR="00062F2A" w:rsidRPr="00941ABF" w14:paraId="15B5DE78" w14:textId="77777777" w:rsidTr="009E75D1">
        <w:trPr>
          <w:trHeight w:val="355"/>
          <w:jc w:val="center"/>
        </w:trPr>
        <w:tc>
          <w:tcPr>
            <w:tcW w:w="1270" w:type="dxa"/>
            <w:tcBorders>
              <w:top w:val="nil"/>
              <w:left w:val="nil"/>
              <w:bottom w:val="nil"/>
              <w:right w:val="nil"/>
            </w:tcBorders>
            <w:shd w:val="clear" w:color="auto" w:fill="auto"/>
          </w:tcPr>
          <w:p w14:paraId="6A20ED4F" w14:textId="77777777" w:rsidR="00062F2A" w:rsidRPr="00941ABF" w:rsidRDefault="00062F2A">
            <w:pPr>
              <w:jc w:val="both"/>
              <w:rPr>
                <w:rFonts w:ascii="Arial" w:hAnsi="Arial"/>
                <w:sz w:val="28"/>
                <w:szCs w:val="28"/>
                <w:rtl/>
              </w:rPr>
            </w:pPr>
          </w:p>
        </w:tc>
        <w:tc>
          <w:tcPr>
            <w:tcW w:w="7550" w:type="dxa"/>
            <w:gridSpan w:val="2"/>
            <w:tcBorders>
              <w:top w:val="nil"/>
              <w:left w:val="nil"/>
              <w:bottom w:val="nil"/>
              <w:right w:val="nil"/>
            </w:tcBorders>
            <w:shd w:val="clear" w:color="auto" w:fill="auto"/>
          </w:tcPr>
          <w:p w14:paraId="0C3CF261" w14:textId="77777777" w:rsidR="00062F2A" w:rsidRPr="00941ABF" w:rsidRDefault="00062F2A">
            <w:pPr>
              <w:jc w:val="center"/>
              <w:rPr>
                <w:rFonts w:ascii="Arial" w:hAnsi="Arial"/>
                <w:b/>
                <w:bCs/>
                <w:sz w:val="28"/>
                <w:szCs w:val="28"/>
                <w:rtl/>
              </w:rPr>
            </w:pPr>
          </w:p>
          <w:p w14:paraId="192B1E53" w14:textId="77777777" w:rsidR="00062F2A" w:rsidRPr="00941ABF" w:rsidRDefault="00941ABF">
            <w:pPr>
              <w:rPr>
                <w:rFonts w:ascii="Arial" w:hAnsi="Arial"/>
                <w:b/>
                <w:bCs/>
                <w:sz w:val="28"/>
                <w:szCs w:val="28"/>
                <w:rtl/>
              </w:rPr>
            </w:pPr>
            <w:r w:rsidRPr="00941ABF">
              <w:rPr>
                <w:rFonts w:ascii="Arial" w:hAnsi="Arial"/>
                <w:b/>
                <w:bCs/>
                <w:sz w:val="28"/>
                <w:szCs w:val="28"/>
                <w:rtl/>
              </w:rPr>
              <w:t>נגד</w:t>
            </w:r>
          </w:p>
          <w:p w14:paraId="26371AA4" w14:textId="77777777" w:rsidR="00062F2A" w:rsidRPr="00941ABF" w:rsidRDefault="00062F2A">
            <w:pPr>
              <w:rPr>
                <w:rFonts w:ascii="Arial" w:hAnsi="Arial"/>
                <w:b/>
                <w:bCs/>
                <w:sz w:val="28"/>
                <w:szCs w:val="28"/>
                <w:rtl/>
              </w:rPr>
            </w:pPr>
          </w:p>
          <w:p w14:paraId="2B05B9CE" w14:textId="77777777" w:rsidR="00062F2A" w:rsidRPr="00941ABF" w:rsidRDefault="00062F2A">
            <w:pPr>
              <w:jc w:val="both"/>
              <w:rPr>
                <w:rFonts w:ascii="Arial" w:hAnsi="Arial"/>
                <w:sz w:val="28"/>
                <w:szCs w:val="28"/>
              </w:rPr>
            </w:pPr>
          </w:p>
        </w:tc>
      </w:tr>
      <w:tr w:rsidR="00062F2A" w:rsidRPr="00941ABF" w14:paraId="0F16EBD9" w14:textId="77777777" w:rsidTr="009E75D1">
        <w:trPr>
          <w:trHeight w:val="355"/>
          <w:jc w:val="center"/>
        </w:trPr>
        <w:tc>
          <w:tcPr>
            <w:tcW w:w="1270" w:type="dxa"/>
            <w:tcBorders>
              <w:top w:val="nil"/>
              <w:left w:val="nil"/>
              <w:bottom w:val="nil"/>
              <w:right w:val="nil"/>
            </w:tcBorders>
            <w:shd w:val="clear" w:color="auto" w:fill="auto"/>
          </w:tcPr>
          <w:p w14:paraId="7D2451C5" w14:textId="77777777" w:rsidR="00062F2A" w:rsidRPr="00941ABF" w:rsidRDefault="00941ABF">
            <w:pPr>
              <w:rPr>
                <w:rFonts w:ascii="Arial" w:hAnsi="Arial"/>
                <w:sz w:val="28"/>
                <w:szCs w:val="28"/>
                <w:rtl/>
              </w:rPr>
            </w:pPr>
            <w:r w:rsidRPr="00941ABF">
              <w:rPr>
                <w:rFonts w:ascii="Arial" w:hAnsi="Arial" w:hint="cs"/>
                <w:sz w:val="28"/>
                <w:szCs w:val="28"/>
                <w:rtl/>
              </w:rPr>
              <w:t>הנאשם</w:t>
            </w:r>
          </w:p>
        </w:tc>
        <w:tc>
          <w:tcPr>
            <w:tcW w:w="3958" w:type="dxa"/>
            <w:tcBorders>
              <w:top w:val="nil"/>
              <w:left w:val="nil"/>
              <w:bottom w:val="nil"/>
              <w:right w:val="nil"/>
            </w:tcBorders>
            <w:shd w:val="clear" w:color="auto" w:fill="auto"/>
          </w:tcPr>
          <w:p w14:paraId="7561EAE6" w14:textId="77777777" w:rsidR="00062F2A" w:rsidRPr="00941ABF" w:rsidRDefault="00941ABF">
            <w:pPr>
              <w:rPr>
                <w:rtl/>
              </w:rPr>
            </w:pPr>
            <w:r w:rsidRPr="00941ABF">
              <w:rPr>
                <w:rFonts w:hint="cs"/>
                <w:rtl/>
              </w:rPr>
              <w:t>עדי תובל</w:t>
            </w:r>
          </w:p>
        </w:tc>
        <w:tc>
          <w:tcPr>
            <w:tcW w:w="3592" w:type="dxa"/>
            <w:tcBorders>
              <w:top w:val="nil"/>
              <w:left w:val="nil"/>
              <w:bottom w:val="nil"/>
              <w:right w:val="nil"/>
            </w:tcBorders>
            <w:shd w:val="clear" w:color="auto" w:fill="auto"/>
          </w:tcPr>
          <w:p w14:paraId="487D6EF8" w14:textId="77777777" w:rsidR="00062F2A" w:rsidRPr="00941ABF" w:rsidRDefault="00062F2A">
            <w:pPr>
              <w:jc w:val="right"/>
              <w:rPr>
                <w:rFonts w:ascii="Arial" w:hAnsi="Arial"/>
                <w:sz w:val="28"/>
                <w:szCs w:val="28"/>
              </w:rPr>
            </w:pPr>
          </w:p>
        </w:tc>
      </w:tr>
      <w:tr w:rsidR="00062F2A" w:rsidRPr="00941ABF" w14:paraId="6FEA3A51" w14:textId="77777777" w:rsidTr="009E75D1">
        <w:trPr>
          <w:trHeight w:val="355"/>
          <w:jc w:val="center"/>
        </w:trPr>
        <w:tc>
          <w:tcPr>
            <w:tcW w:w="1270" w:type="dxa"/>
            <w:tcBorders>
              <w:top w:val="nil"/>
              <w:left w:val="nil"/>
              <w:bottom w:val="nil"/>
              <w:right w:val="nil"/>
            </w:tcBorders>
            <w:shd w:val="clear" w:color="auto" w:fill="auto"/>
          </w:tcPr>
          <w:p w14:paraId="7D62AFCE" w14:textId="77777777" w:rsidR="00062F2A" w:rsidRPr="00941ABF" w:rsidRDefault="00062F2A">
            <w:pPr>
              <w:jc w:val="both"/>
              <w:rPr>
                <w:rFonts w:ascii="Arial" w:hAnsi="Arial" w:cs="FrankRuehl"/>
                <w:sz w:val="28"/>
                <w:szCs w:val="28"/>
                <w:rtl/>
              </w:rPr>
            </w:pPr>
          </w:p>
        </w:tc>
        <w:tc>
          <w:tcPr>
            <w:tcW w:w="3958" w:type="dxa"/>
            <w:tcBorders>
              <w:top w:val="nil"/>
              <w:left w:val="nil"/>
              <w:bottom w:val="nil"/>
              <w:right w:val="nil"/>
            </w:tcBorders>
            <w:shd w:val="clear" w:color="auto" w:fill="auto"/>
          </w:tcPr>
          <w:p w14:paraId="4DFF7915" w14:textId="77777777" w:rsidR="00062F2A" w:rsidRPr="00941ABF" w:rsidRDefault="00062F2A">
            <w:pPr>
              <w:jc w:val="both"/>
              <w:rPr>
                <w:rtl/>
              </w:rPr>
            </w:pPr>
          </w:p>
        </w:tc>
        <w:tc>
          <w:tcPr>
            <w:tcW w:w="3592" w:type="dxa"/>
            <w:tcBorders>
              <w:top w:val="nil"/>
              <w:left w:val="nil"/>
              <w:bottom w:val="nil"/>
              <w:right w:val="nil"/>
            </w:tcBorders>
            <w:shd w:val="clear" w:color="auto" w:fill="auto"/>
          </w:tcPr>
          <w:p w14:paraId="5CD4EF39" w14:textId="77777777" w:rsidR="00062F2A" w:rsidRPr="00941ABF" w:rsidRDefault="00062F2A">
            <w:pPr>
              <w:jc w:val="right"/>
              <w:rPr>
                <w:rFonts w:ascii="Arial" w:hAnsi="Arial" w:cs="FrankRuehl"/>
                <w:sz w:val="28"/>
                <w:szCs w:val="28"/>
              </w:rPr>
            </w:pPr>
          </w:p>
        </w:tc>
      </w:tr>
      <w:tr w:rsidR="00062F2A" w14:paraId="164ECE8D" w14:textId="77777777">
        <w:trPr>
          <w:trHeight w:val="355"/>
          <w:jc w:val="center"/>
        </w:trPr>
        <w:tc>
          <w:tcPr>
            <w:tcW w:w="8820" w:type="dxa"/>
            <w:gridSpan w:val="3"/>
            <w:tcBorders>
              <w:top w:val="nil"/>
              <w:left w:val="nil"/>
              <w:bottom w:val="nil"/>
              <w:right w:val="nil"/>
            </w:tcBorders>
            <w:shd w:val="clear" w:color="auto" w:fill="auto"/>
          </w:tcPr>
          <w:p w14:paraId="07CC22C0" w14:textId="77777777" w:rsidR="009E75D1" w:rsidRDefault="009E75D1" w:rsidP="00941ABF">
            <w:pPr>
              <w:jc w:val="center"/>
              <w:rPr>
                <w:rFonts w:ascii="Arial" w:hAnsi="Arial" w:cs="FrankRuehl"/>
                <w:sz w:val="32"/>
                <w:szCs w:val="32"/>
                <w:rtl/>
              </w:rPr>
            </w:pPr>
            <w:bookmarkStart w:id="2" w:name="PsakDin" w:colFirst="0" w:colLast="0"/>
            <w:bookmarkStart w:id="3" w:name="LawTable"/>
            <w:bookmarkEnd w:id="0"/>
            <w:bookmarkEnd w:id="3"/>
          </w:p>
          <w:p w14:paraId="3D5DD3D3" w14:textId="77777777" w:rsidR="009E75D1" w:rsidRPr="009E75D1" w:rsidRDefault="009E75D1" w:rsidP="009E75D1">
            <w:pPr>
              <w:spacing w:after="120" w:line="240" w:lineRule="exact"/>
              <w:ind w:left="283" w:hanging="283"/>
              <w:jc w:val="both"/>
              <w:rPr>
                <w:rFonts w:ascii="FrankRuehl" w:hAnsi="FrankRuehl" w:cs="FrankRuehl"/>
                <w:rtl/>
              </w:rPr>
            </w:pPr>
          </w:p>
          <w:p w14:paraId="539428B5" w14:textId="77777777" w:rsidR="009E75D1" w:rsidRPr="009E75D1" w:rsidRDefault="009E75D1" w:rsidP="009E75D1">
            <w:pPr>
              <w:spacing w:after="120" w:line="240" w:lineRule="exact"/>
              <w:ind w:left="283" w:hanging="283"/>
              <w:jc w:val="both"/>
              <w:rPr>
                <w:rFonts w:ascii="FrankRuehl" w:hAnsi="FrankRuehl" w:cs="FrankRuehl"/>
                <w:rtl/>
              </w:rPr>
            </w:pPr>
            <w:r w:rsidRPr="009E75D1">
              <w:rPr>
                <w:rFonts w:ascii="FrankRuehl" w:hAnsi="FrankRuehl" w:cs="FrankRuehl"/>
                <w:rtl/>
              </w:rPr>
              <w:t xml:space="preserve">חקיקה שאוזכרה: </w:t>
            </w:r>
          </w:p>
          <w:p w14:paraId="75EA8689" w14:textId="77777777" w:rsidR="009E75D1" w:rsidRPr="009E75D1" w:rsidRDefault="009E75D1" w:rsidP="009E75D1">
            <w:pPr>
              <w:spacing w:after="120" w:line="240" w:lineRule="exact"/>
              <w:ind w:left="283" w:hanging="283"/>
              <w:jc w:val="both"/>
              <w:rPr>
                <w:rFonts w:ascii="FrankRuehl" w:hAnsi="FrankRuehl" w:cs="FrankRuehl"/>
                <w:color w:val="0000FF"/>
                <w:u w:val="single"/>
                <w:rtl/>
              </w:rPr>
            </w:pPr>
            <w:hyperlink r:id="rId6" w:history="1">
              <w:r w:rsidRPr="009E75D1">
                <w:rPr>
                  <w:rStyle w:val="Hyperlink"/>
                  <w:rFonts w:ascii="FrankRuehl" w:hAnsi="FrankRuehl" w:cs="FrankRuehl"/>
                  <w:rtl/>
                </w:rPr>
                <w:t>חוק העונשין, תשל"ז-1977</w:t>
              </w:r>
            </w:hyperlink>
            <w:r w:rsidRPr="009E75D1">
              <w:rPr>
                <w:rFonts w:ascii="FrankRuehl" w:hAnsi="FrankRuehl" w:cs="FrankRuehl"/>
                <w:color w:val="0000FF"/>
                <w:u w:val="single"/>
                <w:rtl/>
              </w:rPr>
              <w:t xml:space="preserve">: סע'  </w:t>
            </w:r>
            <w:hyperlink r:id="rId7" w:history="1">
              <w:r w:rsidRPr="009E75D1">
                <w:rPr>
                  <w:rStyle w:val="Hyperlink"/>
                  <w:rFonts w:ascii="FrankRuehl" w:hAnsi="FrankRuehl" w:cs="FrankRuehl"/>
                </w:rPr>
                <w:t>40</w:t>
              </w:r>
              <w:r w:rsidRPr="009E75D1">
                <w:rPr>
                  <w:rStyle w:val="Hyperlink"/>
                  <w:rFonts w:ascii="FrankRuehl" w:hAnsi="FrankRuehl" w:cs="FrankRuehl"/>
                  <w:rtl/>
                </w:rPr>
                <w:t>ד (א</w:t>
              </w:r>
              <w:r w:rsidRPr="009E75D1">
                <w:rPr>
                  <w:rStyle w:val="Hyperlink"/>
                  <w:rFonts w:ascii="FrankRuehl" w:hAnsi="FrankRuehl" w:cs="FrankRuehl"/>
                </w:rPr>
                <w:t>)</w:t>
              </w:r>
            </w:hyperlink>
          </w:p>
          <w:p w14:paraId="41382D5B" w14:textId="77777777" w:rsidR="009E75D1" w:rsidRPr="009E75D1" w:rsidRDefault="009E75D1" w:rsidP="009E75D1">
            <w:pPr>
              <w:spacing w:after="120" w:line="240" w:lineRule="exact"/>
              <w:ind w:left="283" w:hanging="283"/>
              <w:jc w:val="both"/>
              <w:rPr>
                <w:rFonts w:ascii="FrankRuehl" w:hAnsi="FrankRuehl" w:cs="FrankRuehl"/>
                <w:rtl/>
              </w:rPr>
            </w:pPr>
          </w:p>
          <w:p w14:paraId="2330D201" w14:textId="77777777" w:rsidR="009E75D1" w:rsidRPr="009E75D1" w:rsidRDefault="009E75D1" w:rsidP="00941ABF">
            <w:pPr>
              <w:jc w:val="center"/>
              <w:rPr>
                <w:rFonts w:ascii="Arial" w:hAnsi="Arial" w:cs="FrankRuehl"/>
                <w:sz w:val="32"/>
                <w:szCs w:val="32"/>
                <w:rtl/>
              </w:rPr>
            </w:pPr>
            <w:bookmarkStart w:id="4" w:name="LawTable_End"/>
            <w:bookmarkEnd w:id="4"/>
          </w:p>
          <w:p w14:paraId="22F530F4" w14:textId="77777777" w:rsidR="00941ABF" w:rsidRPr="00941ABF" w:rsidRDefault="00941ABF" w:rsidP="00941ABF">
            <w:pPr>
              <w:jc w:val="center"/>
              <w:rPr>
                <w:rFonts w:ascii="Arial" w:hAnsi="Arial" w:cs="FrankRuehl"/>
                <w:b/>
                <w:bCs/>
                <w:sz w:val="32"/>
                <w:szCs w:val="32"/>
                <w:u w:val="single"/>
                <w:rtl/>
              </w:rPr>
            </w:pPr>
            <w:r w:rsidRPr="00941ABF">
              <w:rPr>
                <w:rFonts w:ascii="Arial" w:hAnsi="Arial" w:cs="FrankRuehl"/>
                <w:b/>
                <w:bCs/>
                <w:sz w:val="32"/>
                <w:szCs w:val="32"/>
                <w:u w:val="single"/>
                <w:rtl/>
              </w:rPr>
              <w:t>גזר דין</w:t>
            </w:r>
          </w:p>
          <w:p w14:paraId="3363CA25" w14:textId="77777777" w:rsidR="00062F2A" w:rsidRPr="00941ABF" w:rsidRDefault="00062F2A" w:rsidP="00941ABF">
            <w:pPr>
              <w:jc w:val="center"/>
              <w:rPr>
                <w:rFonts w:ascii="Arial" w:hAnsi="Arial" w:cs="FrankRuehl"/>
                <w:bCs/>
                <w:sz w:val="32"/>
                <w:szCs w:val="32"/>
                <w:u w:val="single"/>
                <w:rtl/>
              </w:rPr>
            </w:pPr>
          </w:p>
        </w:tc>
      </w:tr>
      <w:bookmarkEnd w:id="2"/>
    </w:tbl>
    <w:p w14:paraId="6856BA48" w14:textId="77777777" w:rsidR="00062F2A" w:rsidRDefault="00062F2A">
      <w:pPr>
        <w:rPr>
          <w:rFonts w:ascii="Arial" w:hAnsi="Arial"/>
          <w:rtl/>
        </w:rPr>
      </w:pPr>
    </w:p>
    <w:p w14:paraId="62354BCC" w14:textId="77777777" w:rsidR="00062F2A" w:rsidRDefault="00062F2A">
      <w:pPr>
        <w:rPr>
          <w:rFonts w:ascii="Arial" w:hAnsi="Arial"/>
          <w:rtl/>
        </w:rPr>
      </w:pPr>
    </w:p>
    <w:p w14:paraId="31A9C3AD" w14:textId="77777777" w:rsidR="00062F2A" w:rsidRDefault="00941ABF">
      <w:pPr>
        <w:spacing w:line="360" w:lineRule="auto"/>
        <w:jc w:val="both"/>
        <w:rPr>
          <w:rtl/>
        </w:rPr>
      </w:pPr>
      <w:r>
        <w:rPr>
          <w:rFonts w:hint="cs"/>
          <w:rtl/>
        </w:rPr>
        <w:t>הנאשם הורשע בהתאם להודאתו בגידול סם מסוכן, החזקת סם שלא לצריכה עצמית והחזקת כלים.</w:t>
      </w:r>
    </w:p>
    <w:p w14:paraId="58C49345" w14:textId="77777777" w:rsidR="00062F2A" w:rsidRDefault="00941ABF">
      <w:pPr>
        <w:spacing w:line="360" w:lineRule="auto"/>
        <w:jc w:val="both"/>
        <w:rPr>
          <w:rtl/>
        </w:rPr>
      </w:pPr>
      <w:r>
        <w:rPr>
          <w:rFonts w:hint="cs"/>
          <w:rtl/>
        </w:rPr>
        <w:t xml:space="preserve">בהתאם לכתב האישום המתוקן, גידל הנאשם בחודש יוני 2013, 13 שתילים של סם מסוכן מסוג קנאבוס במחסן בביתו במשקל כולל של 1111 ג'. </w:t>
      </w:r>
    </w:p>
    <w:p w14:paraId="0852AC97" w14:textId="77777777" w:rsidR="00062F2A" w:rsidRDefault="00941ABF">
      <w:pPr>
        <w:spacing w:line="360" w:lineRule="auto"/>
        <w:jc w:val="both"/>
        <w:rPr>
          <w:rtl/>
        </w:rPr>
      </w:pPr>
      <w:r>
        <w:rPr>
          <w:rFonts w:hint="cs"/>
          <w:rtl/>
        </w:rPr>
        <w:t>לצורך הגידול החזיק במחסן אמצעים מיוחדים אותם רכש כגון מד טמפרטורה וחומרי דישון.</w:t>
      </w:r>
    </w:p>
    <w:p w14:paraId="66B3CD42" w14:textId="77777777" w:rsidR="00062F2A" w:rsidRDefault="00941ABF">
      <w:pPr>
        <w:spacing w:line="360" w:lineRule="auto"/>
        <w:jc w:val="both"/>
        <w:rPr>
          <w:rtl/>
        </w:rPr>
      </w:pPr>
      <w:r>
        <w:rPr>
          <w:rFonts w:hint="cs"/>
          <w:rtl/>
        </w:rPr>
        <w:t xml:space="preserve">כן החזיק 14.42 ג' נטו סם מוכן לשימוש. </w:t>
      </w:r>
    </w:p>
    <w:p w14:paraId="1AD643DB" w14:textId="77777777" w:rsidR="00062F2A" w:rsidRDefault="00062F2A">
      <w:pPr>
        <w:spacing w:line="360" w:lineRule="auto"/>
        <w:jc w:val="both"/>
        <w:rPr>
          <w:rtl/>
        </w:rPr>
      </w:pPr>
    </w:p>
    <w:p w14:paraId="28F5EB19" w14:textId="77777777" w:rsidR="00062F2A" w:rsidRDefault="00941ABF">
      <w:pPr>
        <w:spacing w:line="360" w:lineRule="auto"/>
        <w:jc w:val="both"/>
        <w:rPr>
          <w:rtl/>
        </w:rPr>
      </w:pPr>
      <w:r>
        <w:rPr>
          <w:rFonts w:hint="cs"/>
          <w:rtl/>
        </w:rPr>
        <w:t>הצדדים נקשרו ביניהם בהסדר טיעון לאחר שראיות התביעה הוגשו בהסכמה ובבית המשפט נשמעה חלק מפרשת ההגנה.</w:t>
      </w:r>
    </w:p>
    <w:p w14:paraId="7D48DCF2" w14:textId="77777777" w:rsidR="00062F2A" w:rsidRDefault="00941ABF">
      <w:pPr>
        <w:spacing w:line="360" w:lineRule="auto"/>
        <w:jc w:val="both"/>
        <w:rPr>
          <w:rtl/>
        </w:rPr>
      </w:pPr>
      <w:r>
        <w:rPr>
          <w:rFonts w:hint="cs"/>
          <w:rtl/>
        </w:rPr>
        <w:t>בהתאם להסדר, הגבילה עצמה המאשימה לטיעון לעונש בן 6 חודשי עבודות שירות ואילו ההגנה טענה לעונש באופן חופשי.</w:t>
      </w:r>
    </w:p>
    <w:p w14:paraId="6F5118F6" w14:textId="77777777" w:rsidR="00062F2A" w:rsidRDefault="00941ABF">
      <w:pPr>
        <w:spacing w:line="360" w:lineRule="auto"/>
        <w:jc w:val="both"/>
        <w:rPr>
          <w:rtl/>
        </w:rPr>
      </w:pPr>
      <w:r>
        <w:rPr>
          <w:rFonts w:hint="cs"/>
          <w:rtl/>
        </w:rPr>
        <w:t xml:space="preserve">כן התקבל בעניינו של הנאשם תסקיר שירות המבחן. </w:t>
      </w:r>
    </w:p>
    <w:p w14:paraId="153788AF" w14:textId="77777777" w:rsidR="00062F2A" w:rsidRDefault="00941ABF">
      <w:pPr>
        <w:spacing w:line="360" w:lineRule="auto"/>
        <w:jc w:val="both"/>
        <w:rPr>
          <w:rtl/>
        </w:rPr>
      </w:pPr>
      <w:r>
        <w:rPr>
          <w:rFonts w:hint="cs"/>
          <w:rtl/>
        </w:rPr>
        <w:lastRenderedPageBreak/>
        <w:t>בטיעוניה לעונש עמדה המאשימה על הפגיעה בערכים החברתיים המוגנים, על העובדה כי מדובר במעשה אשר נעשה תוך תכנון ואינו חד פעמי, ועל הפסיקה אשר במסגרתה עונש בן 6 חודשי עבודות שירות הינו עונש ראוי.</w:t>
      </w:r>
    </w:p>
    <w:p w14:paraId="0E836A09" w14:textId="77777777" w:rsidR="00062F2A" w:rsidRDefault="00941ABF">
      <w:pPr>
        <w:spacing w:line="360" w:lineRule="auto"/>
        <w:jc w:val="both"/>
        <w:rPr>
          <w:rtl/>
        </w:rPr>
      </w:pPr>
      <w:r>
        <w:rPr>
          <w:rFonts w:hint="cs"/>
          <w:rtl/>
        </w:rPr>
        <w:t>מנגד, ביקשה ההגנה לאמץ את המלצת שירות המבחן לחרוג ממתחם העונש ההולם בשל שיקולי שיקום ולהטיל על הנאשם של"צ.</w:t>
      </w:r>
    </w:p>
    <w:p w14:paraId="6287812E" w14:textId="77777777" w:rsidR="00062F2A" w:rsidRDefault="00062F2A">
      <w:pPr>
        <w:spacing w:line="360" w:lineRule="auto"/>
        <w:jc w:val="both"/>
        <w:rPr>
          <w:rtl/>
        </w:rPr>
      </w:pPr>
    </w:p>
    <w:p w14:paraId="0373BE78" w14:textId="77777777" w:rsidR="00062F2A" w:rsidRDefault="00941ABF">
      <w:pPr>
        <w:spacing w:line="360" w:lineRule="auto"/>
        <w:jc w:val="both"/>
        <w:rPr>
          <w:rtl/>
        </w:rPr>
      </w:pPr>
      <w:r>
        <w:rPr>
          <w:rFonts w:hint="cs"/>
          <w:rtl/>
        </w:rPr>
        <w:t>הערכים בהם פגע הנאשם הינם השמירה על שלום הציבור ומניעת סכנה לציבור. איני מוצאת מקום להכביר בפגיעתם הרעה של הסמים, בוודאי כאשר נעשה הדבר באופן שיטתי וממושך. יחד עם זאת בבחינת מידת הפגיעה, הרי שלצד העובדה כי מדובר כאמור במעשה מתוכנן ובמי שלדבריו שלו, משתמש בסמים משך כ-20 שנים, הרי שגם על פי טיעוני המאשימה, הסיבה לגידול הסם נעוצה לשיטתה בהאמרת מחירי הסמים בשוק ולא במי שגידל סמים במטרה לסחור בהם.</w:t>
      </w:r>
    </w:p>
    <w:p w14:paraId="0A5EC5A2" w14:textId="77777777" w:rsidR="00062F2A" w:rsidRDefault="00062F2A">
      <w:pPr>
        <w:spacing w:line="360" w:lineRule="auto"/>
        <w:jc w:val="both"/>
        <w:rPr>
          <w:rtl/>
        </w:rPr>
      </w:pPr>
    </w:p>
    <w:p w14:paraId="70D088A1" w14:textId="77777777" w:rsidR="00062F2A" w:rsidRDefault="00941ABF">
      <w:pPr>
        <w:spacing w:line="360" w:lineRule="auto"/>
        <w:jc w:val="both"/>
        <w:rPr>
          <w:rtl/>
        </w:rPr>
      </w:pPr>
      <w:r>
        <w:rPr>
          <w:rFonts w:hint="cs"/>
          <w:rtl/>
        </w:rPr>
        <w:t>לפיכך, בית המשפט נדרש במקרה זה להכריע בין העדפת האינטרס הציבורי במלחמה בנגע הסמים אל מול אינטרס הנאשם.</w:t>
      </w:r>
    </w:p>
    <w:p w14:paraId="0B166BD9" w14:textId="77777777" w:rsidR="00062F2A" w:rsidRDefault="00062F2A">
      <w:pPr>
        <w:spacing w:line="360" w:lineRule="auto"/>
        <w:jc w:val="both"/>
        <w:rPr>
          <w:rtl/>
        </w:rPr>
      </w:pPr>
    </w:p>
    <w:p w14:paraId="763411E9" w14:textId="77777777" w:rsidR="00062F2A" w:rsidRDefault="00941ABF">
      <w:pPr>
        <w:spacing w:line="360" w:lineRule="auto"/>
        <w:jc w:val="both"/>
        <w:rPr>
          <w:rtl/>
        </w:rPr>
      </w:pPr>
      <w:r>
        <w:rPr>
          <w:rFonts w:hint="cs"/>
          <w:rtl/>
        </w:rPr>
        <w:t>בעניינו של הנאשם הוגש כאמור תסקיר אשר ממנו עולה כי עסקינן באדם נורמטיבי, עובד ובעל משפחה.</w:t>
      </w:r>
    </w:p>
    <w:p w14:paraId="46A00CAF" w14:textId="77777777" w:rsidR="00062F2A" w:rsidRDefault="00941ABF">
      <w:pPr>
        <w:spacing w:line="360" w:lineRule="auto"/>
        <w:jc w:val="both"/>
        <w:rPr>
          <w:rtl/>
        </w:rPr>
      </w:pPr>
      <w:r>
        <w:rPr>
          <w:rFonts w:hint="cs"/>
          <w:rtl/>
        </w:rPr>
        <w:t>למעט עבירה אחת אשר התיישנה ואינה מתחום הסמים, מדובר במי שלא הורשע ואשר לא פתוחים כנגדו תיקים נוספים.</w:t>
      </w:r>
    </w:p>
    <w:p w14:paraId="051364ED" w14:textId="77777777" w:rsidR="00062F2A" w:rsidRDefault="00941ABF">
      <w:pPr>
        <w:spacing w:line="360" w:lineRule="auto"/>
        <w:jc w:val="both"/>
        <w:rPr>
          <w:rtl/>
        </w:rPr>
      </w:pPr>
      <w:r>
        <w:rPr>
          <w:rFonts w:hint="cs"/>
          <w:rtl/>
        </w:rPr>
        <w:t xml:space="preserve">הנאשם תיאר את הצורך בסם כמי שמשתמש בו שימוש חברתי, קיבל אחריות על מעשיו וביטא מודעות לחומרת המעשים. הנאשם הסביר את הגידול ברצונו להימנע ממגע עם גורמים עבריינים אשר מהם רכש את הסם בעבר, ושירות המבחן התרשם כי מעצרו היווה עבורו אירוע מטלטל, טראומתי ומרתיע. </w:t>
      </w:r>
    </w:p>
    <w:p w14:paraId="54139949" w14:textId="77777777" w:rsidR="00062F2A" w:rsidRDefault="00941ABF">
      <w:pPr>
        <w:spacing w:line="360" w:lineRule="auto"/>
        <w:jc w:val="both"/>
        <w:rPr>
          <w:rtl/>
        </w:rPr>
      </w:pPr>
      <w:r>
        <w:rPr>
          <w:rFonts w:hint="cs"/>
          <w:rtl/>
        </w:rPr>
        <w:t>כן התרשם שירות המבחן כי המעצר הוביל את הנאשם לעריכת שינוי בדפוסי חייו ולפיכך המליץ על העמדתו בצו מבחן ועל הטלת צו של"צ בהיקף נרחב של שעות.</w:t>
      </w:r>
    </w:p>
    <w:p w14:paraId="0EEC6069" w14:textId="77777777" w:rsidR="00062F2A" w:rsidRDefault="00062F2A">
      <w:pPr>
        <w:spacing w:line="360" w:lineRule="auto"/>
        <w:jc w:val="both"/>
        <w:rPr>
          <w:rtl/>
        </w:rPr>
      </w:pPr>
    </w:p>
    <w:p w14:paraId="1D3B5C49" w14:textId="77777777" w:rsidR="00062F2A" w:rsidRDefault="00941ABF">
      <w:pPr>
        <w:spacing w:line="360" w:lineRule="auto"/>
        <w:jc w:val="both"/>
        <w:rPr>
          <w:rtl/>
        </w:rPr>
      </w:pPr>
      <w:r>
        <w:rPr>
          <w:rFonts w:hint="cs"/>
          <w:rtl/>
        </w:rPr>
        <w:t>נוכח האמור לעיל ובכלל זה כאשר אני שוקלת את חומרת המעשה, את הערכים שנפגעו ואת הפסיקה הנוהגת, אני מוצאת כי מתחם העונש הראוי הינו החל ממספר חודשי מאסר לריצוי בעבודות שירות וכלה במאסר לתקופה שאינה ארוכה.</w:t>
      </w:r>
    </w:p>
    <w:p w14:paraId="09502295" w14:textId="77777777" w:rsidR="00062F2A" w:rsidRDefault="00062F2A">
      <w:pPr>
        <w:spacing w:line="360" w:lineRule="auto"/>
        <w:jc w:val="both"/>
        <w:rPr>
          <w:rtl/>
        </w:rPr>
      </w:pPr>
    </w:p>
    <w:p w14:paraId="624B5B3C" w14:textId="77777777" w:rsidR="00062F2A" w:rsidRDefault="00941ABF">
      <w:pPr>
        <w:spacing w:line="360" w:lineRule="auto"/>
        <w:jc w:val="both"/>
        <w:rPr>
          <w:rtl/>
        </w:rPr>
      </w:pPr>
      <w:r>
        <w:rPr>
          <w:rFonts w:hint="cs"/>
          <w:rtl/>
        </w:rPr>
        <w:t xml:space="preserve">בהתאם לסעיף </w:t>
      </w:r>
      <w:hyperlink r:id="rId8" w:history="1">
        <w:r w:rsidR="0070772B" w:rsidRPr="0070772B">
          <w:rPr>
            <w:color w:val="0000FF"/>
            <w:u w:val="single"/>
            <w:rtl/>
          </w:rPr>
          <w:t>40ד (א)</w:t>
        </w:r>
      </w:hyperlink>
      <w:r>
        <w:rPr>
          <w:rFonts w:hint="cs"/>
          <w:rtl/>
        </w:rPr>
        <w:t xml:space="preserve"> ב</w:t>
      </w:r>
      <w:hyperlink r:id="rId9" w:history="1">
        <w:r w:rsidRPr="00941ABF">
          <w:rPr>
            <w:color w:val="0000FF"/>
            <w:u w:val="single"/>
            <w:rtl/>
          </w:rPr>
          <w:t>חוק העונשין</w:t>
        </w:r>
      </w:hyperlink>
      <w:r>
        <w:rPr>
          <w:rFonts w:hint="cs"/>
          <w:rtl/>
        </w:rPr>
        <w:t xml:space="preserve"> תשל"ז -1977, רשאי בית המשפט לסטות ממתחם העונש ההולם כאשר הוא מוצא כי הנאשם השתקם או כי יש סיכוי של ממש כי ישתקם.</w:t>
      </w:r>
    </w:p>
    <w:p w14:paraId="7FF7F3F8" w14:textId="77777777" w:rsidR="00062F2A" w:rsidRDefault="00062F2A">
      <w:pPr>
        <w:spacing w:line="360" w:lineRule="auto"/>
        <w:jc w:val="both"/>
        <w:rPr>
          <w:rtl/>
        </w:rPr>
      </w:pPr>
    </w:p>
    <w:p w14:paraId="665775DD" w14:textId="77777777" w:rsidR="00062F2A" w:rsidRDefault="00941ABF">
      <w:pPr>
        <w:spacing w:line="360" w:lineRule="auto"/>
        <w:jc w:val="both"/>
        <w:rPr>
          <w:rtl/>
        </w:rPr>
      </w:pPr>
      <w:r>
        <w:rPr>
          <w:rFonts w:hint="cs"/>
          <w:rtl/>
        </w:rPr>
        <w:t xml:space="preserve">התלבטתי רבות אם יש מקום לסטות ממתחם העונש ההולם במקרה זה. </w:t>
      </w:r>
    </w:p>
    <w:p w14:paraId="44519A64" w14:textId="77777777" w:rsidR="00062F2A" w:rsidRDefault="00941ABF">
      <w:pPr>
        <w:spacing w:line="360" w:lineRule="auto"/>
        <w:jc w:val="both"/>
        <w:rPr>
          <w:rtl/>
        </w:rPr>
      </w:pPr>
      <w:r>
        <w:rPr>
          <w:rFonts w:hint="cs"/>
          <w:rtl/>
        </w:rPr>
        <w:t>בסופו של יום, אני סבורה כי בעניינו של הנאשם שלפניי גוברים סיכויי השיקום.</w:t>
      </w:r>
    </w:p>
    <w:p w14:paraId="099CD8E1" w14:textId="77777777" w:rsidR="00062F2A" w:rsidRDefault="00941ABF">
      <w:pPr>
        <w:spacing w:line="360" w:lineRule="auto"/>
        <w:jc w:val="both"/>
        <w:rPr>
          <w:rtl/>
        </w:rPr>
      </w:pPr>
      <w:r>
        <w:rPr>
          <w:rFonts w:hint="cs"/>
          <w:rtl/>
        </w:rPr>
        <w:lastRenderedPageBreak/>
        <w:t xml:space="preserve">עסקינן במי שכטענת בא כוחו, למעשה מצוי במבחן מאז פשטה המשטרה על ביתו. </w:t>
      </w:r>
    </w:p>
    <w:p w14:paraId="6138EE74" w14:textId="77777777" w:rsidR="00062F2A" w:rsidRDefault="00941ABF">
      <w:pPr>
        <w:spacing w:line="360" w:lineRule="auto"/>
        <w:jc w:val="both"/>
        <w:rPr>
          <w:rtl/>
        </w:rPr>
      </w:pPr>
      <w:r>
        <w:rPr>
          <w:rFonts w:hint="cs"/>
          <w:rtl/>
        </w:rPr>
        <w:t>כאמור, העבירה בוצעה בחודש יוני 2013, קרי למעלה משנתיים חלפו מאז ואין חולק כי לא נפתחו לנאשם תיקים נוספים וכי בהתאם לתסקיר שירות המבחן הוא פסק משימוש בסם ומצא לעצמו דרכים אחרות להפגת המתחים.</w:t>
      </w:r>
    </w:p>
    <w:p w14:paraId="6020B340" w14:textId="77777777" w:rsidR="00062F2A" w:rsidRDefault="00062F2A">
      <w:pPr>
        <w:spacing w:line="360" w:lineRule="auto"/>
        <w:jc w:val="both"/>
        <w:rPr>
          <w:rtl/>
        </w:rPr>
      </w:pPr>
    </w:p>
    <w:p w14:paraId="618999A8" w14:textId="77777777" w:rsidR="00062F2A" w:rsidRDefault="00941ABF">
      <w:pPr>
        <w:spacing w:line="360" w:lineRule="auto"/>
        <w:jc w:val="both"/>
        <w:rPr>
          <w:rtl/>
        </w:rPr>
      </w:pPr>
      <w:r>
        <w:rPr>
          <w:rFonts w:hint="cs"/>
          <w:rtl/>
        </w:rPr>
        <w:t>הוא נטל אחריות על מעשיו, ולא למותר לציין כי אך לאחרונה נולד לנאשם בן נוסף לאחר שאשתו הייתה מצויה בשמירת היריון. העובדה כי הנאשם עמד בלחצים הנובעים מכך שאשתו הפסיקה לעבוד והייתה כאמור בשמירת היריון והמשיך כל העת בעבודתו ובטיפול בילדיו, מלמדת כי הוא מסוגל לעמוד בלחצים גם ללא חזרה אל המפלט שסיפק לו הסם.</w:t>
      </w:r>
    </w:p>
    <w:p w14:paraId="76D8A216" w14:textId="77777777" w:rsidR="00062F2A" w:rsidRDefault="00062F2A">
      <w:pPr>
        <w:spacing w:line="360" w:lineRule="auto"/>
        <w:jc w:val="both"/>
        <w:rPr>
          <w:rtl/>
        </w:rPr>
      </w:pPr>
    </w:p>
    <w:p w14:paraId="6FCF20F2" w14:textId="77777777" w:rsidR="00062F2A" w:rsidRDefault="00941ABF">
      <w:pPr>
        <w:spacing w:line="360" w:lineRule="auto"/>
        <w:jc w:val="both"/>
        <w:rPr>
          <w:rtl/>
        </w:rPr>
      </w:pPr>
      <w:r>
        <w:rPr>
          <w:rFonts w:hint="cs"/>
          <w:rtl/>
        </w:rPr>
        <w:t xml:space="preserve">אכן, ככלל, דינו של מי שמגדל סמים בביתו לענישה ממשית. ויחד עם זאת, כאשר בוחנים את התנהלותו של הנאשם שבפניי לאורך חייו, באשר מדובר כאמור במי שהינו אזרח נורמטיבי התורם לחברה, אני סבורה כי יש מקום בעניינו של נאשם שכזה אשר שירות המבחן קבע כאמור כי מעצרו היווה גורם מרתיע ומטלטל וכי הוא ערך שינוי משמעותי בדפוסי חייו והפסיק את השימוש בסם, להעדיף את האינטרס האישי אשר הינו גם האינטרס הציבורי.  </w:t>
      </w:r>
    </w:p>
    <w:p w14:paraId="782FE6F6" w14:textId="77777777" w:rsidR="00062F2A" w:rsidRDefault="00062F2A">
      <w:pPr>
        <w:spacing w:line="360" w:lineRule="auto"/>
        <w:jc w:val="both"/>
        <w:rPr>
          <w:rtl/>
        </w:rPr>
      </w:pPr>
    </w:p>
    <w:p w14:paraId="60BC5FBB" w14:textId="77777777" w:rsidR="00062F2A" w:rsidRDefault="00941ABF">
      <w:pPr>
        <w:spacing w:line="360" w:lineRule="auto"/>
        <w:jc w:val="both"/>
        <w:rPr>
          <w:u w:val="single"/>
          <w:rtl/>
        </w:rPr>
      </w:pPr>
      <w:r>
        <w:rPr>
          <w:rFonts w:hint="cs"/>
          <w:rtl/>
        </w:rPr>
        <w:t xml:space="preserve">יחד עם זאת אני סבורה כי על מנת להביא לידי ביטוי את כמות הסם אותה גידל הנאשם, ואת החומרה שבמעשה, יש מקום להטיל על הנאשם תכנית של"צ בהיקף נרחב מזה שהמליץ עליה שירות המבחן. </w:t>
      </w:r>
    </w:p>
    <w:p w14:paraId="35B16638" w14:textId="77777777" w:rsidR="00062F2A" w:rsidRDefault="00062F2A">
      <w:pPr>
        <w:spacing w:line="360" w:lineRule="auto"/>
        <w:jc w:val="both"/>
        <w:rPr>
          <w:u w:val="single"/>
          <w:rtl/>
        </w:rPr>
      </w:pPr>
    </w:p>
    <w:p w14:paraId="71AB51A6" w14:textId="77777777" w:rsidR="00062F2A" w:rsidRDefault="00941ABF">
      <w:pPr>
        <w:spacing w:line="360" w:lineRule="auto"/>
        <w:jc w:val="both"/>
        <w:rPr>
          <w:u w:val="single"/>
          <w:rtl/>
        </w:rPr>
      </w:pPr>
      <w:r>
        <w:rPr>
          <w:rFonts w:hint="cs"/>
          <w:u w:val="single"/>
          <w:rtl/>
        </w:rPr>
        <w:t>נוכח כל האמור לעיל אני מטילה על הנאשם את העונשים הבאים:</w:t>
      </w:r>
    </w:p>
    <w:p w14:paraId="54684F4E" w14:textId="77777777" w:rsidR="00062F2A" w:rsidRDefault="00062F2A">
      <w:pPr>
        <w:spacing w:line="360" w:lineRule="auto"/>
        <w:jc w:val="both"/>
        <w:rPr>
          <w:rtl/>
        </w:rPr>
      </w:pPr>
    </w:p>
    <w:p w14:paraId="40B742DF" w14:textId="77777777" w:rsidR="00062F2A" w:rsidRDefault="00941ABF">
      <w:pPr>
        <w:spacing w:line="360" w:lineRule="auto"/>
        <w:jc w:val="both"/>
        <w:rPr>
          <w:rtl/>
        </w:rPr>
      </w:pPr>
      <w:r>
        <w:rPr>
          <w:rFonts w:hint="cs"/>
          <w:rtl/>
        </w:rPr>
        <w:t>1.</w:t>
      </w:r>
      <w:r>
        <w:rPr>
          <w:rFonts w:hint="cs"/>
          <w:rtl/>
        </w:rPr>
        <w:tab/>
        <w:t>הנאשם יבצע של"צ בהיקף של 500 שעות על פי תכנית שיגבש עבורו שירות המבחן.</w:t>
      </w:r>
    </w:p>
    <w:p w14:paraId="518D2F31" w14:textId="77777777" w:rsidR="00062F2A" w:rsidRDefault="00062F2A">
      <w:pPr>
        <w:spacing w:line="360" w:lineRule="auto"/>
        <w:jc w:val="both"/>
        <w:rPr>
          <w:rtl/>
        </w:rPr>
      </w:pPr>
    </w:p>
    <w:p w14:paraId="30583DE6" w14:textId="77777777" w:rsidR="00062F2A" w:rsidRDefault="00941ABF">
      <w:pPr>
        <w:spacing w:line="360" w:lineRule="auto"/>
        <w:jc w:val="both"/>
        <w:rPr>
          <w:rtl/>
        </w:rPr>
      </w:pPr>
      <w:r>
        <w:rPr>
          <w:rFonts w:hint="cs"/>
          <w:rtl/>
        </w:rPr>
        <w:t>2.</w:t>
      </w:r>
      <w:r>
        <w:rPr>
          <w:rFonts w:hint="cs"/>
          <w:rtl/>
        </w:rPr>
        <w:tab/>
        <w:t>הנאשם יעמוד בפיקוח שירות המבחן למשך שנה מהיום.</w:t>
      </w:r>
    </w:p>
    <w:p w14:paraId="444B64E4" w14:textId="77777777" w:rsidR="00062F2A" w:rsidRDefault="00062F2A">
      <w:pPr>
        <w:spacing w:line="360" w:lineRule="auto"/>
        <w:jc w:val="both"/>
        <w:rPr>
          <w:rtl/>
        </w:rPr>
      </w:pPr>
    </w:p>
    <w:p w14:paraId="1B6A4B7B" w14:textId="77777777" w:rsidR="00062F2A" w:rsidRDefault="00941ABF">
      <w:pPr>
        <w:spacing w:line="360" w:lineRule="auto"/>
        <w:ind w:left="720" w:hanging="720"/>
        <w:jc w:val="both"/>
        <w:rPr>
          <w:rtl/>
        </w:rPr>
      </w:pPr>
      <w:r>
        <w:rPr>
          <w:rFonts w:hint="cs"/>
          <w:rtl/>
        </w:rPr>
        <w:t>3.</w:t>
      </w:r>
      <w:r>
        <w:rPr>
          <w:rFonts w:hint="cs"/>
          <w:rtl/>
        </w:rPr>
        <w:tab/>
        <w:t>6 חודשי מאסר על תנאי למשך 3 שנים לבל יעבור הנאשם עבירה של החזקת סם לשימוש עצמי.</w:t>
      </w:r>
    </w:p>
    <w:p w14:paraId="57DE808E" w14:textId="77777777" w:rsidR="00062F2A" w:rsidRDefault="00062F2A">
      <w:pPr>
        <w:spacing w:line="360" w:lineRule="auto"/>
        <w:ind w:left="720" w:hanging="720"/>
        <w:jc w:val="both"/>
        <w:rPr>
          <w:rtl/>
        </w:rPr>
      </w:pPr>
    </w:p>
    <w:p w14:paraId="0DF69D62" w14:textId="77777777" w:rsidR="00062F2A" w:rsidRDefault="00941ABF">
      <w:pPr>
        <w:spacing w:line="360" w:lineRule="auto"/>
        <w:ind w:left="720" w:hanging="720"/>
        <w:jc w:val="both"/>
        <w:rPr>
          <w:rtl/>
        </w:rPr>
      </w:pPr>
      <w:r>
        <w:rPr>
          <w:rFonts w:hint="cs"/>
          <w:rtl/>
        </w:rPr>
        <w:t>4.</w:t>
      </w:r>
      <w:r>
        <w:rPr>
          <w:rFonts w:hint="cs"/>
          <w:rtl/>
        </w:rPr>
        <w:tab/>
        <w:t>8 חודשי מאסר על תנאי למשך 3 שנים לבל יעבור עבירה על פקודת הסמים שאינה החזקה לשימוש עצמי.</w:t>
      </w:r>
    </w:p>
    <w:p w14:paraId="49006B41" w14:textId="77777777" w:rsidR="00062F2A" w:rsidRDefault="00062F2A">
      <w:pPr>
        <w:spacing w:line="360" w:lineRule="auto"/>
        <w:ind w:left="720" w:hanging="720"/>
        <w:jc w:val="both"/>
        <w:rPr>
          <w:rtl/>
        </w:rPr>
      </w:pPr>
    </w:p>
    <w:p w14:paraId="301F6E5D" w14:textId="77777777" w:rsidR="00062F2A" w:rsidRDefault="00941ABF">
      <w:pPr>
        <w:spacing w:line="360" w:lineRule="auto"/>
        <w:ind w:left="720" w:hanging="720"/>
        <w:jc w:val="both"/>
        <w:rPr>
          <w:u w:val="single"/>
          <w:rtl/>
        </w:rPr>
      </w:pPr>
      <w:r>
        <w:rPr>
          <w:rFonts w:hint="cs"/>
          <w:u w:val="single"/>
          <w:rtl/>
        </w:rPr>
        <w:t>ניתן בזאת צו להשמדת המוצגים.</w:t>
      </w:r>
    </w:p>
    <w:p w14:paraId="40D99FC8" w14:textId="77777777" w:rsidR="00062F2A" w:rsidRDefault="00941ABF">
      <w:pPr>
        <w:spacing w:line="360" w:lineRule="auto"/>
        <w:ind w:left="720" w:hanging="720"/>
        <w:jc w:val="both"/>
        <w:rPr>
          <w:rtl/>
        </w:rPr>
      </w:pPr>
      <w:r>
        <w:rPr>
          <w:rFonts w:hint="cs"/>
          <w:rtl/>
        </w:rPr>
        <w:t>זכות ערעור כדין.</w:t>
      </w:r>
    </w:p>
    <w:p w14:paraId="77D385C2" w14:textId="77777777" w:rsidR="00062F2A" w:rsidRDefault="00941ABF">
      <w:pPr>
        <w:spacing w:line="360" w:lineRule="auto"/>
        <w:ind w:left="720" w:hanging="720"/>
        <w:jc w:val="both"/>
        <w:rPr>
          <w:rtl/>
        </w:rPr>
      </w:pPr>
      <w:r>
        <w:rPr>
          <w:rFonts w:hint="cs"/>
          <w:rtl/>
        </w:rPr>
        <w:t>העתק הפרוטוקול יועבר לשירות המבחן.</w:t>
      </w:r>
    </w:p>
    <w:p w14:paraId="08BF55F8" w14:textId="77777777" w:rsidR="00062F2A" w:rsidRDefault="00062F2A">
      <w:pPr>
        <w:rPr>
          <w:rtl/>
        </w:rPr>
      </w:pPr>
    </w:p>
    <w:p w14:paraId="2F51D38D" w14:textId="77777777" w:rsidR="00062F2A" w:rsidRPr="00941ABF" w:rsidRDefault="00941ABF">
      <w:pPr>
        <w:rPr>
          <w:color w:val="FFFFFF"/>
          <w:sz w:val="2"/>
          <w:szCs w:val="2"/>
          <w:rtl/>
        </w:rPr>
      </w:pPr>
      <w:r w:rsidRPr="00941ABF">
        <w:rPr>
          <w:color w:val="FFFFFF"/>
          <w:sz w:val="2"/>
          <w:szCs w:val="2"/>
          <w:rtl/>
        </w:rPr>
        <w:t>5129371</w:t>
      </w:r>
    </w:p>
    <w:p w14:paraId="712D947F" w14:textId="77777777" w:rsidR="00062F2A" w:rsidRDefault="00941ABF">
      <w:pPr>
        <w:rPr>
          <w:rFonts w:cs="FrankRuehl"/>
          <w:sz w:val="28"/>
          <w:szCs w:val="28"/>
          <w:rtl/>
        </w:rPr>
      </w:pPr>
      <w:r w:rsidRPr="00941ABF">
        <w:rPr>
          <w:rFonts w:ascii="Arial" w:hAnsi="Arial"/>
          <w:color w:val="FFFFFF"/>
          <w:sz w:val="2"/>
          <w:szCs w:val="2"/>
          <w:rtl/>
        </w:rPr>
        <w:t>54678313</w:t>
      </w:r>
      <w:r>
        <w:rPr>
          <w:rFonts w:ascii="Arial" w:hAnsi="Arial"/>
          <w:rtl/>
        </w:rPr>
        <w:t xml:space="preserve">ניתן היום,  כ"ד אלול תשע"ה, 08 ספטמבר 2015, במעמד הצדדים. </w:t>
      </w:r>
    </w:p>
    <w:p w14:paraId="7CA6C8E4" w14:textId="77777777" w:rsidR="00062F2A" w:rsidRDefault="00941AB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575BD4E" w14:textId="77777777" w:rsidR="00062F2A" w:rsidRDefault="00062F2A">
      <w:pPr>
        <w:jc w:val="center"/>
        <w:rPr>
          <w:rFonts w:ascii="Arial" w:hAnsi="Arial" w:cs="FrankRuehl"/>
          <w:sz w:val="28"/>
          <w:szCs w:val="28"/>
          <w:rtl/>
        </w:rPr>
      </w:pPr>
    </w:p>
    <w:p w14:paraId="30EC1129" w14:textId="77777777" w:rsidR="00062F2A" w:rsidRDefault="00062F2A">
      <w:pPr>
        <w:rPr>
          <w:rFonts w:cs="FrankRuehl"/>
          <w:sz w:val="28"/>
          <w:szCs w:val="28"/>
          <w:rtl/>
        </w:rPr>
      </w:pPr>
    </w:p>
    <w:p w14:paraId="6B5B11BB" w14:textId="77777777" w:rsidR="00062F2A" w:rsidRDefault="00062F2A">
      <w:pPr>
        <w:pStyle w:val="a3"/>
        <w:jc w:val="center"/>
        <w:rPr>
          <w:rtl/>
        </w:rPr>
      </w:pPr>
    </w:p>
    <w:p w14:paraId="1FC429D9" w14:textId="77777777" w:rsidR="00941ABF" w:rsidRPr="00941ABF" w:rsidRDefault="00941ABF" w:rsidP="00941ABF">
      <w:pPr>
        <w:keepNext/>
        <w:rPr>
          <w:rFonts w:ascii="David" w:hAnsi="David"/>
          <w:color w:val="000000"/>
          <w:sz w:val="22"/>
          <w:szCs w:val="22"/>
          <w:rtl/>
        </w:rPr>
      </w:pPr>
    </w:p>
    <w:p w14:paraId="43862780" w14:textId="77777777" w:rsidR="00941ABF" w:rsidRPr="00941ABF" w:rsidRDefault="00941ABF" w:rsidP="00941ABF">
      <w:pPr>
        <w:keepNext/>
        <w:rPr>
          <w:rFonts w:ascii="David" w:hAnsi="David"/>
          <w:color w:val="000000"/>
          <w:sz w:val="22"/>
          <w:szCs w:val="22"/>
          <w:rtl/>
        </w:rPr>
      </w:pPr>
      <w:r w:rsidRPr="00941ABF">
        <w:rPr>
          <w:rFonts w:ascii="David" w:hAnsi="David"/>
          <w:color w:val="000000"/>
          <w:sz w:val="22"/>
          <w:szCs w:val="22"/>
          <w:rtl/>
        </w:rPr>
        <w:t>אליאנא דניאלי 54678313</w:t>
      </w:r>
    </w:p>
    <w:p w14:paraId="0CA61FC9" w14:textId="77777777" w:rsidR="00941ABF" w:rsidRDefault="00941ABF" w:rsidP="00941ABF">
      <w:r w:rsidRPr="00941ABF">
        <w:rPr>
          <w:color w:val="000000"/>
          <w:rtl/>
        </w:rPr>
        <w:t>נוסח מסמך זה כפוף לשינויי ניסוח ועריכה</w:t>
      </w:r>
    </w:p>
    <w:p w14:paraId="5C1E2408" w14:textId="77777777" w:rsidR="00941ABF" w:rsidRDefault="00941ABF" w:rsidP="00941ABF">
      <w:pPr>
        <w:rPr>
          <w:rtl/>
        </w:rPr>
      </w:pPr>
    </w:p>
    <w:p w14:paraId="0B5921B9" w14:textId="77777777" w:rsidR="00941ABF" w:rsidRDefault="00941ABF" w:rsidP="00941ABF">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756F6F60" w14:textId="77777777" w:rsidR="00062F2A" w:rsidRDefault="00062F2A" w:rsidP="00941ABF">
      <w:pPr>
        <w:jc w:val="center"/>
        <w:rPr>
          <w:rFonts w:hint="cs"/>
          <w:color w:val="0000FF"/>
          <w:u w:val="single"/>
          <w:rtl/>
        </w:rPr>
      </w:pPr>
    </w:p>
    <w:p w14:paraId="4F10A66B" w14:textId="77777777" w:rsidR="00083F41" w:rsidRDefault="00083F41" w:rsidP="00941ABF">
      <w:pPr>
        <w:jc w:val="center"/>
        <w:rPr>
          <w:rFonts w:hint="cs"/>
          <w:color w:val="0000FF"/>
          <w:u w:val="single"/>
          <w:rtl/>
        </w:rPr>
      </w:pPr>
    </w:p>
    <w:p w14:paraId="4CCD2A1E" w14:textId="77777777" w:rsidR="00083F41" w:rsidRPr="00941ABF" w:rsidRDefault="00083F41" w:rsidP="00941ABF">
      <w:pPr>
        <w:jc w:val="center"/>
        <w:rPr>
          <w:color w:val="0000FF"/>
          <w:u w:val="single"/>
        </w:rPr>
      </w:pPr>
    </w:p>
    <w:sectPr w:rsidR="00083F41" w:rsidRPr="00941ABF" w:rsidSect="00941ABF">
      <w:headerReference w:type="even" r:id="rId11"/>
      <w:headerReference w:type="default" r:id="rId12"/>
      <w:footerReference w:type="even" r:id="rId13"/>
      <w:footerReference w:type="default" r:id="rId1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28ECA1" w14:textId="77777777" w:rsidR="00234F17" w:rsidRDefault="00234F17">
      <w:r>
        <w:separator/>
      </w:r>
    </w:p>
  </w:endnote>
  <w:endnote w:type="continuationSeparator" w:id="0">
    <w:p w14:paraId="3DED3BA8" w14:textId="77777777" w:rsidR="00234F17" w:rsidRDefault="00234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F3224" w14:textId="77777777" w:rsidR="00234F17" w:rsidRDefault="00234F17" w:rsidP="00941AB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9A39799" w14:textId="77777777" w:rsidR="00234F17" w:rsidRPr="00941ABF" w:rsidRDefault="00234F17" w:rsidP="00941ABF">
    <w:pPr>
      <w:pStyle w:val="a4"/>
      <w:pBdr>
        <w:top w:val="single" w:sz="4" w:space="1" w:color="auto"/>
        <w:between w:val="single" w:sz="4" w:space="0" w:color="auto"/>
      </w:pBdr>
      <w:spacing w:after="60"/>
      <w:jc w:val="center"/>
      <w:rPr>
        <w:rFonts w:ascii="FrankRuehl" w:hAnsi="FrankRuehl" w:cs="FrankRuehl"/>
        <w:color w:val="000000"/>
      </w:rPr>
    </w:pPr>
    <w:r w:rsidRPr="00941AB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DDE02" w14:textId="77777777" w:rsidR="00234F17" w:rsidRDefault="00234F17" w:rsidP="00941AB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80F20">
      <w:rPr>
        <w:rFonts w:ascii="FrankRuehl" w:hAnsi="FrankRuehl" w:cs="FrankRuehl"/>
        <w:noProof/>
        <w:rtl/>
      </w:rPr>
      <w:t>1</w:t>
    </w:r>
    <w:r>
      <w:rPr>
        <w:rFonts w:ascii="FrankRuehl" w:hAnsi="FrankRuehl" w:cs="FrankRuehl"/>
        <w:rtl/>
      </w:rPr>
      <w:fldChar w:fldCharType="end"/>
    </w:r>
  </w:p>
  <w:p w14:paraId="014AE24D" w14:textId="77777777" w:rsidR="00234F17" w:rsidRPr="00941ABF" w:rsidRDefault="00234F17" w:rsidP="00941ABF">
    <w:pPr>
      <w:pStyle w:val="a4"/>
      <w:pBdr>
        <w:top w:val="single" w:sz="4" w:space="1" w:color="auto"/>
        <w:between w:val="single" w:sz="4" w:space="0" w:color="auto"/>
      </w:pBdr>
      <w:spacing w:after="60"/>
      <w:jc w:val="center"/>
      <w:rPr>
        <w:rFonts w:ascii="FrankRuehl" w:hAnsi="FrankRuehl" w:cs="FrankRuehl"/>
        <w:color w:val="000000"/>
      </w:rPr>
    </w:pPr>
    <w:r w:rsidRPr="00941ABF">
      <w:rPr>
        <w:rFonts w:ascii="FrankRuehl" w:hAnsi="FrankRuehl" w:cs="FrankRuehl"/>
        <w:color w:val="000000"/>
      </w:rPr>
      <w:pict w14:anchorId="5EB0D2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7BC365" w14:textId="77777777" w:rsidR="00234F17" w:rsidRDefault="00234F17">
      <w:r>
        <w:separator/>
      </w:r>
    </w:p>
  </w:footnote>
  <w:footnote w:type="continuationSeparator" w:id="0">
    <w:p w14:paraId="1CEB24AF" w14:textId="77777777" w:rsidR="00234F17" w:rsidRDefault="00234F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885C2" w14:textId="77777777" w:rsidR="00234F17" w:rsidRPr="00941ABF" w:rsidRDefault="00234F17" w:rsidP="00941AB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13426-06-13</w:t>
    </w:r>
    <w:r>
      <w:rPr>
        <w:rFonts w:ascii="David" w:hAnsi="David"/>
        <w:color w:val="000000"/>
        <w:sz w:val="22"/>
        <w:szCs w:val="22"/>
        <w:rtl/>
      </w:rPr>
      <w:tab/>
      <w:t xml:space="preserve"> מדינת ישראל נ' עדי תובל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6B677" w14:textId="77777777" w:rsidR="00234F17" w:rsidRPr="00941ABF" w:rsidRDefault="00234F17" w:rsidP="00941AB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13426-06-13</w:t>
    </w:r>
    <w:r>
      <w:rPr>
        <w:rFonts w:ascii="David" w:hAnsi="David"/>
        <w:color w:val="000000"/>
        <w:sz w:val="22"/>
        <w:szCs w:val="22"/>
        <w:rtl/>
      </w:rPr>
      <w:tab/>
      <w:t xml:space="preserve"> מדינת ישראל נ' עדי תובל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62F2A"/>
    <w:rsid w:val="00062F2A"/>
    <w:rsid w:val="00083F41"/>
    <w:rsid w:val="00234F17"/>
    <w:rsid w:val="002E1038"/>
    <w:rsid w:val="0070772B"/>
    <w:rsid w:val="00726294"/>
    <w:rsid w:val="007B438B"/>
    <w:rsid w:val="00941ABF"/>
    <w:rsid w:val="009E75D1"/>
    <w:rsid w:val="00B53C36"/>
    <w:rsid w:val="00C153B9"/>
    <w:rsid w:val="00D327DD"/>
    <w:rsid w:val="00F80F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3194382"/>
  <w15:chartTrackingRefBased/>
  <w15:docId w15:val="{371E89F9-5216-4FFD-A5FC-94412B758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62F2A"/>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62F2A"/>
    <w:pPr>
      <w:tabs>
        <w:tab w:val="center" w:pos="4153"/>
        <w:tab w:val="right" w:pos="8306"/>
      </w:tabs>
    </w:pPr>
  </w:style>
  <w:style w:type="paragraph" w:styleId="a4">
    <w:name w:val="footer"/>
    <w:basedOn w:val="a"/>
    <w:rsid w:val="00062F2A"/>
    <w:pPr>
      <w:tabs>
        <w:tab w:val="center" w:pos="4153"/>
        <w:tab w:val="right" w:pos="8306"/>
      </w:tabs>
    </w:pPr>
  </w:style>
  <w:style w:type="character" w:styleId="a5">
    <w:name w:val="page number"/>
    <w:basedOn w:val="a0"/>
    <w:rsid w:val="00062F2A"/>
  </w:style>
  <w:style w:type="character" w:styleId="Hyperlink">
    <w:name w:val="Hyperlink"/>
    <w:rsid w:val="00941A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d.a"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70301/40d.a"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789</Words>
  <Characters>3946</Characters>
  <Application>Microsoft Office Word</Application>
  <DocSecurity>0</DocSecurity>
  <Lines>32</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4726</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7995492</vt:i4>
      </vt:variant>
      <vt:variant>
        <vt:i4>9</vt:i4>
      </vt:variant>
      <vt:variant>
        <vt:i4>0</vt:i4>
      </vt:variant>
      <vt:variant>
        <vt:i4>5</vt:i4>
      </vt:variant>
      <vt:variant>
        <vt:lpwstr>http://www.nevo.co.il/law/70301</vt:lpwstr>
      </vt:variant>
      <vt:variant>
        <vt:lpwstr/>
      </vt:variant>
      <vt:variant>
        <vt:i4>4915205</vt:i4>
      </vt:variant>
      <vt:variant>
        <vt:i4>6</vt:i4>
      </vt:variant>
      <vt:variant>
        <vt:i4>0</vt:i4>
      </vt:variant>
      <vt:variant>
        <vt:i4>5</vt:i4>
      </vt:variant>
      <vt:variant>
        <vt:lpwstr>http://www.nevo.co.il/law/70301/40d.a</vt:lpwstr>
      </vt:variant>
      <vt:variant>
        <vt:lpwstr/>
      </vt:variant>
      <vt:variant>
        <vt:i4>4915205</vt:i4>
      </vt:variant>
      <vt:variant>
        <vt:i4>3</vt:i4>
      </vt:variant>
      <vt:variant>
        <vt:i4>0</vt:i4>
      </vt:variant>
      <vt:variant>
        <vt:i4>5</vt:i4>
      </vt:variant>
      <vt:variant>
        <vt:lpwstr>http://www.nevo.co.il/law/70301/40d.a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2025-04-22T22:03:00Z</dcterms:created>
  <dcterms:modified xsi:type="dcterms:W3CDTF">2025-04-22T22:03:00Z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13426</vt:lpwstr>
  </property>
  <property fmtid="{D5CDD505-2E9C-101B-9397-08002B2CF9AE}" pid="6" name="NEWPARTB">
    <vt:lpwstr>06</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עדי תובל</vt:lpwstr>
  </property>
  <property fmtid="{D5CDD505-2E9C-101B-9397-08002B2CF9AE}" pid="10" name="JUDGE">
    <vt:lpwstr>אליאנא דניאלי</vt:lpwstr>
  </property>
  <property fmtid="{D5CDD505-2E9C-101B-9397-08002B2CF9AE}" pid="11" name="CITY">
    <vt:lpwstr>פ"ת</vt:lpwstr>
  </property>
  <property fmtid="{D5CDD505-2E9C-101B-9397-08002B2CF9AE}" pid="12" name="DATE">
    <vt:lpwstr>20150908</vt:lpwstr>
  </property>
  <property fmtid="{D5CDD505-2E9C-101B-9397-08002B2CF9AE}" pid="13" name="TYPE_N_DATE">
    <vt:lpwstr>38020150908</vt:lpwstr>
  </property>
  <property fmtid="{D5CDD505-2E9C-101B-9397-08002B2CF9AE}" pid="14" name="WORDNUMPAGES">
    <vt:lpwstr>4</vt:lpwstr>
  </property>
  <property fmtid="{D5CDD505-2E9C-101B-9397-08002B2CF9AE}" pid="15" name="TYPE_ABS_DATE">
    <vt:lpwstr>380020150908</vt:lpwstr>
  </property>
  <property fmtid="{D5CDD505-2E9C-101B-9397-08002B2CF9AE}" pid="16" name="LAWLISTTMP1">
    <vt:lpwstr>70301/040d.a</vt:lpwstr>
  </property>
</Properties>
</file>