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6"/>
        <w:gridCol w:w="3655"/>
      </w:tblGrid>
      <w:tr w:rsidR="00BE20C2" w:rsidRPr="00CC2E5A" w14:paraId="0EAA8C4C" w14:textId="77777777">
        <w:trPr>
          <w:trHeight w:hRule="exact" w:val="418"/>
          <w:jc w:val="center"/>
        </w:trPr>
        <w:tc>
          <w:tcPr>
            <w:tcW w:w="8721" w:type="dxa"/>
            <w:gridSpan w:val="2"/>
          </w:tcPr>
          <w:p w14:paraId="3313838D" w14:textId="77777777" w:rsidR="00BE20C2" w:rsidRPr="00CC2E5A" w:rsidRDefault="00CC2E5A">
            <w:pPr>
              <w:pStyle w:val="a3"/>
              <w:jc w:val="center"/>
              <w:rPr>
                <w:rFonts w:ascii="Tahoma" w:hAnsi="Tahoma" w:cs="Tahoma"/>
                <w:color w:val="000080"/>
                <w:rtl/>
              </w:rPr>
            </w:pPr>
            <w:bookmarkStart w:id="0" w:name="LastJudge"/>
            <w:r w:rsidRPr="00CC2E5A">
              <w:rPr>
                <w:rFonts w:ascii="Tahoma" w:hAnsi="Tahoma" w:cs="Tahoma"/>
                <w:b/>
                <w:bCs/>
                <w:color w:val="000080"/>
                <w:rtl/>
              </w:rPr>
              <w:t>בית משפט השלום בירושלים</w:t>
            </w:r>
          </w:p>
        </w:tc>
      </w:tr>
      <w:tr w:rsidR="00BE20C2" w:rsidRPr="00CC2E5A" w14:paraId="05F9365A" w14:textId="77777777">
        <w:trPr>
          <w:trHeight w:val="337"/>
          <w:jc w:val="center"/>
        </w:trPr>
        <w:tc>
          <w:tcPr>
            <w:tcW w:w="5066" w:type="dxa"/>
          </w:tcPr>
          <w:p w14:paraId="3FD4EB71" w14:textId="77777777" w:rsidR="00BE20C2" w:rsidRPr="00CC2E5A" w:rsidRDefault="00CC2E5A">
            <w:pPr>
              <w:rPr>
                <w:rFonts w:cs="FrankRuehl"/>
                <w:sz w:val="28"/>
                <w:szCs w:val="28"/>
                <w:rtl/>
              </w:rPr>
            </w:pPr>
            <w:r w:rsidRPr="00CC2E5A">
              <w:rPr>
                <w:rFonts w:cs="FrankRuehl"/>
                <w:sz w:val="28"/>
                <w:szCs w:val="28"/>
                <w:rtl/>
              </w:rPr>
              <w:t>ת"פ</w:t>
            </w:r>
            <w:r w:rsidRPr="00CC2E5A">
              <w:rPr>
                <w:rFonts w:cs="FrankRuehl" w:hint="cs"/>
                <w:sz w:val="28"/>
                <w:szCs w:val="28"/>
                <w:rtl/>
              </w:rPr>
              <w:t xml:space="preserve"> </w:t>
            </w:r>
            <w:r w:rsidRPr="00CC2E5A">
              <w:rPr>
                <w:rFonts w:cs="FrankRuehl"/>
                <w:sz w:val="28"/>
                <w:szCs w:val="28"/>
                <w:rtl/>
              </w:rPr>
              <w:t>15712-06-13</w:t>
            </w:r>
            <w:r w:rsidRPr="00CC2E5A">
              <w:rPr>
                <w:rFonts w:cs="FrankRuehl" w:hint="cs"/>
                <w:sz w:val="28"/>
                <w:szCs w:val="28"/>
                <w:rtl/>
              </w:rPr>
              <w:t xml:space="preserve"> </w:t>
            </w:r>
            <w:r w:rsidRPr="00CC2E5A">
              <w:rPr>
                <w:rFonts w:cs="FrankRuehl"/>
                <w:sz w:val="28"/>
                <w:szCs w:val="28"/>
                <w:rtl/>
              </w:rPr>
              <w:t>מדינת ישראל נ' אכתילאת(אחר/נוסף)</w:t>
            </w:r>
          </w:p>
          <w:p w14:paraId="665931DA" w14:textId="77777777" w:rsidR="00BE20C2" w:rsidRPr="00CC2E5A" w:rsidRDefault="00BE20C2">
            <w:pPr>
              <w:pStyle w:val="a3"/>
              <w:rPr>
                <w:rFonts w:cs="FrankRuehl"/>
                <w:sz w:val="28"/>
                <w:szCs w:val="28"/>
                <w:rtl/>
              </w:rPr>
            </w:pPr>
          </w:p>
        </w:tc>
        <w:tc>
          <w:tcPr>
            <w:tcW w:w="3655" w:type="dxa"/>
          </w:tcPr>
          <w:p w14:paraId="06DA764E" w14:textId="77777777" w:rsidR="00BE20C2" w:rsidRPr="00CC2E5A" w:rsidRDefault="00BE20C2">
            <w:pPr>
              <w:pStyle w:val="a3"/>
              <w:jc w:val="right"/>
              <w:rPr>
                <w:rFonts w:cs="FrankRuehl"/>
                <w:sz w:val="28"/>
                <w:szCs w:val="28"/>
                <w:rtl/>
              </w:rPr>
            </w:pPr>
          </w:p>
        </w:tc>
      </w:tr>
    </w:tbl>
    <w:p w14:paraId="44A6CE05" w14:textId="77777777" w:rsidR="00BE20C2" w:rsidRPr="00CC2E5A" w:rsidRDefault="00CC2E5A">
      <w:pPr>
        <w:pStyle w:val="a3"/>
        <w:rPr>
          <w:rtl/>
        </w:rPr>
      </w:pPr>
      <w:r w:rsidRPr="00CC2E5A">
        <w:rPr>
          <w:rFonts w:hint="cs"/>
          <w:rtl/>
        </w:rPr>
        <w:t xml:space="preserve"> </w:t>
      </w:r>
    </w:p>
    <w:p w14:paraId="4E3A7FEA" w14:textId="77777777" w:rsidR="00BE20C2" w:rsidRPr="00CC2E5A" w:rsidRDefault="00BE20C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E20C2" w:rsidRPr="00CC2E5A" w14:paraId="1E564A1B" w14:textId="77777777">
        <w:trPr>
          <w:trHeight w:val="295"/>
          <w:jc w:val="center"/>
        </w:trPr>
        <w:tc>
          <w:tcPr>
            <w:tcW w:w="923" w:type="dxa"/>
            <w:tcBorders>
              <w:top w:val="nil"/>
              <w:left w:val="nil"/>
              <w:bottom w:val="nil"/>
              <w:right w:val="nil"/>
            </w:tcBorders>
            <w:shd w:val="clear" w:color="auto" w:fill="auto"/>
          </w:tcPr>
          <w:p w14:paraId="354A15A4" w14:textId="77777777" w:rsidR="00BE20C2" w:rsidRPr="00CC2E5A" w:rsidRDefault="00CC2E5A">
            <w:pPr>
              <w:jc w:val="both"/>
              <w:rPr>
                <w:rFonts w:ascii="Arial" w:hAnsi="Arial" w:cs="FrankRuehl"/>
                <w:sz w:val="28"/>
                <w:szCs w:val="28"/>
              </w:rPr>
            </w:pPr>
            <w:r w:rsidRPr="00CC2E5A">
              <w:rPr>
                <w:rFonts w:ascii="Arial" w:hAnsi="Arial" w:cs="FrankRuehl" w:hint="cs"/>
                <w:sz w:val="28"/>
                <w:szCs w:val="28"/>
                <w:rtl/>
              </w:rPr>
              <w:t>ב</w:t>
            </w:r>
            <w:r w:rsidRPr="00CC2E5A">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762D020D" w14:textId="77777777" w:rsidR="00BE20C2" w:rsidRPr="00CC2E5A" w:rsidRDefault="00CC2E5A">
            <w:pPr>
              <w:rPr>
                <w:rFonts w:ascii="Arial" w:hAnsi="Arial"/>
                <w:b/>
                <w:bCs/>
                <w:rtl/>
              </w:rPr>
            </w:pPr>
            <w:r w:rsidRPr="00CC2E5A">
              <w:rPr>
                <w:rFonts w:ascii="Arial" w:hAnsi="Arial" w:hint="cs"/>
                <w:b/>
                <w:bCs/>
                <w:rtl/>
              </w:rPr>
              <w:t>כבוד ה</w:t>
            </w:r>
            <w:r w:rsidRPr="00CC2E5A">
              <w:rPr>
                <w:rFonts w:hint="cs"/>
                <w:rtl/>
              </w:rPr>
              <w:t>שופט</w:t>
            </w:r>
            <w:r w:rsidRPr="00CC2E5A">
              <w:rPr>
                <w:rFonts w:ascii="Arial" w:hAnsi="Arial" w:hint="cs"/>
                <w:b/>
                <w:bCs/>
                <w:rtl/>
              </w:rPr>
              <w:t xml:space="preserve">  </w:t>
            </w:r>
            <w:r w:rsidRPr="00CC2E5A">
              <w:rPr>
                <w:rFonts w:hint="cs"/>
                <w:rtl/>
              </w:rPr>
              <w:t>איתן קורנהאוזר</w:t>
            </w:r>
          </w:p>
          <w:p w14:paraId="37B4A5E2" w14:textId="77777777" w:rsidR="00BE20C2" w:rsidRPr="00CC2E5A" w:rsidRDefault="00BE20C2">
            <w:pPr>
              <w:rPr>
                <w:rtl/>
              </w:rPr>
            </w:pPr>
          </w:p>
          <w:p w14:paraId="284C9E01" w14:textId="77777777" w:rsidR="00BE20C2" w:rsidRPr="00CC2E5A" w:rsidRDefault="00BE20C2">
            <w:pPr>
              <w:jc w:val="both"/>
              <w:rPr>
                <w:rFonts w:ascii="Arial" w:hAnsi="Arial" w:cs="FrankRuehl"/>
                <w:sz w:val="28"/>
                <w:szCs w:val="28"/>
              </w:rPr>
            </w:pPr>
          </w:p>
        </w:tc>
      </w:tr>
      <w:tr w:rsidR="00BE20C2" w:rsidRPr="00CC2E5A" w14:paraId="32E6EF85" w14:textId="77777777">
        <w:trPr>
          <w:trHeight w:val="355"/>
          <w:jc w:val="center"/>
        </w:trPr>
        <w:tc>
          <w:tcPr>
            <w:tcW w:w="923" w:type="dxa"/>
            <w:tcBorders>
              <w:top w:val="nil"/>
              <w:left w:val="nil"/>
              <w:bottom w:val="nil"/>
              <w:right w:val="nil"/>
            </w:tcBorders>
            <w:shd w:val="clear" w:color="auto" w:fill="auto"/>
          </w:tcPr>
          <w:p w14:paraId="6F65BB0F" w14:textId="77777777" w:rsidR="00BE20C2" w:rsidRPr="00CC2E5A" w:rsidRDefault="00CC2E5A">
            <w:pPr>
              <w:jc w:val="both"/>
              <w:rPr>
                <w:rFonts w:ascii="Arial" w:hAnsi="Arial" w:cs="FrankRuehl"/>
                <w:sz w:val="28"/>
                <w:szCs w:val="28"/>
              </w:rPr>
            </w:pPr>
            <w:bookmarkStart w:id="1" w:name="FirstAppellant"/>
            <w:r w:rsidRPr="00CC2E5A">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2CC612B4" w14:textId="77777777" w:rsidR="00BE20C2" w:rsidRPr="00CC2E5A" w:rsidRDefault="00CC2E5A">
            <w:r w:rsidRPr="00CC2E5A">
              <w:rPr>
                <w:rFonts w:hint="cs"/>
                <w:rtl/>
              </w:rPr>
              <w:t>מדינת ישראל</w:t>
            </w:r>
          </w:p>
        </w:tc>
        <w:tc>
          <w:tcPr>
            <w:tcW w:w="3771" w:type="dxa"/>
            <w:tcBorders>
              <w:top w:val="nil"/>
              <w:left w:val="nil"/>
              <w:bottom w:val="nil"/>
              <w:right w:val="nil"/>
            </w:tcBorders>
            <w:shd w:val="clear" w:color="auto" w:fill="auto"/>
          </w:tcPr>
          <w:p w14:paraId="45C85EBA" w14:textId="77777777" w:rsidR="00BE20C2" w:rsidRPr="00CC2E5A" w:rsidRDefault="00BE20C2">
            <w:pPr>
              <w:jc w:val="both"/>
              <w:rPr>
                <w:rFonts w:ascii="Arial" w:hAnsi="Arial" w:cs="FrankRuehl"/>
                <w:sz w:val="28"/>
                <w:szCs w:val="28"/>
              </w:rPr>
            </w:pPr>
          </w:p>
        </w:tc>
      </w:tr>
      <w:bookmarkEnd w:id="1"/>
      <w:tr w:rsidR="00BE20C2" w:rsidRPr="00CC2E5A" w14:paraId="1D68D2C2" w14:textId="77777777">
        <w:trPr>
          <w:trHeight w:val="355"/>
          <w:jc w:val="center"/>
        </w:trPr>
        <w:tc>
          <w:tcPr>
            <w:tcW w:w="923" w:type="dxa"/>
            <w:tcBorders>
              <w:top w:val="nil"/>
              <w:left w:val="nil"/>
              <w:bottom w:val="nil"/>
              <w:right w:val="nil"/>
            </w:tcBorders>
            <w:shd w:val="clear" w:color="auto" w:fill="auto"/>
          </w:tcPr>
          <w:p w14:paraId="607F9502" w14:textId="77777777" w:rsidR="00BE20C2" w:rsidRPr="00CC2E5A" w:rsidRDefault="00BE20C2">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98469CF" w14:textId="77777777" w:rsidR="00BE20C2" w:rsidRPr="00CC2E5A" w:rsidRDefault="00BE20C2">
            <w:pPr>
              <w:jc w:val="both"/>
              <w:rPr>
                <w:rtl/>
              </w:rPr>
            </w:pPr>
          </w:p>
        </w:tc>
        <w:tc>
          <w:tcPr>
            <w:tcW w:w="3771" w:type="dxa"/>
            <w:tcBorders>
              <w:top w:val="nil"/>
              <w:left w:val="nil"/>
              <w:bottom w:val="nil"/>
              <w:right w:val="nil"/>
            </w:tcBorders>
            <w:shd w:val="clear" w:color="auto" w:fill="auto"/>
          </w:tcPr>
          <w:p w14:paraId="07DBFC40" w14:textId="77777777" w:rsidR="00BE20C2" w:rsidRPr="00CC2E5A" w:rsidRDefault="00CC2E5A">
            <w:pPr>
              <w:jc w:val="right"/>
              <w:rPr>
                <w:rFonts w:ascii="Arial" w:hAnsi="Arial" w:cs="FrankRuehl"/>
                <w:sz w:val="28"/>
                <w:szCs w:val="28"/>
                <w:rtl/>
              </w:rPr>
            </w:pPr>
            <w:r w:rsidRPr="00CC2E5A">
              <w:rPr>
                <w:rFonts w:ascii="Arial" w:hAnsi="Arial" w:cs="FrankRuehl" w:hint="cs"/>
                <w:sz w:val="28"/>
                <w:szCs w:val="28"/>
                <w:rtl/>
              </w:rPr>
              <w:t>ה</w:t>
            </w:r>
            <w:r w:rsidRPr="00CC2E5A">
              <w:rPr>
                <w:rFonts w:hint="cs"/>
                <w:rtl/>
              </w:rPr>
              <w:t>מאשימה</w:t>
            </w:r>
          </w:p>
        </w:tc>
      </w:tr>
      <w:tr w:rsidR="00BE20C2" w:rsidRPr="00CC2E5A" w14:paraId="445B7D29" w14:textId="77777777">
        <w:trPr>
          <w:trHeight w:val="355"/>
          <w:jc w:val="center"/>
        </w:trPr>
        <w:tc>
          <w:tcPr>
            <w:tcW w:w="923" w:type="dxa"/>
            <w:tcBorders>
              <w:top w:val="nil"/>
              <w:left w:val="nil"/>
              <w:bottom w:val="nil"/>
              <w:right w:val="nil"/>
            </w:tcBorders>
            <w:shd w:val="clear" w:color="auto" w:fill="auto"/>
          </w:tcPr>
          <w:p w14:paraId="596A1618" w14:textId="77777777" w:rsidR="00BE20C2" w:rsidRPr="00CC2E5A" w:rsidRDefault="00BE20C2">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55DE8AB5" w14:textId="77777777" w:rsidR="00BE20C2" w:rsidRPr="00CC2E5A" w:rsidRDefault="00BE20C2">
            <w:pPr>
              <w:jc w:val="center"/>
              <w:rPr>
                <w:rFonts w:ascii="Arial" w:hAnsi="Arial" w:cs="FrankRuehl"/>
                <w:b/>
                <w:bCs/>
                <w:sz w:val="28"/>
                <w:szCs w:val="28"/>
                <w:rtl/>
              </w:rPr>
            </w:pPr>
          </w:p>
          <w:p w14:paraId="557C227C" w14:textId="77777777" w:rsidR="00BE20C2" w:rsidRPr="00CC2E5A" w:rsidRDefault="00CC2E5A">
            <w:pPr>
              <w:jc w:val="center"/>
              <w:rPr>
                <w:rFonts w:ascii="Arial" w:hAnsi="Arial" w:cs="FrankRuehl"/>
                <w:b/>
                <w:bCs/>
                <w:sz w:val="28"/>
                <w:szCs w:val="28"/>
                <w:rtl/>
              </w:rPr>
            </w:pPr>
            <w:r w:rsidRPr="00CC2E5A">
              <w:rPr>
                <w:rFonts w:ascii="Arial" w:hAnsi="Arial" w:cs="FrankRuehl"/>
                <w:b/>
                <w:bCs/>
                <w:sz w:val="28"/>
                <w:szCs w:val="28"/>
                <w:rtl/>
              </w:rPr>
              <w:t>נגד</w:t>
            </w:r>
          </w:p>
          <w:p w14:paraId="1643DBFF" w14:textId="77777777" w:rsidR="00BE20C2" w:rsidRPr="00CC2E5A" w:rsidRDefault="00BE20C2">
            <w:pPr>
              <w:jc w:val="both"/>
              <w:rPr>
                <w:rFonts w:ascii="Arial" w:hAnsi="Arial" w:cs="FrankRuehl"/>
                <w:sz w:val="28"/>
                <w:szCs w:val="28"/>
              </w:rPr>
            </w:pPr>
          </w:p>
        </w:tc>
      </w:tr>
      <w:tr w:rsidR="00BE20C2" w:rsidRPr="00CC2E5A" w14:paraId="0CCA484E" w14:textId="77777777">
        <w:trPr>
          <w:trHeight w:val="355"/>
          <w:jc w:val="center"/>
        </w:trPr>
        <w:tc>
          <w:tcPr>
            <w:tcW w:w="923" w:type="dxa"/>
            <w:tcBorders>
              <w:top w:val="nil"/>
              <w:left w:val="nil"/>
              <w:bottom w:val="nil"/>
              <w:right w:val="nil"/>
            </w:tcBorders>
            <w:shd w:val="clear" w:color="auto" w:fill="auto"/>
          </w:tcPr>
          <w:p w14:paraId="04DD583A" w14:textId="77777777" w:rsidR="00BE20C2" w:rsidRPr="00CC2E5A" w:rsidRDefault="00BE20C2">
            <w:pPr>
              <w:rPr>
                <w:rFonts w:ascii="Arial" w:hAnsi="Arial" w:cs="FrankRuehl"/>
                <w:sz w:val="28"/>
                <w:szCs w:val="28"/>
                <w:rtl/>
              </w:rPr>
            </w:pPr>
          </w:p>
        </w:tc>
        <w:tc>
          <w:tcPr>
            <w:tcW w:w="4126" w:type="dxa"/>
            <w:tcBorders>
              <w:top w:val="nil"/>
              <w:left w:val="nil"/>
              <w:bottom w:val="nil"/>
              <w:right w:val="nil"/>
            </w:tcBorders>
            <w:shd w:val="clear" w:color="auto" w:fill="auto"/>
          </w:tcPr>
          <w:p w14:paraId="3A8E63BD" w14:textId="77777777" w:rsidR="00BE20C2" w:rsidRPr="00CC2E5A" w:rsidRDefault="00CC2E5A">
            <w:pPr>
              <w:rPr>
                <w:rtl/>
              </w:rPr>
            </w:pPr>
            <w:r w:rsidRPr="00CC2E5A">
              <w:rPr>
                <w:rFonts w:hint="cs"/>
                <w:rtl/>
              </w:rPr>
              <w:t>ואסים</w:t>
            </w:r>
            <w:r w:rsidRPr="00CC2E5A">
              <w:rPr>
                <w:rFonts w:ascii="Arial" w:hAnsi="Arial" w:cs="FrankRuehl"/>
                <w:sz w:val="28"/>
                <w:szCs w:val="28"/>
                <w:rtl/>
              </w:rPr>
              <w:t xml:space="preserve"> </w:t>
            </w:r>
            <w:r w:rsidRPr="00CC2E5A">
              <w:rPr>
                <w:rFonts w:ascii="Arial" w:hAnsi="Arial" w:cs="FrankRuehl" w:hint="cs"/>
                <w:sz w:val="28"/>
                <w:szCs w:val="28"/>
                <w:rtl/>
              </w:rPr>
              <w:t>אכתילאת</w:t>
            </w:r>
          </w:p>
        </w:tc>
        <w:tc>
          <w:tcPr>
            <w:tcW w:w="3771" w:type="dxa"/>
            <w:tcBorders>
              <w:top w:val="nil"/>
              <w:left w:val="nil"/>
              <w:bottom w:val="nil"/>
              <w:right w:val="nil"/>
            </w:tcBorders>
            <w:shd w:val="clear" w:color="auto" w:fill="auto"/>
          </w:tcPr>
          <w:p w14:paraId="03952C1F" w14:textId="77777777" w:rsidR="00BE20C2" w:rsidRPr="00CC2E5A" w:rsidRDefault="00BE20C2">
            <w:pPr>
              <w:jc w:val="right"/>
              <w:rPr>
                <w:rFonts w:ascii="Arial" w:hAnsi="Arial" w:cs="FrankRuehl"/>
                <w:sz w:val="28"/>
                <w:szCs w:val="28"/>
              </w:rPr>
            </w:pPr>
          </w:p>
        </w:tc>
      </w:tr>
      <w:tr w:rsidR="00BE20C2" w:rsidRPr="00CC2E5A" w14:paraId="5B6FE0BE" w14:textId="77777777">
        <w:trPr>
          <w:trHeight w:val="355"/>
          <w:jc w:val="center"/>
        </w:trPr>
        <w:tc>
          <w:tcPr>
            <w:tcW w:w="923" w:type="dxa"/>
            <w:tcBorders>
              <w:top w:val="nil"/>
              <w:left w:val="nil"/>
              <w:bottom w:val="nil"/>
              <w:right w:val="nil"/>
            </w:tcBorders>
            <w:shd w:val="clear" w:color="auto" w:fill="auto"/>
          </w:tcPr>
          <w:p w14:paraId="47447DCD" w14:textId="77777777" w:rsidR="00BE20C2" w:rsidRPr="00CC2E5A" w:rsidRDefault="00BE20C2">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99AF46C" w14:textId="77777777" w:rsidR="00BE20C2" w:rsidRPr="00CC2E5A" w:rsidRDefault="00BE20C2">
            <w:pPr>
              <w:jc w:val="both"/>
              <w:rPr>
                <w:rtl/>
              </w:rPr>
            </w:pPr>
          </w:p>
        </w:tc>
        <w:tc>
          <w:tcPr>
            <w:tcW w:w="3771" w:type="dxa"/>
            <w:tcBorders>
              <w:top w:val="nil"/>
              <w:left w:val="nil"/>
              <w:bottom w:val="nil"/>
              <w:right w:val="nil"/>
            </w:tcBorders>
            <w:shd w:val="clear" w:color="auto" w:fill="auto"/>
          </w:tcPr>
          <w:p w14:paraId="389F89A2" w14:textId="77777777" w:rsidR="00BE20C2" w:rsidRPr="00CC2E5A" w:rsidRDefault="00CC2E5A">
            <w:pPr>
              <w:jc w:val="right"/>
              <w:rPr>
                <w:rFonts w:ascii="Arial" w:hAnsi="Arial" w:cs="FrankRuehl"/>
                <w:sz w:val="28"/>
                <w:szCs w:val="28"/>
              </w:rPr>
            </w:pPr>
            <w:r w:rsidRPr="00CC2E5A">
              <w:rPr>
                <w:rFonts w:ascii="Arial" w:hAnsi="Arial" w:cs="FrankRuehl" w:hint="cs"/>
                <w:sz w:val="28"/>
                <w:szCs w:val="28"/>
                <w:rtl/>
              </w:rPr>
              <w:t>ה</w:t>
            </w:r>
            <w:r w:rsidRPr="00CC2E5A">
              <w:rPr>
                <w:rFonts w:hint="cs"/>
                <w:rtl/>
              </w:rPr>
              <w:t>נאשם</w:t>
            </w:r>
          </w:p>
        </w:tc>
      </w:tr>
    </w:tbl>
    <w:p w14:paraId="6E0DD181" w14:textId="77777777" w:rsidR="00F55B1E" w:rsidRDefault="00F55B1E">
      <w:pPr>
        <w:rPr>
          <w:rtl/>
        </w:rPr>
      </w:pPr>
      <w:bookmarkStart w:id="2" w:name="LawTable"/>
      <w:bookmarkEnd w:id="2"/>
    </w:p>
    <w:p w14:paraId="232B4511" w14:textId="77777777" w:rsidR="00F55B1E" w:rsidRPr="00F55B1E" w:rsidRDefault="00F55B1E" w:rsidP="00F55B1E">
      <w:pPr>
        <w:spacing w:after="120" w:line="240" w:lineRule="exact"/>
        <w:ind w:left="283" w:hanging="283"/>
        <w:jc w:val="both"/>
        <w:rPr>
          <w:rFonts w:ascii="FrankRuehl" w:hAnsi="FrankRuehl" w:cs="FrankRuehl"/>
          <w:rtl/>
        </w:rPr>
      </w:pPr>
    </w:p>
    <w:p w14:paraId="4E0552C0" w14:textId="77777777" w:rsidR="00F55B1E" w:rsidRPr="00F55B1E" w:rsidRDefault="00F55B1E" w:rsidP="00F55B1E">
      <w:pPr>
        <w:spacing w:after="120" w:line="240" w:lineRule="exact"/>
        <w:ind w:left="283" w:hanging="283"/>
        <w:jc w:val="both"/>
        <w:rPr>
          <w:rFonts w:ascii="FrankRuehl" w:hAnsi="FrankRuehl" w:cs="FrankRuehl"/>
          <w:rtl/>
        </w:rPr>
      </w:pPr>
      <w:r w:rsidRPr="00F55B1E">
        <w:rPr>
          <w:rFonts w:ascii="FrankRuehl" w:hAnsi="FrankRuehl" w:cs="FrankRuehl"/>
          <w:rtl/>
        </w:rPr>
        <w:t xml:space="preserve">חקיקה שאוזכרה: </w:t>
      </w:r>
    </w:p>
    <w:p w14:paraId="3D4464B8" w14:textId="77777777" w:rsidR="00F55B1E" w:rsidRPr="00F55B1E" w:rsidRDefault="00F55B1E" w:rsidP="00F55B1E">
      <w:pPr>
        <w:spacing w:after="120" w:line="240" w:lineRule="exact"/>
        <w:ind w:left="283" w:hanging="283"/>
        <w:jc w:val="both"/>
        <w:rPr>
          <w:rFonts w:ascii="FrankRuehl" w:hAnsi="FrankRuehl" w:cs="FrankRuehl"/>
          <w:rtl/>
        </w:rPr>
      </w:pPr>
      <w:hyperlink r:id="rId6" w:history="1">
        <w:r w:rsidRPr="00F55B1E">
          <w:rPr>
            <w:rFonts w:ascii="FrankRuehl" w:hAnsi="FrankRuehl" w:cs="FrankRuehl"/>
            <w:color w:val="0000FF"/>
            <w:u w:val="single"/>
            <w:rtl/>
          </w:rPr>
          <w:t>פקודת הסמים המסוכנים [נוסח חדש], תשל"ג-1973</w:t>
        </w:r>
      </w:hyperlink>
      <w:r w:rsidRPr="00F55B1E">
        <w:rPr>
          <w:rFonts w:ascii="FrankRuehl" w:hAnsi="FrankRuehl" w:cs="FrankRuehl"/>
          <w:rtl/>
        </w:rPr>
        <w:t xml:space="preserve">: סע'  </w:t>
      </w:r>
      <w:hyperlink r:id="rId7" w:history="1">
        <w:r w:rsidRPr="00F55B1E">
          <w:rPr>
            <w:rFonts w:ascii="FrankRuehl" w:hAnsi="FrankRuehl" w:cs="FrankRuehl"/>
            <w:color w:val="0000FF"/>
            <w:u w:val="single"/>
            <w:rtl/>
          </w:rPr>
          <w:t>14</w:t>
        </w:r>
      </w:hyperlink>
    </w:p>
    <w:p w14:paraId="03D8BFF0" w14:textId="77777777" w:rsidR="00F55B1E" w:rsidRPr="00F55B1E" w:rsidRDefault="00F55B1E" w:rsidP="00F55B1E">
      <w:pPr>
        <w:spacing w:after="120" w:line="240" w:lineRule="exact"/>
        <w:ind w:left="283" w:hanging="283"/>
        <w:jc w:val="both"/>
        <w:rPr>
          <w:rFonts w:ascii="FrankRuehl" w:hAnsi="FrankRuehl" w:cs="FrankRuehl"/>
          <w:rtl/>
        </w:rPr>
      </w:pPr>
      <w:hyperlink r:id="rId8" w:history="1">
        <w:r w:rsidRPr="00F55B1E">
          <w:rPr>
            <w:rFonts w:ascii="FrankRuehl" w:hAnsi="FrankRuehl" w:cs="FrankRuehl"/>
            <w:color w:val="0000FF"/>
            <w:u w:val="single"/>
            <w:rtl/>
          </w:rPr>
          <w:t>תקנות בריאות העם (עוסקים בסיעוד בבתי חולים), תשמ"ט-1988</w:t>
        </w:r>
      </w:hyperlink>
      <w:r w:rsidRPr="00F55B1E">
        <w:rPr>
          <w:rFonts w:ascii="FrankRuehl" w:hAnsi="FrankRuehl" w:cs="FrankRuehl"/>
          <w:rtl/>
        </w:rPr>
        <w:t xml:space="preserve">: סע'  </w:t>
      </w:r>
      <w:hyperlink r:id="rId9" w:history="1">
        <w:r w:rsidRPr="00F55B1E">
          <w:rPr>
            <w:rFonts w:ascii="FrankRuehl" w:hAnsi="FrankRuehl" w:cs="FrankRuehl"/>
            <w:color w:val="0000FF"/>
            <w:u w:val="single"/>
            <w:rtl/>
          </w:rPr>
          <w:t>5(א)</w:t>
        </w:r>
      </w:hyperlink>
    </w:p>
    <w:p w14:paraId="2D480C8A" w14:textId="77777777" w:rsidR="00F55B1E" w:rsidRPr="00F55B1E" w:rsidRDefault="00F55B1E" w:rsidP="00F55B1E">
      <w:pPr>
        <w:spacing w:after="120" w:line="240" w:lineRule="exact"/>
        <w:ind w:left="283" w:hanging="283"/>
        <w:jc w:val="both"/>
        <w:rPr>
          <w:rFonts w:ascii="FrankRuehl" w:hAnsi="FrankRuehl" w:cs="FrankRuehl"/>
          <w:rtl/>
        </w:rPr>
      </w:pPr>
    </w:p>
    <w:p w14:paraId="4015E65F" w14:textId="77777777" w:rsidR="00F55B1E" w:rsidRPr="00F55B1E" w:rsidRDefault="00F55B1E">
      <w:pPr>
        <w:rPr>
          <w:rtl/>
        </w:rPr>
      </w:pPr>
      <w:bookmarkStart w:id="3" w:name="LawTable_End"/>
      <w:bookmarkEnd w:id="3"/>
    </w:p>
    <w:p w14:paraId="233394FE" w14:textId="77777777" w:rsidR="00C31B18" w:rsidRPr="00C31B18" w:rsidRDefault="00C31B18">
      <w:pPr>
        <w:rPr>
          <w:rtl/>
        </w:rPr>
      </w:pPr>
    </w:p>
    <w:p w14:paraId="0CE79CE2" w14:textId="77777777" w:rsidR="00BE20C2" w:rsidRPr="00CC2E5A" w:rsidRDefault="00BE20C2"/>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E20C2" w14:paraId="7E113B87" w14:textId="77777777">
        <w:trPr>
          <w:trHeight w:val="355"/>
          <w:jc w:val="center"/>
        </w:trPr>
        <w:tc>
          <w:tcPr>
            <w:tcW w:w="8820" w:type="dxa"/>
            <w:tcBorders>
              <w:top w:val="nil"/>
              <w:left w:val="nil"/>
              <w:bottom w:val="nil"/>
              <w:right w:val="nil"/>
            </w:tcBorders>
            <w:shd w:val="clear" w:color="auto" w:fill="auto"/>
          </w:tcPr>
          <w:p w14:paraId="2C7A3DF4" w14:textId="77777777" w:rsidR="00CC2E5A" w:rsidRPr="00CC2E5A" w:rsidRDefault="00CC2E5A" w:rsidP="00CC2E5A">
            <w:pPr>
              <w:jc w:val="center"/>
              <w:rPr>
                <w:rFonts w:ascii="Arial" w:hAnsi="Arial" w:cs="FrankRuehl"/>
                <w:b/>
                <w:bCs/>
                <w:sz w:val="32"/>
                <w:szCs w:val="32"/>
                <w:u w:val="single"/>
                <w:rtl/>
              </w:rPr>
            </w:pPr>
            <w:bookmarkStart w:id="4" w:name="PsakDin" w:colFirst="0" w:colLast="0"/>
            <w:bookmarkEnd w:id="0"/>
            <w:r w:rsidRPr="00CC2E5A">
              <w:rPr>
                <w:rFonts w:ascii="Arial" w:hAnsi="Arial" w:cs="FrankRuehl"/>
                <w:b/>
                <w:bCs/>
                <w:sz w:val="32"/>
                <w:szCs w:val="32"/>
                <w:u w:val="single"/>
                <w:rtl/>
              </w:rPr>
              <w:t>גזר דין</w:t>
            </w:r>
          </w:p>
          <w:p w14:paraId="68A787CA" w14:textId="77777777" w:rsidR="00BE20C2" w:rsidRPr="00CC2E5A" w:rsidRDefault="00BE20C2" w:rsidP="00CC2E5A">
            <w:pPr>
              <w:jc w:val="center"/>
              <w:rPr>
                <w:rFonts w:ascii="Arial" w:hAnsi="Arial" w:cs="FrankRuehl"/>
                <w:bCs/>
                <w:sz w:val="32"/>
                <w:szCs w:val="32"/>
                <w:u w:val="single"/>
                <w:rtl/>
              </w:rPr>
            </w:pPr>
          </w:p>
        </w:tc>
      </w:tr>
    </w:tbl>
    <w:bookmarkEnd w:id="4"/>
    <w:p w14:paraId="7625A080" w14:textId="77777777" w:rsidR="00BE20C2" w:rsidRDefault="00CC2E5A">
      <w:pPr>
        <w:spacing w:after="160" w:line="360" w:lineRule="auto"/>
        <w:jc w:val="both"/>
        <w:rPr>
          <w:rFonts w:ascii="Calibri" w:hAnsi="Calibri"/>
          <w:u w:val="single"/>
          <w:rtl/>
        </w:rPr>
      </w:pPr>
      <w:r>
        <w:rPr>
          <w:rFonts w:ascii="Calibri" w:hAnsi="Calibri" w:hint="eastAsia"/>
          <w:u w:val="single"/>
          <w:rtl/>
        </w:rPr>
        <w:t>רקע</w:t>
      </w:r>
      <w:r>
        <w:rPr>
          <w:rFonts w:ascii="Calibri" w:hAnsi="Calibri"/>
          <w:u w:val="single"/>
          <w:rtl/>
        </w:rPr>
        <w:t xml:space="preserve"> </w:t>
      </w:r>
    </w:p>
    <w:p w14:paraId="1C8B5573" w14:textId="77777777" w:rsidR="00BE20C2" w:rsidRDefault="00CC2E5A">
      <w:pPr>
        <w:spacing w:after="160" w:line="360" w:lineRule="auto"/>
        <w:ind w:left="720" w:hanging="720"/>
        <w:jc w:val="both"/>
        <w:rPr>
          <w:rFonts w:ascii="Calibri" w:hAnsi="Calibri"/>
          <w:rtl/>
        </w:rPr>
      </w:pPr>
      <w:r>
        <w:rPr>
          <w:rFonts w:ascii="Calibri" w:hAnsi="Calibri"/>
          <w:rtl/>
        </w:rPr>
        <w:t xml:space="preserve">1. </w:t>
      </w:r>
      <w:r>
        <w:rPr>
          <w:rFonts w:ascii="Calibri" w:hAnsi="Calibri"/>
          <w:rtl/>
        </w:rPr>
        <w:tab/>
      </w:r>
      <w:r>
        <w:rPr>
          <w:rFonts w:ascii="Calibri" w:hAnsi="Calibri" w:hint="eastAsia"/>
          <w:rtl/>
        </w:rPr>
        <w:t>הנאשם</w:t>
      </w:r>
      <w:r>
        <w:rPr>
          <w:rFonts w:ascii="Calibri" w:hAnsi="Calibri"/>
          <w:rtl/>
        </w:rPr>
        <w:t xml:space="preserve"> </w:t>
      </w:r>
      <w:r>
        <w:rPr>
          <w:rFonts w:ascii="Calibri" w:hAnsi="Calibri" w:hint="eastAsia"/>
          <w:rtl/>
        </w:rPr>
        <w:t>בפני</w:t>
      </w:r>
      <w:r>
        <w:rPr>
          <w:rFonts w:ascii="Calibri" w:hAnsi="Calibri"/>
          <w:rtl/>
        </w:rPr>
        <w:t xml:space="preserve"> </w:t>
      </w:r>
      <w:r>
        <w:rPr>
          <w:rFonts w:ascii="Calibri" w:hAnsi="Calibri" w:hint="eastAsia"/>
          <w:rtl/>
        </w:rPr>
        <w:t>הורשע</w:t>
      </w:r>
      <w:r>
        <w:rPr>
          <w:rFonts w:ascii="Calibri" w:hAnsi="Calibri" w:hint="cs"/>
          <w:rtl/>
        </w:rPr>
        <w:t>,</w:t>
      </w:r>
      <w:r>
        <w:rPr>
          <w:rFonts w:ascii="Calibri" w:hAnsi="Calibri"/>
          <w:rtl/>
        </w:rPr>
        <w:t xml:space="preserve"> </w:t>
      </w:r>
      <w:r>
        <w:rPr>
          <w:rFonts w:ascii="Calibri" w:hAnsi="Calibri" w:hint="cs"/>
          <w:rtl/>
        </w:rPr>
        <w:t>לאחר שמיעת ראיות,</w:t>
      </w:r>
      <w:r>
        <w:rPr>
          <w:rFonts w:ascii="Calibri" w:hAnsi="Calibri"/>
          <w:rtl/>
        </w:rPr>
        <w:t xml:space="preserve"> </w:t>
      </w:r>
      <w:r>
        <w:rPr>
          <w:rFonts w:ascii="Calibri" w:hAnsi="Calibri" w:hint="eastAsia"/>
          <w:rtl/>
        </w:rPr>
        <w:t>בארבע</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תיווך</w:t>
      </w:r>
      <w:r>
        <w:rPr>
          <w:rFonts w:ascii="Calibri" w:hAnsi="Calibri"/>
          <w:rtl/>
        </w:rPr>
        <w:t xml:space="preserve"> </w:t>
      </w:r>
      <w:r>
        <w:rPr>
          <w:rFonts w:ascii="Calibri" w:hAnsi="Calibri" w:hint="eastAsia"/>
          <w:rtl/>
        </w:rPr>
        <w:t>בסם</w:t>
      </w:r>
      <w:r>
        <w:rPr>
          <w:rFonts w:ascii="Calibri" w:hAnsi="Calibri"/>
          <w:rtl/>
        </w:rPr>
        <w:t xml:space="preserve"> </w:t>
      </w:r>
      <w:r>
        <w:rPr>
          <w:rFonts w:ascii="Calibri" w:hAnsi="Calibri" w:hint="eastAsia"/>
          <w:rtl/>
        </w:rPr>
        <w:t>מסוכן</w:t>
      </w:r>
      <w:r>
        <w:rPr>
          <w:rFonts w:ascii="Calibri" w:hAnsi="Calibri" w:hint="cs"/>
          <w:rtl/>
        </w:rPr>
        <w:t>,</w:t>
      </w:r>
      <w:r>
        <w:rPr>
          <w:rFonts w:ascii="Calibri" w:hAnsi="Calibri"/>
          <w:rtl/>
        </w:rPr>
        <w:t xml:space="preserve"> </w:t>
      </w:r>
      <w:r>
        <w:rPr>
          <w:rFonts w:ascii="Calibri" w:hAnsi="Calibri" w:hint="eastAsia"/>
          <w:rtl/>
        </w:rPr>
        <w:t>לפי</w:t>
      </w:r>
      <w:r>
        <w:rPr>
          <w:rFonts w:ascii="Calibri" w:hAnsi="Calibri"/>
          <w:rtl/>
        </w:rPr>
        <w:t xml:space="preserve"> </w:t>
      </w:r>
      <w:hyperlink r:id="rId10" w:history="1">
        <w:r w:rsidR="00C31B18" w:rsidRPr="00C31B18">
          <w:rPr>
            <w:rStyle w:val="Hyperlink"/>
            <w:rFonts w:ascii="Calibri" w:hAnsi="Calibri" w:hint="eastAsia"/>
            <w:rtl/>
          </w:rPr>
          <w:t>סעיף</w:t>
        </w:r>
        <w:r w:rsidR="00C31B18" w:rsidRPr="00C31B18">
          <w:rPr>
            <w:rStyle w:val="Hyperlink"/>
            <w:rFonts w:ascii="Calibri" w:hAnsi="Calibri"/>
            <w:rtl/>
          </w:rPr>
          <w:t xml:space="preserve"> 14</w:t>
        </w:r>
      </w:hyperlink>
      <w:r>
        <w:rPr>
          <w:rFonts w:ascii="Calibri" w:hAnsi="Calibri"/>
          <w:rtl/>
        </w:rPr>
        <w:t xml:space="preserve"> </w:t>
      </w:r>
      <w:r>
        <w:rPr>
          <w:rFonts w:ascii="Calibri" w:hAnsi="Calibri" w:hint="eastAsia"/>
          <w:rtl/>
        </w:rPr>
        <w:t>ל</w:t>
      </w:r>
      <w:hyperlink r:id="rId11" w:history="1">
        <w:r w:rsidRPr="00CC2E5A">
          <w:rPr>
            <w:rFonts w:ascii="Calibri" w:hAnsi="Calibri" w:hint="eastAsia"/>
            <w:color w:val="0000FF"/>
            <w:u w:val="single"/>
            <w:rtl/>
          </w:rPr>
          <w:t>פקודת</w:t>
        </w:r>
        <w:r w:rsidRPr="00CC2E5A">
          <w:rPr>
            <w:rFonts w:ascii="Calibri" w:hAnsi="Calibri"/>
            <w:color w:val="0000FF"/>
            <w:u w:val="single"/>
            <w:rtl/>
          </w:rPr>
          <w:t xml:space="preserve"> </w:t>
        </w:r>
        <w:r w:rsidRPr="00CC2E5A">
          <w:rPr>
            <w:rFonts w:ascii="Calibri" w:hAnsi="Calibri" w:hint="eastAsia"/>
            <w:color w:val="0000FF"/>
            <w:u w:val="single"/>
            <w:rtl/>
          </w:rPr>
          <w:t>הסמים</w:t>
        </w:r>
        <w:r w:rsidRPr="00CC2E5A">
          <w:rPr>
            <w:rFonts w:ascii="Calibri" w:hAnsi="Calibri"/>
            <w:color w:val="0000FF"/>
            <w:u w:val="single"/>
            <w:rtl/>
          </w:rPr>
          <w:t xml:space="preserve"> </w:t>
        </w:r>
        <w:r w:rsidRPr="00CC2E5A">
          <w:rPr>
            <w:rFonts w:ascii="Calibri" w:hAnsi="Calibri" w:hint="eastAsia"/>
            <w:color w:val="0000FF"/>
            <w:u w:val="single"/>
            <w:rtl/>
          </w:rPr>
          <w:t>המסוכנים</w:t>
        </w:r>
      </w:hyperlink>
      <w:r>
        <w:rPr>
          <w:rFonts w:ascii="Calibri" w:hAnsi="Calibri"/>
          <w:rtl/>
        </w:rPr>
        <w:t xml:space="preserve">, </w:t>
      </w:r>
      <w:r>
        <w:rPr>
          <w:rFonts w:ascii="Calibri" w:hAnsi="Calibri" w:hint="eastAsia"/>
          <w:rtl/>
        </w:rPr>
        <w:t>התשל</w:t>
      </w:r>
      <w:r>
        <w:rPr>
          <w:rFonts w:ascii="Calibri" w:hAnsi="Calibri"/>
          <w:rtl/>
        </w:rPr>
        <w:t>"</w:t>
      </w:r>
      <w:r>
        <w:rPr>
          <w:rFonts w:ascii="Calibri" w:hAnsi="Calibri" w:hint="eastAsia"/>
          <w:rtl/>
        </w:rPr>
        <w:t>ג</w:t>
      </w:r>
      <w:r>
        <w:rPr>
          <w:rFonts w:ascii="Calibri" w:hAnsi="Calibri"/>
          <w:rtl/>
        </w:rPr>
        <w:t>-1973.</w:t>
      </w:r>
      <w:r>
        <w:rPr>
          <w:rFonts w:ascii="Calibri" w:hAnsi="Calibri" w:hint="cs"/>
          <w:rtl/>
        </w:rPr>
        <w:t xml:space="preserve"> יצוין כי המאשימה ייחסה לנאשם ארבע עבירות של סחר בסם מסוכן, ואולם בהכרעת הדין נקבע כי העובדות שהוכחו עונות על הגדרת עבירות התיווך בסם מסוכן. </w:t>
      </w:r>
    </w:p>
    <w:p w14:paraId="2859D580" w14:textId="77777777" w:rsidR="00BE20C2" w:rsidRDefault="00CC2E5A">
      <w:pPr>
        <w:spacing w:after="160" w:line="360" w:lineRule="auto"/>
        <w:ind w:left="720"/>
        <w:jc w:val="both"/>
        <w:rPr>
          <w:rFonts w:ascii="Calibri" w:hAnsi="Calibri"/>
          <w:rtl/>
        </w:rPr>
      </w:pPr>
      <w:r>
        <w:rPr>
          <w:rFonts w:ascii="Calibri" w:hAnsi="Calibri" w:hint="eastAsia"/>
          <w:rtl/>
        </w:rPr>
        <w:t>עובדות</w:t>
      </w:r>
      <w:r>
        <w:rPr>
          <w:rFonts w:ascii="Calibri" w:hAnsi="Calibri"/>
          <w:rtl/>
        </w:rPr>
        <w:t xml:space="preserve"> </w:t>
      </w:r>
      <w:r>
        <w:rPr>
          <w:rFonts w:ascii="Calibri" w:hAnsi="Calibri" w:hint="eastAsia"/>
          <w:rtl/>
        </w:rPr>
        <w:t>האישומים</w:t>
      </w:r>
      <w:r>
        <w:rPr>
          <w:rFonts w:ascii="Calibri" w:hAnsi="Calibri"/>
          <w:rtl/>
        </w:rPr>
        <w:t xml:space="preserve"> </w:t>
      </w:r>
      <w:r>
        <w:rPr>
          <w:rFonts w:ascii="Calibri" w:hAnsi="Calibri" w:hint="eastAsia"/>
          <w:rtl/>
        </w:rPr>
        <w:t>פורטו</w:t>
      </w:r>
      <w:r>
        <w:rPr>
          <w:rFonts w:ascii="Calibri" w:hAnsi="Calibri"/>
          <w:rtl/>
        </w:rPr>
        <w:t xml:space="preserve"> </w:t>
      </w:r>
      <w:r>
        <w:rPr>
          <w:rFonts w:ascii="Calibri" w:hAnsi="Calibri" w:hint="eastAsia"/>
          <w:rtl/>
        </w:rPr>
        <w:t>בהרחבה</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הכרעת</w:t>
      </w:r>
      <w:r>
        <w:rPr>
          <w:rFonts w:ascii="Calibri" w:hAnsi="Calibri"/>
          <w:rtl/>
        </w:rPr>
        <w:t xml:space="preserve"> </w:t>
      </w:r>
      <w:r>
        <w:rPr>
          <w:rFonts w:ascii="Calibri" w:hAnsi="Calibri" w:hint="eastAsia"/>
          <w:rtl/>
        </w:rPr>
        <w:t>הדין</w:t>
      </w:r>
      <w:r>
        <w:rPr>
          <w:rFonts w:ascii="Calibri" w:hAnsi="Calibri"/>
          <w:rtl/>
        </w:rPr>
        <w:t>.</w:t>
      </w:r>
    </w:p>
    <w:p w14:paraId="1960563C" w14:textId="77777777" w:rsidR="00BE20C2" w:rsidRDefault="00CC2E5A">
      <w:pPr>
        <w:spacing w:after="160" w:line="360" w:lineRule="auto"/>
        <w:ind w:left="720"/>
        <w:jc w:val="both"/>
        <w:rPr>
          <w:rFonts w:ascii="Calibri" w:hAnsi="Calibri"/>
          <w:rtl/>
        </w:rPr>
      </w:pPr>
      <w:r>
        <w:rPr>
          <w:rFonts w:ascii="Calibri" w:hAnsi="Calibri" w:hint="eastAsia"/>
          <w:rtl/>
        </w:rPr>
        <w:t>בקליפת</w:t>
      </w:r>
      <w:r>
        <w:rPr>
          <w:rFonts w:ascii="Calibri" w:hAnsi="Calibri"/>
          <w:rtl/>
        </w:rPr>
        <w:t xml:space="preserve"> </w:t>
      </w:r>
      <w:r>
        <w:rPr>
          <w:rFonts w:ascii="Calibri" w:hAnsi="Calibri" w:hint="eastAsia"/>
          <w:rtl/>
        </w:rPr>
        <w:t>אגוז</w:t>
      </w:r>
      <w:r>
        <w:rPr>
          <w:rFonts w:ascii="Calibri" w:hAnsi="Calibri" w:hint="cs"/>
          <w:rtl/>
        </w:rPr>
        <w:t>,</w:t>
      </w:r>
      <w:r>
        <w:rPr>
          <w:rFonts w:ascii="Calibri" w:hAnsi="Calibri"/>
          <w:rtl/>
        </w:rPr>
        <w:t xml:space="preserve"> </w:t>
      </w:r>
      <w:r>
        <w:rPr>
          <w:rFonts w:ascii="Calibri" w:hAnsi="Calibri" w:hint="eastAsia"/>
          <w:rtl/>
        </w:rPr>
        <w:t>אציין</w:t>
      </w:r>
      <w:r>
        <w:rPr>
          <w:rFonts w:ascii="Calibri" w:hAnsi="Calibri"/>
          <w:rtl/>
        </w:rPr>
        <w:t xml:space="preserve"> </w:t>
      </w:r>
      <w:r>
        <w:rPr>
          <w:rFonts w:ascii="Calibri" w:hAnsi="Calibri" w:hint="eastAsia"/>
          <w:rtl/>
        </w:rPr>
        <w:t>כי</w:t>
      </w:r>
      <w:r>
        <w:rPr>
          <w:rFonts w:ascii="Calibri" w:hAnsi="Calibri"/>
          <w:rtl/>
        </w:rPr>
        <w:t xml:space="preserve"> </w:t>
      </w:r>
      <w:bookmarkStart w:id="5" w:name="ABSTRACT_START"/>
      <w:bookmarkEnd w:id="5"/>
      <w:r>
        <w:rPr>
          <w:rFonts w:ascii="Calibri" w:hAnsi="Calibri" w:hint="eastAsia"/>
          <w:rtl/>
        </w:rPr>
        <w:t>בין</w:t>
      </w:r>
      <w:r>
        <w:rPr>
          <w:rFonts w:ascii="Calibri" w:hAnsi="Calibri"/>
          <w:rtl/>
        </w:rPr>
        <w:t xml:space="preserve"> </w:t>
      </w:r>
      <w:r>
        <w:rPr>
          <w:rFonts w:ascii="Calibri" w:hAnsi="Calibri" w:hint="eastAsia"/>
          <w:rtl/>
        </w:rPr>
        <w:t>ה</w:t>
      </w:r>
      <w:r>
        <w:rPr>
          <w:rFonts w:ascii="Calibri" w:hAnsi="Calibri" w:hint="cs"/>
          <w:rtl/>
        </w:rPr>
        <w:t xml:space="preserve">תאריכים </w:t>
      </w:r>
      <w:r>
        <w:rPr>
          <w:rFonts w:ascii="Calibri" w:hAnsi="Calibri"/>
          <w:rtl/>
        </w:rPr>
        <w:t xml:space="preserve">17.6.12 </w:t>
      </w:r>
      <w:r>
        <w:rPr>
          <w:rFonts w:ascii="Calibri" w:hAnsi="Calibri" w:hint="eastAsia"/>
          <w:rtl/>
        </w:rPr>
        <w:t>ל</w:t>
      </w:r>
      <w:r>
        <w:rPr>
          <w:rFonts w:ascii="Calibri" w:hAnsi="Calibri"/>
          <w:rtl/>
        </w:rPr>
        <w:t xml:space="preserve">- 19.7.12, </w:t>
      </w:r>
      <w:r>
        <w:rPr>
          <w:rFonts w:ascii="Calibri" w:hAnsi="Calibri" w:hint="eastAsia"/>
          <w:rtl/>
        </w:rPr>
        <w:t>תיווך</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בארבע</w:t>
      </w:r>
      <w:r>
        <w:rPr>
          <w:rFonts w:ascii="Calibri" w:hAnsi="Calibri"/>
          <w:rtl/>
        </w:rPr>
        <w:t xml:space="preserve"> </w:t>
      </w:r>
      <w:r>
        <w:rPr>
          <w:rFonts w:ascii="Calibri" w:hAnsi="Calibri" w:hint="eastAsia"/>
          <w:rtl/>
        </w:rPr>
        <w:t>הזדמנויות</w:t>
      </w:r>
      <w:r>
        <w:rPr>
          <w:rFonts w:ascii="Calibri" w:hAnsi="Calibri"/>
          <w:rtl/>
        </w:rPr>
        <w:t xml:space="preserve"> </w:t>
      </w:r>
      <w:r>
        <w:rPr>
          <w:rFonts w:ascii="Calibri" w:hAnsi="Calibri" w:hint="eastAsia"/>
          <w:rtl/>
        </w:rPr>
        <w:t>שונות</w:t>
      </w:r>
      <w:r>
        <w:rPr>
          <w:rFonts w:ascii="Calibri" w:hAnsi="Calibri" w:hint="cs"/>
          <w:rtl/>
        </w:rPr>
        <w:t>,</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סוכן</w:t>
      </w:r>
      <w:r>
        <w:rPr>
          <w:rFonts w:ascii="Calibri" w:hAnsi="Calibri"/>
          <w:rtl/>
        </w:rPr>
        <w:t xml:space="preserve"> </w:t>
      </w:r>
      <w:r>
        <w:rPr>
          <w:rFonts w:ascii="Calibri" w:hAnsi="Calibri" w:hint="eastAsia"/>
          <w:rtl/>
        </w:rPr>
        <w:t>משטרתי</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סוחרי</w:t>
      </w:r>
      <w:r>
        <w:rPr>
          <w:rFonts w:ascii="Calibri" w:hAnsi="Calibri"/>
          <w:rtl/>
        </w:rPr>
        <w:t xml:space="preserve"> </w:t>
      </w:r>
      <w:r>
        <w:rPr>
          <w:rFonts w:ascii="Calibri" w:hAnsi="Calibri" w:hint="eastAsia"/>
          <w:rtl/>
        </w:rPr>
        <w:t>סמים</w:t>
      </w:r>
      <w:r>
        <w:rPr>
          <w:rFonts w:ascii="Calibri" w:hAnsi="Calibri" w:hint="cs"/>
          <w:rtl/>
        </w:rPr>
        <w:t>, בעסקאות מכר של סמים. ב</w:t>
      </w:r>
      <w:r>
        <w:rPr>
          <w:rFonts w:ascii="Calibri" w:hAnsi="Calibri" w:hint="eastAsia"/>
          <w:rtl/>
        </w:rPr>
        <w:t>אישום</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תיווך</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cs"/>
          <w:rtl/>
        </w:rPr>
        <w:t xml:space="preserve">במכירת </w:t>
      </w:r>
      <w:r>
        <w:rPr>
          <w:rFonts w:ascii="Calibri" w:hAnsi="Calibri" w:hint="eastAsia"/>
          <w:rtl/>
        </w:rPr>
        <w:t>סם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חשיש</w:t>
      </w:r>
      <w:r>
        <w:rPr>
          <w:rFonts w:ascii="Calibri" w:hAnsi="Calibri"/>
          <w:rtl/>
        </w:rPr>
        <w:t xml:space="preserve"> </w:t>
      </w:r>
      <w:r>
        <w:rPr>
          <w:rFonts w:ascii="Calibri" w:hAnsi="Calibri" w:hint="cs"/>
          <w:rtl/>
        </w:rPr>
        <w:t xml:space="preserve">במשקל נטו של </w:t>
      </w:r>
      <w:r>
        <w:rPr>
          <w:rFonts w:ascii="Calibri" w:hAnsi="Calibri"/>
          <w:rtl/>
        </w:rPr>
        <w:t xml:space="preserve">44.26 </w:t>
      </w:r>
      <w:r>
        <w:rPr>
          <w:rFonts w:ascii="Calibri" w:hAnsi="Calibri" w:hint="eastAsia"/>
          <w:rtl/>
        </w:rPr>
        <w:t>גרם</w:t>
      </w:r>
      <w:r>
        <w:rPr>
          <w:rFonts w:ascii="Calibri" w:hAnsi="Calibri" w:hint="cs"/>
          <w:rtl/>
        </w:rPr>
        <w:t xml:space="preserve">, בתמורה לסך של </w:t>
      </w:r>
      <w:r>
        <w:rPr>
          <w:rFonts w:ascii="Calibri" w:hAnsi="Calibri"/>
          <w:rtl/>
        </w:rPr>
        <w:t xml:space="preserve">900 </w:t>
      </w:r>
      <w:r>
        <w:rPr>
          <w:rFonts w:ascii="Calibri" w:hAnsi="Calibri" w:hint="eastAsia"/>
          <w:rtl/>
        </w:rPr>
        <w:t>₪</w:t>
      </w:r>
      <w:r>
        <w:rPr>
          <w:rFonts w:ascii="Calibri" w:hAnsi="Calibri" w:hint="cs"/>
          <w:rtl/>
        </w:rPr>
        <w:t xml:space="preserve">; באישום השני, תיווך הנאשם במכירת </w:t>
      </w:r>
      <w:r>
        <w:rPr>
          <w:rFonts w:ascii="Calibri" w:hAnsi="Calibri"/>
          <w:rtl/>
        </w:rPr>
        <w:t xml:space="preserve">21 </w:t>
      </w:r>
      <w:r>
        <w:rPr>
          <w:rFonts w:ascii="Calibri" w:hAnsi="Calibri" w:hint="eastAsia"/>
          <w:rtl/>
        </w:rPr>
        <w:t>כדורי</w:t>
      </w:r>
      <w:r>
        <w:rPr>
          <w:rFonts w:ascii="Calibri" w:hAnsi="Calibri"/>
          <w:rtl/>
        </w:rPr>
        <w:t xml:space="preserve"> </w:t>
      </w:r>
      <w:r>
        <w:rPr>
          <w:rFonts w:ascii="Calibri" w:hAnsi="Calibri" w:hint="cs"/>
          <w:rtl/>
        </w:rPr>
        <w:t xml:space="preserve">סם מסוג </w:t>
      </w:r>
      <w:r>
        <w:rPr>
          <w:rFonts w:ascii="Calibri" w:hAnsi="Calibri" w:hint="cs"/>
        </w:rPr>
        <w:t>M.D.M.A</w:t>
      </w:r>
      <w:r>
        <w:rPr>
          <w:rFonts w:ascii="Calibri" w:hAnsi="Calibri" w:hint="cs"/>
          <w:rtl/>
        </w:rPr>
        <w:t xml:space="preserve"> (</w:t>
      </w:r>
      <w:r>
        <w:rPr>
          <w:rFonts w:ascii="Calibri" w:hAnsi="Calibri" w:hint="eastAsia"/>
          <w:rtl/>
        </w:rPr>
        <w:t>אקסטזי</w:t>
      </w:r>
      <w:r>
        <w:rPr>
          <w:rFonts w:ascii="Calibri" w:hAnsi="Calibri" w:hint="cs"/>
          <w:rtl/>
        </w:rPr>
        <w:t xml:space="preserve">), וכן כמות </w:t>
      </w:r>
      <w:r>
        <w:rPr>
          <w:rFonts w:ascii="Calibri" w:hAnsi="Calibri" w:hint="cs"/>
          <w:rtl/>
        </w:rPr>
        <w:lastRenderedPageBreak/>
        <w:t xml:space="preserve">זעירה של סם מסוג חשיש, </w:t>
      </w:r>
      <w:r>
        <w:rPr>
          <w:rFonts w:ascii="Calibri" w:hAnsi="Calibri" w:hint="eastAsia"/>
          <w:rtl/>
        </w:rPr>
        <w:t>בתמורה</w:t>
      </w:r>
      <w:r>
        <w:rPr>
          <w:rFonts w:ascii="Calibri" w:hAnsi="Calibri"/>
          <w:rtl/>
        </w:rPr>
        <w:t xml:space="preserve"> </w:t>
      </w:r>
      <w:r>
        <w:rPr>
          <w:rFonts w:ascii="Calibri" w:hAnsi="Calibri" w:hint="eastAsia"/>
          <w:rtl/>
        </w:rPr>
        <w:t>ל</w:t>
      </w:r>
      <w:r>
        <w:rPr>
          <w:rFonts w:ascii="Calibri" w:hAnsi="Calibri" w:hint="cs"/>
          <w:rtl/>
        </w:rPr>
        <w:t xml:space="preserve">סך של </w:t>
      </w:r>
      <w:r>
        <w:rPr>
          <w:rFonts w:ascii="Calibri" w:hAnsi="Calibri"/>
          <w:rtl/>
        </w:rPr>
        <w:t xml:space="preserve">750 </w:t>
      </w:r>
      <w:r>
        <w:rPr>
          <w:rFonts w:ascii="Calibri" w:hAnsi="Calibri" w:hint="eastAsia"/>
          <w:rtl/>
        </w:rPr>
        <w:t>₪</w:t>
      </w:r>
      <w:r>
        <w:rPr>
          <w:rFonts w:ascii="Calibri" w:hAnsi="Calibri" w:hint="cs"/>
          <w:rtl/>
        </w:rPr>
        <w:t xml:space="preserve">; באישום </w:t>
      </w:r>
      <w:r>
        <w:rPr>
          <w:rFonts w:ascii="Calibri" w:hAnsi="Calibri" w:hint="eastAsia"/>
          <w:rtl/>
        </w:rPr>
        <w:t>השלישי</w:t>
      </w:r>
      <w:r>
        <w:rPr>
          <w:rFonts w:ascii="Calibri" w:hAnsi="Calibri"/>
          <w:rtl/>
        </w:rPr>
        <w:t xml:space="preserve">, </w:t>
      </w:r>
      <w:r>
        <w:rPr>
          <w:rFonts w:ascii="Calibri" w:hAnsi="Calibri" w:hint="cs"/>
          <w:rtl/>
        </w:rPr>
        <w:t xml:space="preserve">תיווך הנאשם במכירת סם מסוכן מסוג חשיש במשקל של </w:t>
      </w:r>
      <w:r>
        <w:rPr>
          <w:rFonts w:ascii="Calibri" w:hAnsi="Calibri"/>
          <w:rtl/>
        </w:rPr>
        <w:t xml:space="preserve">42.3 </w:t>
      </w:r>
      <w:r>
        <w:rPr>
          <w:rFonts w:ascii="Calibri" w:hAnsi="Calibri" w:hint="eastAsia"/>
          <w:rtl/>
        </w:rPr>
        <w:t>גרם</w:t>
      </w:r>
      <w:r>
        <w:rPr>
          <w:rFonts w:ascii="Calibri" w:hAnsi="Calibri" w:hint="cs"/>
          <w:rtl/>
        </w:rPr>
        <w:t>, ב</w:t>
      </w:r>
      <w:r>
        <w:rPr>
          <w:rFonts w:ascii="Calibri" w:hAnsi="Calibri" w:hint="eastAsia"/>
          <w:rtl/>
        </w:rPr>
        <w:t>תמור</w:t>
      </w:r>
      <w:r>
        <w:rPr>
          <w:rFonts w:ascii="Calibri" w:hAnsi="Calibri" w:hint="cs"/>
          <w:rtl/>
        </w:rPr>
        <w:t xml:space="preserve">ה לסך של 900 </w:t>
      </w:r>
      <w:r>
        <w:rPr>
          <w:rFonts w:ascii="Calibri" w:hAnsi="Calibri" w:hint="eastAsia"/>
          <w:rtl/>
        </w:rPr>
        <w:t>₪</w:t>
      </w:r>
      <w:r>
        <w:rPr>
          <w:rFonts w:ascii="Calibri" w:hAnsi="Calibri" w:hint="cs"/>
          <w:rtl/>
        </w:rPr>
        <w:t xml:space="preserve">; </w:t>
      </w:r>
      <w:r>
        <w:rPr>
          <w:rFonts w:ascii="Calibri" w:hAnsi="Calibri" w:hint="eastAsia"/>
          <w:rtl/>
        </w:rPr>
        <w:t>באישום</w:t>
      </w:r>
      <w:r>
        <w:rPr>
          <w:rFonts w:ascii="Calibri" w:hAnsi="Calibri"/>
          <w:rtl/>
        </w:rPr>
        <w:t xml:space="preserve"> </w:t>
      </w:r>
      <w:r>
        <w:rPr>
          <w:rFonts w:ascii="Calibri" w:hAnsi="Calibri" w:hint="eastAsia"/>
          <w:rtl/>
        </w:rPr>
        <w:t>הרביעי</w:t>
      </w:r>
      <w:r>
        <w:rPr>
          <w:rFonts w:ascii="Calibri" w:hAnsi="Calibri"/>
          <w:rtl/>
        </w:rPr>
        <w:t xml:space="preserve">, </w:t>
      </w:r>
      <w:r>
        <w:rPr>
          <w:rFonts w:ascii="Calibri" w:hAnsi="Calibri" w:hint="cs"/>
          <w:rtl/>
        </w:rPr>
        <w:t xml:space="preserve">תיווך הנאשם במכירת סם מסוג חשיש במשקל </w:t>
      </w:r>
      <w:r>
        <w:rPr>
          <w:rFonts w:ascii="Calibri" w:hAnsi="Calibri" w:hint="eastAsia"/>
          <w:rtl/>
        </w:rPr>
        <w:t>של</w:t>
      </w:r>
      <w:r>
        <w:rPr>
          <w:rFonts w:ascii="Calibri" w:hAnsi="Calibri"/>
          <w:rtl/>
        </w:rPr>
        <w:t xml:space="preserve"> 43.27 </w:t>
      </w:r>
      <w:r>
        <w:rPr>
          <w:rFonts w:ascii="Calibri" w:hAnsi="Calibri" w:hint="eastAsia"/>
          <w:rtl/>
        </w:rPr>
        <w:t>גרם</w:t>
      </w:r>
      <w:r>
        <w:rPr>
          <w:rFonts w:ascii="Calibri" w:hAnsi="Calibri" w:hint="cs"/>
          <w:rtl/>
        </w:rPr>
        <w:t xml:space="preserve">, ובתמורה לסך של 1,100 </w:t>
      </w:r>
      <w:r>
        <w:rPr>
          <w:rFonts w:ascii="Calibri" w:hAnsi="Calibri" w:hint="eastAsia"/>
          <w:rtl/>
        </w:rPr>
        <w:t>₪</w:t>
      </w:r>
      <w:r>
        <w:rPr>
          <w:rFonts w:ascii="Calibri" w:hAnsi="Calibri"/>
          <w:rtl/>
        </w:rPr>
        <w:t xml:space="preserve">. </w:t>
      </w:r>
    </w:p>
    <w:p w14:paraId="1FD90142" w14:textId="77777777" w:rsidR="00BE20C2" w:rsidRDefault="00CC2E5A">
      <w:pPr>
        <w:spacing w:after="160" w:line="360" w:lineRule="auto"/>
        <w:jc w:val="both"/>
        <w:rPr>
          <w:rFonts w:ascii="Calibri" w:hAnsi="Calibri"/>
          <w:u w:val="single"/>
          <w:rtl/>
        </w:rPr>
      </w:pPr>
      <w:bookmarkStart w:id="6" w:name="ABSTRACT_END"/>
      <w:bookmarkEnd w:id="6"/>
      <w:r>
        <w:rPr>
          <w:rFonts w:ascii="Calibri" w:hAnsi="Calibri" w:hint="eastAsia"/>
          <w:u w:val="single"/>
          <w:rtl/>
        </w:rPr>
        <w:t>טיעוני</w:t>
      </w:r>
      <w:r>
        <w:rPr>
          <w:rFonts w:ascii="Calibri" w:hAnsi="Calibri"/>
          <w:u w:val="single"/>
          <w:rtl/>
        </w:rPr>
        <w:t xml:space="preserve"> </w:t>
      </w:r>
      <w:r>
        <w:rPr>
          <w:rFonts w:ascii="Calibri" w:hAnsi="Calibri" w:hint="eastAsia"/>
          <w:u w:val="single"/>
          <w:rtl/>
        </w:rPr>
        <w:t>הצדדים</w:t>
      </w:r>
    </w:p>
    <w:p w14:paraId="63120310" w14:textId="77777777" w:rsidR="00BE20C2" w:rsidRDefault="00CC2E5A">
      <w:pPr>
        <w:spacing w:after="160" w:line="360" w:lineRule="auto"/>
        <w:ind w:left="720" w:hanging="720"/>
        <w:jc w:val="both"/>
        <w:rPr>
          <w:rFonts w:ascii="Calibri" w:hAnsi="Calibri"/>
          <w:rtl/>
        </w:rPr>
      </w:pPr>
      <w:r>
        <w:rPr>
          <w:rFonts w:ascii="Calibri" w:hAnsi="Calibri"/>
          <w:rtl/>
        </w:rPr>
        <w:t xml:space="preserve">2. </w:t>
      </w:r>
      <w:r>
        <w:rPr>
          <w:rFonts w:ascii="Calibri" w:hAnsi="Calibri"/>
          <w:rtl/>
        </w:rPr>
        <w:tab/>
      </w:r>
      <w:r>
        <w:rPr>
          <w:rFonts w:ascii="Calibri" w:hAnsi="Calibri" w:hint="eastAsia"/>
          <w:rtl/>
        </w:rPr>
        <w:t>המאשימה</w:t>
      </w:r>
      <w:r>
        <w:rPr>
          <w:rFonts w:ascii="Calibri" w:hAnsi="Calibri"/>
          <w:rtl/>
        </w:rPr>
        <w:t xml:space="preserve"> </w:t>
      </w:r>
      <w:r>
        <w:rPr>
          <w:rFonts w:ascii="Calibri" w:hAnsi="Calibri" w:hint="eastAsia"/>
          <w:rtl/>
        </w:rPr>
        <w:t>הפנתה</w:t>
      </w:r>
      <w:r>
        <w:rPr>
          <w:rFonts w:ascii="Calibri" w:hAnsi="Calibri"/>
          <w:rtl/>
        </w:rPr>
        <w:t xml:space="preserve"> </w:t>
      </w:r>
      <w:r>
        <w:rPr>
          <w:rFonts w:ascii="Calibri" w:hAnsi="Calibri" w:hint="eastAsia"/>
          <w:rtl/>
        </w:rPr>
        <w:t>לנסיבות</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w:t>
      </w:r>
      <w:r>
        <w:rPr>
          <w:rFonts w:ascii="Calibri" w:hAnsi="Calibri" w:hint="cs"/>
          <w:rtl/>
        </w:rPr>
        <w:t>ות,</w:t>
      </w:r>
      <w:r>
        <w:rPr>
          <w:rFonts w:ascii="Calibri" w:hAnsi="Calibri"/>
          <w:rtl/>
        </w:rPr>
        <w:t xml:space="preserve"> </w:t>
      </w:r>
      <w:r>
        <w:rPr>
          <w:rFonts w:ascii="Calibri" w:hAnsi="Calibri" w:hint="eastAsia"/>
          <w:rtl/>
        </w:rPr>
        <w:t>לכמויות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cs"/>
          <w:rtl/>
        </w:rPr>
        <w:t>תיווך עבור הסוכן, ו</w:t>
      </w:r>
      <w:r>
        <w:rPr>
          <w:rFonts w:ascii="Calibri" w:hAnsi="Calibri" w:hint="eastAsia"/>
          <w:rtl/>
        </w:rPr>
        <w:t>לפגיעה</w:t>
      </w:r>
      <w:r>
        <w:rPr>
          <w:rFonts w:ascii="Calibri" w:hAnsi="Calibri"/>
          <w:rtl/>
        </w:rPr>
        <w:t xml:space="preserve"> </w:t>
      </w:r>
      <w:r>
        <w:rPr>
          <w:rFonts w:ascii="Calibri" w:hAnsi="Calibri" w:hint="eastAsia"/>
          <w:rtl/>
        </w:rPr>
        <w:t>הקשה</w:t>
      </w:r>
      <w:r>
        <w:rPr>
          <w:rFonts w:ascii="Calibri" w:hAnsi="Calibri"/>
          <w:rtl/>
        </w:rPr>
        <w:t xml:space="preserve"> </w:t>
      </w:r>
      <w:r>
        <w:rPr>
          <w:rFonts w:ascii="Calibri" w:hAnsi="Calibri" w:hint="eastAsia"/>
          <w:rtl/>
        </w:rPr>
        <w:t>בציבור</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ההשלכות</w:t>
      </w:r>
      <w:r>
        <w:rPr>
          <w:rFonts w:ascii="Calibri" w:hAnsi="Calibri"/>
          <w:rtl/>
        </w:rPr>
        <w:t xml:space="preserve"> </w:t>
      </w:r>
      <w:r>
        <w:rPr>
          <w:rFonts w:ascii="Calibri" w:hAnsi="Calibri" w:hint="eastAsia"/>
          <w:rtl/>
        </w:rPr>
        <w:t>הקשות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השימוש</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לטענת</w:t>
      </w:r>
      <w:r>
        <w:rPr>
          <w:rFonts w:ascii="Calibri" w:hAnsi="Calibri"/>
          <w:rtl/>
        </w:rPr>
        <w:t xml:space="preserve"> </w:t>
      </w:r>
      <w:r>
        <w:rPr>
          <w:rFonts w:ascii="Calibri" w:hAnsi="Calibri" w:hint="eastAsia"/>
          <w:rtl/>
        </w:rPr>
        <w:t>המאשימה</w:t>
      </w:r>
      <w:r>
        <w:rPr>
          <w:rFonts w:ascii="Calibri" w:hAnsi="Calibri" w:hint="cs"/>
          <w:rtl/>
        </w:rPr>
        <w:t>,</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הבדל</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התיווך</w:t>
      </w:r>
      <w:r>
        <w:rPr>
          <w:rFonts w:ascii="Calibri" w:hAnsi="Calibri"/>
          <w:rtl/>
        </w:rPr>
        <w:t xml:space="preserve"> </w:t>
      </w:r>
      <w:r>
        <w:rPr>
          <w:rFonts w:ascii="Calibri" w:hAnsi="Calibri" w:hint="eastAsia"/>
          <w:rtl/>
        </w:rPr>
        <w:t>ל</w:t>
      </w:r>
      <w:r>
        <w:rPr>
          <w:rFonts w:ascii="Calibri" w:hAnsi="Calibri" w:hint="cs"/>
          <w:rtl/>
        </w:rPr>
        <w:t>עבירת ה</w:t>
      </w:r>
      <w:r>
        <w:rPr>
          <w:rFonts w:ascii="Calibri" w:hAnsi="Calibri" w:hint="eastAsia"/>
          <w:rtl/>
        </w:rPr>
        <w:t>סחר</w:t>
      </w:r>
      <w:r>
        <w:rPr>
          <w:rFonts w:ascii="Calibri" w:hAnsi="Calibri" w:hint="cs"/>
          <w:rtl/>
        </w:rPr>
        <w:t xml:space="preserve"> בסם,</w:t>
      </w:r>
      <w:r>
        <w:rPr>
          <w:rFonts w:ascii="Calibri" w:hAnsi="Calibri"/>
          <w:rtl/>
        </w:rPr>
        <w:t xml:space="preserve"> </w:t>
      </w:r>
      <w:r>
        <w:rPr>
          <w:rFonts w:ascii="Calibri" w:hAnsi="Calibri" w:hint="eastAsia"/>
          <w:rtl/>
        </w:rPr>
        <w:t>מבחינת</w:t>
      </w:r>
      <w:r>
        <w:rPr>
          <w:rFonts w:ascii="Calibri" w:hAnsi="Calibri"/>
          <w:rtl/>
        </w:rPr>
        <w:t xml:space="preserve"> </w:t>
      </w:r>
      <w:r>
        <w:rPr>
          <w:rFonts w:ascii="Calibri" w:hAnsi="Calibri" w:hint="eastAsia"/>
          <w:rtl/>
        </w:rPr>
        <w:t>מתחמי</w:t>
      </w:r>
      <w:r>
        <w:rPr>
          <w:rFonts w:ascii="Calibri" w:hAnsi="Calibri"/>
          <w:rtl/>
        </w:rPr>
        <w:t xml:space="preserve"> </w:t>
      </w:r>
      <w:r>
        <w:rPr>
          <w:rFonts w:ascii="Calibri" w:hAnsi="Calibri" w:hint="cs"/>
          <w:rtl/>
        </w:rPr>
        <w:t>ה</w:t>
      </w:r>
      <w:r>
        <w:rPr>
          <w:rFonts w:ascii="Calibri" w:hAnsi="Calibri" w:hint="eastAsia"/>
          <w:rtl/>
        </w:rPr>
        <w:t>ענישה</w:t>
      </w:r>
      <w:r>
        <w:rPr>
          <w:rFonts w:ascii="Calibri" w:hAnsi="Calibri"/>
          <w:rtl/>
        </w:rPr>
        <w:t xml:space="preserve">. </w:t>
      </w:r>
      <w:r>
        <w:rPr>
          <w:rFonts w:ascii="Calibri" w:hAnsi="Calibri" w:hint="cs"/>
          <w:rtl/>
        </w:rPr>
        <w:t xml:space="preserve">לפיכך, עתרה המאשימה לקביעת מתחמי ענישה הנעים בין 6 ל-18 חודשי מאסר, לגבי כל אחד מהאישומים 1, 3 ו-4, ומתחם הנע בין 9 ל-24 חודשי מאסר, לגבי אישום 2. בנסיבותיו של נאשם זה, צעיר ללא עבר פלילי, טענה המאשימה כי יש להטיל מאסר ברף הנמוך לגבי כל אחד ממתחמי הענישה, ובמצטבר זה לזה, זאת לצד פסילת רשיון ופסילת רשיון על תנאי. </w:t>
      </w:r>
    </w:p>
    <w:p w14:paraId="450C5E98" w14:textId="77777777" w:rsidR="00BE20C2" w:rsidRDefault="00CC2E5A">
      <w:pPr>
        <w:spacing w:after="160" w:line="360" w:lineRule="auto"/>
        <w:ind w:left="720" w:hanging="720"/>
        <w:jc w:val="both"/>
        <w:rPr>
          <w:rFonts w:ascii="Calibri" w:hAnsi="Calibri"/>
          <w:rtl/>
        </w:rPr>
      </w:pPr>
      <w:r>
        <w:rPr>
          <w:rFonts w:ascii="Calibri" w:hAnsi="Calibri"/>
          <w:rtl/>
        </w:rPr>
        <w:t xml:space="preserve">3. </w:t>
      </w:r>
      <w:r>
        <w:rPr>
          <w:rFonts w:ascii="Calibri" w:hAnsi="Calibri"/>
          <w:rtl/>
        </w:rPr>
        <w:tab/>
      </w:r>
      <w:r>
        <w:rPr>
          <w:rFonts w:ascii="Calibri" w:hAnsi="Calibri" w:hint="cs"/>
          <w:rtl/>
        </w:rPr>
        <w:t xml:space="preserve">בא כוח הנאשם ציין את </w:t>
      </w:r>
      <w:r>
        <w:rPr>
          <w:rFonts w:ascii="Calibri" w:hAnsi="Calibri" w:hint="eastAsia"/>
          <w:rtl/>
        </w:rPr>
        <w:t>חלוף</w:t>
      </w:r>
      <w:r>
        <w:rPr>
          <w:rFonts w:ascii="Calibri" w:hAnsi="Calibri"/>
          <w:rtl/>
        </w:rPr>
        <w:t xml:space="preserve"> </w:t>
      </w:r>
      <w:r>
        <w:rPr>
          <w:rFonts w:ascii="Calibri" w:hAnsi="Calibri" w:hint="eastAsia"/>
          <w:rtl/>
        </w:rPr>
        <w:t>הזמן</w:t>
      </w:r>
      <w:r>
        <w:rPr>
          <w:rFonts w:ascii="Calibri" w:hAnsi="Calibri"/>
          <w:rtl/>
        </w:rPr>
        <w:t xml:space="preserve"> </w:t>
      </w:r>
      <w:r>
        <w:rPr>
          <w:rFonts w:ascii="Calibri" w:hAnsi="Calibri" w:hint="eastAsia"/>
          <w:rtl/>
        </w:rPr>
        <w:t>מאז</w:t>
      </w:r>
      <w:r>
        <w:rPr>
          <w:rFonts w:ascii="Calibri" w:hAnsi="Calibri"/>
          <w:rtl/>
        </w:rPr>
        <w:t xml:space="preserve"> </w:t>
      </w:r>
      <w:r>
        <w:rPr>
          <w:rFonts w:ascii="Calibri" w:hAnsi="Calibri" w:hint="eastAsia"/>
          <w:rtl/>
        </w:rPr>
        <w:t>האירועים</w:t>
      </w:r>
      <w:r>
        <w:rPr>
          <w:rFonts w:ascii="Calibri" w:hAnsi="Calibri" w:hint="cs"/>
          <w:rtl/>
        </w:rPr>
        <w:t>,</w:t>
      </w:r>
      <w:r>
        <w:rPr>
          <w:rFonts w:ascii="Calibri" w:hAnsi="Calibri"/>
          <w:rtl/>
        </w:rPr>
        <w:t xml:space="preserve"> </w:t>
      </w:r>
      <w:r>
        <w:rPr>
          <w:rFonts w:ascii="Calibri" w:hAnsi="Calibri" w:hint="cs"/>
          <w:rtl/>
        </w:rPr>
        <w:t xml:space="preserve">אשר התרחשו כולם בסמיכות זמנים זה לזה, ובאותו האופן, כך שיש לראות בהם מיקשה אחת. מדובר במעידתו היחידה של הנאשם, אשר לא הסתבך בכל עבירה מאז ביצוע העבירות בהן הורשע. </w:t>
      </w:r>
    </w:p>
    <w:p w14:paraId="0695C8A3" w14:textId="77777777" w:rsidR="00BE20C2" w:rsidRDefault="00CC2E5A">
      <w:pPr>
        <w:spacing w:after="160" w:line="360" w:lineRule="auto"/>
        <w:ind w:left="720"/>
        <w:jc w:val="both"/>
        <w:rPr>
          <w:rFonts w:ascii="Calibri" w:hAnsi="Calibri"/>
          <w:rtl/>
        </w:rPr>
      </w:pPr>
      <w:r>
        <w:rPr>
          <w:rFonts w:ascii="Calibri" w:hAnsi="Calibri" w:hint="eastAsia"/>
          <w:rtl/>
        </w:rPr>
        <w:t>הסנגור</w:t>
      </w:r>
      <w:r>
        <w:rPr>
          <w:rFonts w:ascii="Calibri" w:hAnsi="Calibri"/>
          <w:rtl/>
        </w:rPr>
        <w:t xml:space="preserve"> </w:t>
      </w:r>
      <w:r>
        <w:rPr>
          <w:rFonts w:ascii="Calibri" w:hAnsi="Calibri" w:hint="cs"/>
          <w:rtl/>
        </w:rPr>
        <w:t>ט</w:t>
      </w:r>
      <w:r>
        <w:rPr>
          <w:rFonts w:ascii="Calibri" w:hAnsi="Calibri" w:hint="eastAsia"/>
          <w:rtl/>
        </w:rPr>
        <w:t>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הודח</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הסוכן</w:t>
      </w:r>
      <w:r>
        <w:rPr>
          <w:rFonts w:ascii="Calibri" w:hAnsi="Calibri"/>
          <w:rtl/>
        </w:rPr>
        <w:t xml:space="preserve"> </w:t>
      </w:r>
      <w:r>
        <w:rPr>
          <w:rFonts w:ascii="Calibri" w:hAnsi="Calibri" w:hint="eastAsia"/>
          <w:rtl/>
        </w:rPr>
        <w:t>לתווך</w:t>
      </w:r>
      <w:r>
        <w:rPr>
          <w:rFonts w:ascii="Calibri" w:hAnsi="Calibri"/>
          <w:rtl/>
        </w:rPr>
        <w:t xml:space="preserve"> </w:t>
      </w:r>
      <w:r>
        <w:rPr>
          <w:rFonts w:ascii="Calibri" w:hAnsi="Calibri" w:hint="cs"/>
          <w:rtl/>
        </w:rPr>
        <w:t>ב</w:t>
      </w:r>
      <w:r>
        <w:rPr>
          <w:rFonts w:ascii="Calibri" w:hAnsi="Calibri" w:hint="eastAsia"/>
          <w:rtl/>
        </w:rPr>
        <w:t>ממכר</w:t>
      </w:r>
      <w:r>
        <w:rPr>
          <w:rFonts w:ascii="Calibri" w:hAnsi="Calibri"/>
          <w:rtl/>
        </w:rPr>
        <w:t xml:space="preserve"> </w:t>
      </w:r>
      <w:r>
        <w:rPr>
          <w:rFonts w:ascii="Calibri" w:hAnsi="Calibri" w:hint="eastAsia"/>
          <w:rtl/>
        </w:rPr>
        <w:t>הס</w:t>
      </w:r>
      <w:r>
        <w:rPr>
          <w:rFonts w:ascii="Calibri" w:hAnsi="Calibri" w:hint="cs"/>
          <w:rtl/>
        </w:rPr>
        <w:t>ם, הדחה שלא הגיעה לכדי פטור מאחריות פלילית, אולם צריכה להשפיע בעת קביעת העונש. יש לה</w:t>
      </w:r>
      <w:r>
        <w:rPr>
          <w:rFonts w:ascii="Calibri" w:hAnsi="Calibri" w:hint="eastAsia"/>
          <w:rtl/>
        </w:rPr>
        <w:t>תמקד</w:t>
      </w:r>
      <w:r>
        <w:rPr>
          <w:rFonts w:ascii="Calibri" w:hAnsi="Calibri"/>
          <w:rtl/>
        </w:rPr>
        <w:t xml:space="preserve"> </w:t>
      </w:r>
      <w:r>
        <w:rPr>
          <w:rFonts w:ascii="Calibri" w:hAnsi="Calibri" w:hint="eastAsia"/>
          <w:rtl/>
        </w:rPr>
        <w:t>בחלקו</w:t>
      </w:r>
      <w:r>
        <w:rPr>
          <w:rFonts w:ascii="Calibri" w:hAnsi="Calibri"/>
          <w:rtl/>
        </w:rPr>
        <w:t xml:space="preserve"> </w:t>
      </w:r>
      <w:r>
        <w:rPr>
          <w:rFonts w:ascii="Calibri" w:hAnsi="Calibri" w:hint="eastAsia"/>
          <w:rtl/>
        </w:rPr>
        <w:t>הקטן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המתווך</w:t>
      </w:r>
      <w:r>
        <w:rPr>
          <w:rFonts w:ascii="Calibri" w:hAnsi="Calibri" w:hint="cs"/>
          <w:rtl/>
        </w:rPr>
        <w:t>,</w:t>
      </w:r>
      <w:r>
        <w:rPr>
          <w:rFonts w:ascii="Calibri" w:hAnsi="Calibri"/>
          <w:rtl/>
        </w:rPr>
        <w:t xml:space="preserve"> </w:t>
      </w:r>
      <w:r>
        <w:rPr>
          <w:rFonts w:ascii="Calibri" w:hAnsi="Calibri" w:hint="eastAsia"/>
          <w:rtl/>
        </w:rPr>
        <w:t>למול</w:t>
      </w:r>
      <w:r>
        <w:rPr>
          <w:rFonts w:ascii="Calibri" w:hAnsi="Calibri"/>
          <w:rtl/>
        </w:rPr>
        <w:t xml:space="preserve"> </w:t>
      </w:r>
      <w:r>
        <w:rPr>
          <w:rFonts w:ascii="Calibri" w:hAnsi="Calibri" w:hint="eastAsia"/>
          <w:rtl/>
        </w:rPr>
        <w:t>הסוחר</w:t>
      </w:r>
      <w:r>
        <w:rPr>
          <w:rFonts w:ascii="Calibri" w:hAnsi="Calibri"/>
          <w:rtl/>
        </w:rPr>
        <w:t xml:space="preserve"> </w:t>
      </w:r>
      <w:r>
        <w:rPr>
          <w:rFonts w:ascii="Calibri" w:hAnsi="Calibri" w:hint="cs"/>
          <w:rtl/>
        </w:rPr>
        <w:t xml:space="preserve">בסמים, </w:t>
      </w:r>
      <w:r>
        <w:rPr>
          <w:rFonts w:ascii="Calibri" w:hAnsi="Calibri" w:hint="eastAsia"/>
          <w:rtl/>
        </w:rPr>
        <w:t>אשר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התפקיד</w:t>
      </w:r>
      <w:r>
        <w:rPr>
          <w:rFonts w:ascii="Calibri" w:hAnsi="Calibri"/>
          <w:rtl/>
        </w:rPr>
        <w:t xml:space="preserve"> </w:t>
      </w:r>
      <w:r>
        <w:rPr>
          <w:rFonts w:ascii="Calibri" w:hAnsi="Calibri" w:hint="eastAsia"/>
          <w:rtl/>
        </w:rPr>
        <w:t>המרכזי</w:t>
      </w:r>
      <w:r>
        <w:rPr>
          <w:rFonts w:ascii="Calibri" w:hAnsi="Calibri"/>
          <w:rtl/>
        </w:rPr>
        <w:t xml:space="preserve"> </w:t>
      </w:r>
      <w:r>
        <w:rPr>
          <w:rFonts w:ascii="Calibri" w:hAnsi="Calibri" w:hint="eastAsia"/>
          <w:rtl/>
        </w:rPr>
        <w:t>בהפצת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הפנה</w:t>
      </w:r>
      <w:r>
        <w:rPr>
          <w:rFonts w:ascii="Calibri" w:hAnsi="Calibri"/>
          <w:rtl/>
        </w:rPr>
        <w:t xml:space="preserve"> </w:t>
      </w:r>
      <w:r>
        <w:rPr>
          <w:rFonts w:ascii="Calibri" w:hAnsi="Calibri" w:hint="cs"/>
          <w:rtl/>
        </w:rPr>
        <w:t>לעונשים המקלים אשר הושתו על הסוחרים במקרים בהם תיווך הנאשם</w:t>
      </w:r>
      <w:r>
        <w:rPr>
          <w:rFonts w:ascii="Calibri" w:hAnsi="Calibri"/>
          <w:rtl/>
        </w:rPr>
        <w:t xml:space="preserve">. </w:t>
      </w:r>
      <w:r>
        <w:rPr>
          <w:rFonts w:ascii="Calibri" w:hAnsi="Calibri" w:hint="cs"/>
          <w:rtl/>
        </w:rPr>
        <w:t>הנאשם לומד סיעוד, והרשעה עלולה לפגוע באופן משמעותי ביותר ביכולתו לעסוק בתחום זה, נוכח האמור ב</w:t>
      </w:r>
      <w:hyperlink r:id="rId12" w:history="1">
        <w:r w:rsidRPr="00CC2E5A">
          <w:rPr>
            <w:rFonts w:ascii="Calibri" w:hAnsi="Calibri" w:hint="eastAsia"/>
            <w:color w:val="0000FF"/>
            <w:u w:val="single"/>
            <w:rtl/>
          </w:rPr>
          <w:t>תקנות</w:t>
        </w:r>
        <w:r w:rsidRPr="00CC2E5A">
          <w:rPr>
            <w:rFonts w:ascii="Calibri" w:hAnsi="Calibri"/>
            <w:color w:val="0000FF"/>
            <w:u w:val="single"/>
            <w:rtl/>
          </w:rPr>
          <w:t xml:space="preserve"> </w:t>
        </w:r>
        <w:r w:rsidRPr="00CC2E5A">
          <w:rPr>
            <w:rFonts w:ascii="Calibri" w:hAnsi="Calibri" w:hint="eastAsia"/>
            <w:color w:val="0000FF"/>
            <w:u w:val="single"/>
            <w:rtl/>
          </w:rPr>
          <w:t>בריאות</w:t>
        </w:r>
        <w:r w:rsidRPr="00CC2E5A">
          <w:rPr>
            <w:rFonts w:ascii="Calibri" w:hAnsi="Calibri"/>
            <w:color w:val="0000FF"/>
            <w:u w:val="single"/>
            <w:rtl/>
          </w:rPr>
          <w:t xml:space="preserve"> </w:t>
        </w:r>
        <w:r w:rsidRPr="00CC2E5A">
          <w:rPr>
            <w:rFonts w:ascii="Calibri" w:hAnsi="Calibri" w:hint="eastAsia"/>
            <w:color w:val="0000FF"/>
            <w:u w:val="single"/>
            <w:rtl/>
          </w:rPr>
          <w:t>העם</w:t>
        </w:r>
        <w:r w:rsidRPr="00CC2E5A">
          <w:rPr>
            <w:rFonts w:ascii="Calibri" w:hAnsi="Calibri"/>
            <w:color w:val="0000FF"/>
            <w:u w:val="single"/>
            <w:rtl/>
          </w:rPr>
          <w:t xml:space="preserve"> (</w:t>
        </w:r>
        <w:r w:rsidRPr="00CC2E5A">
          <w:rPr>
            <w:rFonts w:ascii="Calibri" w:hAnsi="Calibri" w:hint="eastAsia"/>
            <w:color w:val="0000FF"/>
            <w:u w:val="single"/>
            <w:rtl/>
          </w:rPr>
          <w:t>עוסקים</w:t>
        </w:r>
        <w:r w:rsidRPr="00CC2E5A">
          <w:rPr>
            <w:rFonts w:ascii="Calibri" w:hAnsi="Calibri"/>
            <w:color w:val="0000FF"/>
            <w:u w:val="single"/>
            <w:rtl/>
          </w:rPr>
          <w:t xml:space="preserve"> </w:t>
        </w:r>
        <w:r w:rsidRPr="00CC2E5A">
          <w:rPr>
            <w:rFonts w:ascii="Calibri" w:hAnsi="Calibri" w:hint="eastAsia"/>
            <w:color w:val="0000FF"/>
            <w:u w:val="single"/>
            <w:rtl/>
          </w:rPr>
          <w:t>בסיעוד</w:t>
        </w:r>
        <w:r w:rsidRPr="00CC2E5A">
          <w:rPr>
            <w:rFonts w:ascii="Calibri" w:hAnsi="Calibri"/>
            <w:color w:val="0000FF"/>
            <w:u w:val="single"/>
            <w:rtl/>
          </w:rPr>
          <w:t xml:space="preserve"> </w:t>
        </w:r>
        <w:r w:rsidRPr="00CC2E5A">
          <w:rPr>
            <w:rFonts w:ascii="Calibri" w:hAnsi="Calibri" w:hint="eastAsia"/>
            <w:color w:val="0000FF"/>
            <w:u w:val="single"/>
            <w:rtl/>
          </w:rPr>
          <w:t>בבתי</w:t>
        </w:r>
        <w:r w:rsidRPr="00CC2E5A">
          <w:rPr>
            <w:rFonts w:ascii="Calibri" w:hAnsi="Calibri"/>
            <w:color w:val="0000FF"/>
            <w:u w:val="single"/>
            <w:rtl/>
          </w:rPr>
          <w:t xml:space="preserve"> </w:t>
        </w:r>
        <w:r w:rsidRPr="00CC2E5A">
          <w:rPr>
            <w:rFonts w:ascii="Calibri" w:hAnsi="Calibri" w:hint="eastAsia"/>
            <w:color w:val="0000FF"/>
            <w:u w:val="single"/>
            <w:rtl/>
          </w:rPr>
          <w:t>חולים</w:t>
        </w:r>
        <w:r w:rsidRPr="00CC2E5A">
          <w:rPr>
            <w:rFonts w:ascii="Calibri" w:hAnsi="Calibri"/>
            <w:color w:val="0000FF"/>
            <w:u w:val="single"/>
            <w:rtl/>
          </w:rPr>
          <w:t>)</w:t>
        </w:r>
      </w:hyperlink>
      <w:r>
        <w:rPr>
          <w:rFonts w:ascii="Calibri" w:hAnsi="Calibri" w:hint="cs"/>
          <w:rtl/>
        </w:rPr>
        <w:t xml:space="preserve">. לפיכך, עתר להורות על ביטול הרשעת הנאשם. </w:t>
      </w:r>
    </w:p>
    <w:p w14:paraId="3B3EB968" w14:textId="77777777" w:rsidR="00BE20C2" w:rsidRDefault="00CC2E5A">
      <w:pPr>
        <w:spacing w:after="160" w:line="360" w:lineRule="auto"/>
        <w:ind w:left="720"/>
        <w:jc w:val="both"/>
        <w:rPr>
          <w:rFonts w:ascii="Calibri" w:hAnsi="Calibri"/>
          <w:rtl/>
        </w:rPr>
      </w:pPr>
      <w:r>
        <w:rPr>
          <w:rFonts w:ascii="Calibri" w:hAnsi="Calibri" w:hint="eastAsia"/>
          <w:rtl/>
        </w:rPr>
        <w:t>הנאשם</w:t>
      </w:r>
      <w:r>
        <w:rPr>
          <w:rFonts w:ascii="Calibri" w:hAnsi="Calibri"/>
          <w:rtl/>
        </w:rPr>
        <w:t xml:space="preserve"> </w:t>
      </w:r>
      <w:r>
        <w:rPr>
          <w:rFonts w:ascii="Calibri" w:hAnsi="Calibri" w:hint="eastAsia"/>
          <w:rtl/>
        </w:rPr>
        <w:t>הביע</w:t>
      </w:r>
      <w:r>
        <w:rPr>
          <w:rFonts w:ascii="Calibri" w:hAnsi="Calibri"/>
          <w:rtl/>
        </w:rPr>
        <w:t xml:space="preserve"> </w:t>
      </w:r>
      <w:r>
        <w:rPr>
          <w:rFonts w:ascii="Calibri" w:hAnsi="Calibri" w:hint="eastAsia"/>
          <w:rtl/>
        </w:rPr>
        <w:t>חרטה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cs"/>
          <w:rtl/>
        </w:rPr>
        <w:t>ו</w:t>
      </w:r>
      <w:r>
        <w:rPr>
          <w:rFonts w:ascii="Calibri" w:hAnsi="Calibri" w:hint="eastAsia"/>
          <w:rtl/>
        </w:rPr>
        <w:t>הבהיר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רצונו</w:t>
      </w:r>
      <w:r>
        <w:rPr>
          <w:rFonts w:ascii="Calibri" w:hAnsi="Calibri"/>
          <w:rtl/>
        </w:rPr>
        <w:t xml:space="preserve"> </w:t>
      </w:r>
      <w:r>
        <w:rPr>
          <w:rFonts w:ascii="Calibri" w:hAnsi="Calibri" w:hint="eastAsia"/>
          <w:rtl/>
        </w:rPr>
        <w:t>כיום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להמשיך</w:t>
      </w:r>
      <w:r>
        <w:rPr>
          <w:rFonts w:ascii="Calibri" w:hAnsi="Calibri"/>
          <w:rtl/>
        </w:rPr>
        <w:t xml:space="preserve"> </w:t>
      </w:r>
      <w:r>
        <w:rPr>
          <w:rFonts w:ascii="Calibri" w:hAnsi="Calibri" w:hint="eastAsia"/>
          <w:rtl/>
        </w:rPr>
        <w:t>בלימודיו</w:t>
      </w:r>
      <w:r>
        <w:rPr>
          <w:rFonts w:ascii="Calibri" w:hAnsi="Calibri"/>
          <w:rtl/>
        </w:rPr>
        <w:t xml:space="preserve"> </w:t>
      </w:r>
      <w:r>
        <w:rPr>
          <w:rFonts w:ascii="Calibri" w:hAnsi="Calibri" w:hint="eastAsia"/>
          <w:rtl/>
        </w:rPr>
        <w:t>ולעסוק</w:t>
      </w:r>
      <w:r>
        <w:rPr>
          <w:rFonts w:ascii="Calibri" w:hAnsi="Calibri"/>
          <w:rtl/>
        </w:rPr>
        <w:t xml:space="preserve"> </w:t>
      </w:r>
      <w:r>
        <w:rPr>
          <w:rFonts w:ascii="Calibri" w:hAnsi="Calibri" w:hint="eastAsia"/>
          <w:rtl/>
        </w:rPr>
        <w:t>בסיעוד</w:t>
      </w:r>
      <w:r>
        <w:rPr>
          <w:rFonts w:ascii="Calibri" w:hAnsi="Calibri"/>
          <w:rtl/>
        </w:rPr>
        <w:t>.</w:t>
      </w:r>
    </w:p>
    <w:p w14:paraId="705B9A5A" w14:textId="77777777" w:rsidR="00BE20C2" w:rsidRDefault="00CC2E5A">
      <w:pPr>
        <w:spacing w:after="160" w:line="360" w:lineRule="auto"/>
        <w:jc w:val="both"/>
        <w:rPr>
          <w:rFonts w:ascii="Calibri" w:hAnsi="Calibri"/>
          <w:u w:val="single"/>
          <w:rtl/>
        </w:rPr>
      </w:pPr>
      <w:r>
        <w:rPr>
          <w:rFonts w:ascii="Calibri" w:hAnsi="Calibri" w:hint="eastAsia"/>
          <w:u w:val="single"/>
          <w:rtl/>
        </w:rPr>
        <w:t>אי</w:t>
      </w:r>
      <w:r>
        <w:rPr>
          <w:rFonts w:ascii="Calibri" w:hAnsi="Calibri"/>
          <w:u w:val="single"/>
          <w:rtl/>
        </w:rPr>
        <w:t xml:space="preserve"> </w:t>
      </w:r>
      <w:r>
        <w:rPr>
          <w:rFonts w:ascii="Calibri" w:hAnsi="Calibri" w:hint="eastAsia"/>
          <w:u w:val="single"/>
          <w:rtl/>
        </w:rPr>
        <w:t>הרשעה</w:t>
      </w:r>
    </w:p>
    <w:p w14:paraId="053D6B28" w14:textId="77777777" w:rsidR="00BE20C2" w:rsidRDefault="00CC2E5A">
      <w:pPr>
        <w:spacing w:after="160" w:line="360" w:lineRule="auto"/>
        <w:ind w:left="720" w:hanging="720"/>
        <w:jc w:val="both"/>
        <w:rPr>
          <w:rFonts w:ascii="Calibri" w:hAnsi="Calibri"/>
          <w:rtl/>
        </w:rPr>
      </w:pPr>
      <w:r>
        <w:rPr>
          <w:rFonts w:ascii="Calibri" w:hAnsi="Calibri"/>
          <w:rtl/>
        </w:rPr>
        <w:t xml:space="preserve">4. </w:t>
      </w:r>
      <w:r>
        <w:rPr>
          <w:rFonts w:ascii="Calibri" w:hAnsi="Calibri"/>
          <w:rtl/>
        </w:rPr>
        <w:tab/>
      </w:r>
      <w:r>
        <w:rPr>
          <w:rFonts w:ascii="Calibri" w:hAnsi="Calibri" w:hint="cs"/>
          <w:rtl/>
        </w:rPr>
        <w:t xml:space="preserve">סדר הדין הפלילי, קובע </w:t>
      </w:r>
      <w:r>
        <w:rPr>
          <w:rFonts w:ascii="Calibri" w:hAnsi="Calibri" w:hint="eastAsia"/>
          <w:rtl/>
        </w:rPr>
        <w:t>כי</w:t>
      </w:r>
      <w:r>
        <w:rPr>
          <w:rFonts w:ascii="Calibri" w:hAnsi="Calibri"/>
          <w:rtl/>
        </w:rPr>
        <w:t xml:space="preserve"> </w:t>
      </w:r>
      <w:r>
        <w:rPr>
          <w:rFonts w:ascii="Calibri" w:hAnsi="Calibri" w:hint="eastAsia"/>
          <w:rtl/>
        </w:rPr>
        <w:t>מי</w:t>
      </w:r>
      <w:r>
        <w:rPr>
          <w:rFonts w:ascii="Calibri" w:hAnsi="Calibri"/>
          <w:rtl/>
        </w:rPr>
        <w:t xml:space="preserve"> </w:t>
      </w:r>
      <w:r>
        <w:rPr>
          <w:rFonts w:ascii="Calibri" w:hAnsi="Calibri" w:hint="eastAsia"/>
          <w:rtl/>
        </w:rPr>
        <w:t>ש</w:t>
      </w:r>
      <w:r>
        <w:rPr>
          <w:rFonts w:ascii="Calibri" w:hAnsi="Calibri" w:hint="cs"/>
          <w:rtl/>
        </w:rPr>
        <w:t xml:space="preserve">נמצא שביצע עבירה פלילית - </w:t>
      </w:r>
      <w:r>
        <w:rPr>
          <w:rFonts w:ascii="Calibri" w:hAnsi="Calibri" w:hint="eastAsia"/>
          <w:rtl/>
        </w:rPr>
        <w:t>יורשע</w:t>
      </w:r>
      <w:r>
        <w:rPr>
          <w:rFonts w:ascii="Calibri" w:hAnsi="Calibri"/>
          <w:rtl/>
        </w:rPr>
        <w:t xml:space="preserve"> </w:t>
      </w:r>
      <w:r>
        <w:rPr>
          <w:rFonts w:ascii="Calibri" w:hAnsi="Calibri" w:hint="eastAsia"/>
          <w:rtl/>
        </w:rPr>
        <w:t>בדי</w:t>
      </w:r>
      <w:r>
        <w:rPr>
          <w:rFonts w:ascii="Calibri" w:hAnsi="Calibri" w:hint="cs"/>
          <w:rtl/>
        </w:rPr>
        <w:t>ן</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cs"/>
          <w:rtl/>
        </w:rPr>
        <w:t>ב</w:t>
      </w:r>
      <w:r>
        <w:rPr>
          <w:rFonts w:ascii="Calibri" w:hAnsi="Calibri" w:hint="eastAsia"/>
          <w:rtl/>
        </w:rPr>
        <w:t>מקרים</w:t>
      </w:r>
      <w:r>
        <w:rPr>
          <w:rFonts w:ascii="Calibri" w:hAnsi="Calibri"/>
          <w:rtl/>
        </w:rPr>
        <w:t xml:space="preserve"> </w:t>
      </w:r>
      <w:r>
        <w:rPr>
          <w:rFonts w:ascii="Calibri" w:hAnsi="Calibri" w:hint="eastAsia"/>
          <w:rtl/>
        </w:rPr>
        <w:t>מיוחדים</w:t>
      </w:r>
      <w:r>
        <w:rPr>
          <w:rFonts w:ascii="Calibri" w:hAnsi="Calibri"/>
          <w:rtl/>
        </w:rPr>
        <w:t xml:space="preserve"> </w:t>
      </w:r>
      <w:r>
        <w:rPr>
          <w:rFonts w:ascii="Calibri" w:hAnsi="Calibri" w:hint="eastAsia"/>
          <w:rtl/>
        </w:rPr>
        <w:t>ויוצאי</w:t>
      </w:r>
      <w:r>
        <w:rPr>
          <w:rFonts w:ascii="Calibri" w:hAnsi="Calibri"/>
          <w:rtl/>
        </w:rPr>
        <w:t xml:space="preserve"> </w:t>
      </w:r>
      <w:r>
        <w:rPr>
          <w:rFonts w:ascii="Calibri" w:hAnsi="Calibri" w:hint="eastAsia"/>
          <w:rtl/>
        </w:rPr>
        <w:t>דופן</w:t>
      </w:r>
      <w:r>
        <w:rPr>
          <w:rFonts w:ascii="Calibri" w:hAnsi="Calibri" w:hint="cs"/>
          <w:rtl/>
        </w:rPr>
        <w:t>,</w:t>
      </w:r>
      <w:r>
        <w:rPr>
          <w:rFonts w:ascii="Calibri" w:hAnsi="Calibri"/>
          <w:rtl/>
        </w:rPr>
        <w:t xml:space="preserve"> "</w:t>
      </w:r>
      <w:r>
        <w:rPr>
          <w:rFonts w:ascii="Calibri" w:hAnsi="Calibri" w:hint="eastAsia"/>
          <w:rtl/>
        </w:rPr>
        <w:t>חריג</w:t>
      </w:r>
      <w:r>
        <w:rPr>
          <w:rFonts w:ascii="Calibri" w:hAnsi="Calibri"/>
          <w:rtl/>
        </w:rPr>
        <w:t xml:space="preserve"> </w:t>
      </w:r>
      <w:r>
        <w:rPr>
          <w:rFonts w:ascii="Calibri" w:hAnsi="Calibri" w:hint="eastAsia"/>
          <w:rtl/>
        </w:rPr>
        <w:t>שבחריגים</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נוצר</w:t>
      </w:r>
      <w:r>
        <w:rPr>
          <w:rFonts w:ascii="Calibri" w:hAnsi="Calibri"/>
          <w:rtl/>
        </w:rPr>
        <w:t xml:space="preserve"> </w:t>
      </w:r>
      <w:r>
        <w:rPr>
          <w:rFonts w:ascii="Calibri" w:hAnsi="Calibri" w:hint="eastAsia"/>
          <w:rtl/>
        </w:rPr>
        <w:t>פער</w:t>
      </w:r>
      <w:r>
        <w:rPr>
          <w:rFonts w:ascii="Calibri" w:hAnsi="Calibri"/>
          <w:rtl/>
        </w:rPr>
        <w:t xml:space="preserve"> </w:t>
      </w:r>
      <w:r>
        <w:rPr>
          <w:rFonts w:ascii="Calibri" w:hAnsi="Calibri" w:hint="eastAsia"/>
          <w:rtl/>
        </w:rPr>
        <w:t>בלתי</w:t>
      </w:r>
      <w:r>
        <w:rPr>
          <w:rFonts w:ascii="Calibri" w:hAnsi="Calibri"/>
          <w:rtl/>
        </w:rPr>
        <w:t xml:space="preserve"> </w:t>
      </w:r>
      <w:r>
        <w:rPr>
          <w:rFonts w:ascii="Calibri" w:hAnsi="Calibri" w:hint="eastAsia"/>
          <w:rtl/>
        </w:rPr>
        <w:t>נסבל</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הפגיעה</w:t>
      </w:r>
      <w:r>
        <w:rPr>
          <w:rFonts w:ascii="Calibri" w:hAnsi="Calibri"/>
          <w:rtl/>
        </w:rPr>
        <w:t xml:space="preserve"> </w:t>
      </w:r>
      <w:r>
        <w:rPr>
          <w:rFonts w:ascii="Calibri" w:hAnsi="Calibri" w:hint="eastAsia"/>
          <w:rtl/>
        </w:rPr>
        <w:t>בנאשם</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תועלת</w:t>
      </w:r>
      <w:r>
        <w:rPr>
          <w:rFonts w:ascii="Calibri" w:hAnsi="Calibri"/>
          <w:rtl/>
        </w:rPr>
        <w:t xml:space="preserve"> </w:t>
      </w:r>
      <w:r>
        <w:rPr>
          <w:rFonts w:ascii="Calibri" w:hAnsi="Calibri" w:hint="eastAsia"/>
          <w:rtl/>
        </w:rPr>
        <w:t>ההרשעה</w:t>
      </w:r>
      <w:r>
        <w:rPr>
          <w:rFonts w:ascii="Calibri" w:hAnsi="Calibri"/>
          <w:rtl/>
        </w:rPr>
        <w:t xml:space="preserve"> </w:t>
      </w:r>
      <w:r>
        <w:rPr>
          <w:rFonts w:ascii="Calibri" w:hAnsi="Calibri" w:hint="eastAsia"/>
          <w:rtl/>
        </w:rPr>
        <w:t>לאינטרס</w:t>
      </w:r>
      <w:r>
        <w:rPr>
          <w:rFonts w:ascii="Calibri" w:hAnsi="Calibri"/>
          <w:rtl/>
        </w:rPr>
        <w:t xml:space="preserve"> </w:t>
      </w:r>
      <w:r>
        <w:rPr>
          <w:rFonts w:ascii="Calibri" w:hAnsi="Calibri" w:hint="eastAsia"/>
          <w:rtl/>
        </w:rPr>
        <w:t>הציבורי</w:t>
      </w:r>
      <w:r>
        <w:rPr>
          <w:rFonts w:ascii="Calibri" w:hAnsi="Calibri"/>
          <w:rtl/>
        </w:rPr>
        <w:t xml:space="preserve">, </w:t>
      </w:r>
      <w:r>
        <w:rPr>
          <w:rFonts w:ascii="Calibri" w:hAnsi="Calibri" w:hint="eastAsia"/>
          <w:rtl/>
        </w:rPr>
        <w:t>ייאות</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לסטות</w:t>
      </w:r>
      <w:r>
        <w:rPr>
          <w:rFonts w:ascii="Calibri" w:hAnsi="Calibri"/>
          <w:rtl/>
        </w:rPr>
        <w:t xml:space="preserve"> </w:t>
      </w:r>
      <w:r>
        <w:rPr>
          <w:rFonts w:ascii="Calibri" w:hAnsi="Calibri" w:hint="eastAsia"/>
          <w:rtl/>
        </w:rPr>
        <w:t>מכלל</w:t>
      </w:r>
      <w:r>
        <w:rPr>
          <w:rFonts w:ascii="Calibri" w:hAnsi="Calibri"/>
          <w:rtl/>
        </w:rPr>
        <w:t xml:space="preserve"> </w:t>
      </w:r>
      <w:r>
        <w:rPr>
          <w:rFonts w:ascii="Calibri" w:hAnsi="Calibri" w:hint="eastAsia"/>
          <w:rtl/>
        </w:rPr>
        <w:t>ההרשעה</w:t>
      </w:r>
      <w:r>
        <w:rPr>
          <w:rFonts w:ascii="Calibri" w:hAnsi="Calibri"/>
          <w:rtl/>
        </w:rPr>
        <w:t xml:space="preserve">, </w:t>
      </w:r>
      <w:r>
        <w:rPr>
          <w:rFonts w:ascii="Calibri" w:hAnsi="Calibri" w:hint="eastAsia"/>
          <w:rtl/>
        </w:rPr>
        <w:t>וזאת</w:t>
      </w:r>
      <w:r>
        <w:rPr>
          <w:rFonts w:ascii="Calibri" w:hAnsi="Calibri"/>
          <w:rtl/>
        </w:rPr>
        <w:t xml:space="preserve"> </w:t>
      </w:r>
      <w:r>
        <w:rPr>
          <w:rFonts w:ascii="Calibri" w:hAnsi="Calibri" w:hint="eastAsia"/>
          <w:rtl/>
        </w:rPr>
        <w:t>בהתקיימם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שני</w:t>
      </w:r>
      <w:r>
        <w:rPr>
          <w:rFonts w:ascii="Calibri" w:hAnsi="Calibri"/>
          <w:rtl/>
        </w:rPr>
        <w:t xml:space="preserve"> </w:t>
      </w:r>
      <w:r>
        <w:rPr>
          <w:rFonts w:ascii="Calibri" w:hAnsi="Calibri" w:hint="eastAsia"/>
          <w:rtl/>
        </w:rPr>
        <w:t>תנאים</w:t>
      </w:r>
      <w:r>
        <w:rPr>
          <w:rFonts w:ascii="Calibri" w:hAnsi="Calibri"/>
          <w:rtl/>
        </w:rPr>
        <w:t xml:space="preserve"> </w:t>
      </w:r>
      <w:r>
        <w:rPr>
          <w:rFonts w:ascii="Calibri" w:hAnsi="Calibri" w:hint="eastAsia"/>
          <w:rtl/>
        </w:rPr>
        <w:t>מצטברים</w:t>
      </w:r>
      <w:r>
        <w:rPr>
          <w:rFonts w:ascii="Calibri" w:hAnsi="Calibri"/>
          <w:rtl/>
        </w:rPr>
        <w:t>:</w:t>
      </w:r>
    </w:p>
    <w:p w14:paraId="204485C5" w14:textId="77777777" w:rsidR="00BE20C2" w:rsidRDefault="00CC2E5A">
      <w:pPr>
        <w:spacing w:after="160"/>
        <w:ind w:left="2160" w:right="1418"/>
        <w:jc w:val="both"/>
        <w:rPr>
          <w:rFonts w:ascii="Calibri" w:hAnsi="Calibri"/>
          <w:b/>
          <w:bCs/>
          <w:rtl/>
        </w:rPr>
      </w:pPr>
      <w:r>
        <w:rPr>
          <w:rFonts w:ascii="Calibri" w:hAnsi="Calibri"/>
          <w:b/>
          <w:bCs/>
          <w:rtl/>
        </w:rPr>
        <w:t>"</w:t>
      </w:r>
      <w:r>
        <w:rPr>
          <w:rFonts w:ascii="Calibri" w:hAnsi="Calibri" w:hint="eastAsia"/>
          <w:b/>
          <w:bCs/>
          <w:rtl/>
        </w:rPr>
        <w:t>ראשית</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ההרשעה</w:t>
      </w:r>
      <w:r>
        <w:rPr>
          <w:rFonts w:ascii="Calibri" w:hAnsi="Calibri"/>
          <w:b/>
          <w:bCs/>
          <w:rtl/>
        </w:rPr>
        <w:t xml:space="preserve"> </w:t>
      </w:r>
      <w:r>
        <w:rPr>
          <w:rFonts w:ascii="Calibri" w:hAnsi="Calibri" w:hint="eastAsia"/>
          <w:b/>
          <w:bCs/>
          <w:rtl/>
        </w:rPr>
        <w:t>לפגוע</w:t>
      </w:r>
      <w:r>
        <w:rPr>
          <w:rFonts w:ascii="Calibri" w:hAnsi="Calibri"/>
          <w:b/>
          <w:bCs/>
          <w:rtl/>
        </w:rPr>
        <w:t xml:space="preserve"> </w:t>
      </w:r>
      <w:r>
        <w:rPr>
          <w:rFonts w:ascii="Calibri" w:hAnsi="Calibri" w:hint="eastAsia"/>
          <w:b/>
          <w:bCs/>
          <w:rtl/>
        </w:rPr>
        <w:t>פגיעה</w:t>
      </w:r>
      <w:r>
        <w:rPr>
          <w:rFonts w:ascii="Calibri" w:hAnsi="Calibri"/>
          <w:b/>
          <w:bCs/>
          <w:rtl/>
        </w:rPr>
        <w:t xml:space="preserve"> </w:t>
      </w:r>
      <w:r>
        <w:rPr>
          <w:rFonts w:ascii="Calibri" w:hAnsi="Calibri" w:hint="eastAsia"/>
          <w:b/>
          <w:bCs/>
          <w:rtl/>
        </w:rPr>
        <w:t>חמורה</w:t>
      </w:r>
      <w:r>
        <w:rPr>
          <w:rFonts w:ascii="Calibri" w:hAnsi="Calibri"/>
          <w:b/>
          <w:bCs/>
          <w:rtl/>
        </w:rPr>
        <w:t xml:space="preserve"> </w:t>
      </w:r>
      <w:r>
        <w:rPr>
          <w:rFonts w:ascii="Calibri" w:hAnsi="Calibri" w:hint="eastAsia"/>
          <w:b/>
          <w:bCs/>
          <w:rtl/>
        </w:rPr>
        <w:t>בשיקום</w:t>
      </w:r>
      <w:r>
        <w:rPr>
          <w:rFonts w:ascii="Calibri" w:hAnsi="Calibri"/>
          <w:b/>
          <w:bCs/>
          <w:rtl/>
        </w:rPr>
        <w:t xml:space="preserve"> </w:t>
      </w:r>
      <w:r>
        <w:rPr>
          <w:rFonts w:ascii="Calibri" w:hAnsi="Calibri" w:hint="eastAsia"/>
          <w:b/>
          <w:bCs/>
          <w:rtl/>
        </w:rPr>
        <w:t>הנאשם</w:t>
      </w:r>
      <w:r>
        <w:rPr>
          <w:rFonts w:ascii="Calibri" w:hAnsi="Calibri"/>
          <w:b/>
          <w:bCs/>
          <w:rtl/>
        </w:rPr>
        <w:t xml:space="preserve"> </w:t>
      </w:r>
      <w:r>
        <w:rPr>
          <w:rFonts w:ascii="Calibri" w:hAnsi="Calibri" w:hint="eastAsia"/>
          <w:b/>
          <w:bCs/>
          <w:rtl/>
        </w:rPr>
        <w:t>ושנית</w:t>
      </w:r>
      <w:r>
        <w:rPr>
          <w:rFonts w:ascii="Calibri" w:hAnsi="Calibri"/>
          <w:b/>
          <w:bCs/>
          <w:rtl/>
        </w:rPr>
        <w:t xml:space="preserve">, </w:t>
      </w:r>
      <w:r>
        <w:rPr>
          <w:rFonts w:ascii="Calibri" w:hAnsi="Calibri" w:hint="eastAsia"/>
          <w:b/>
          <w:bCs/>
          <w:rtl/>
        </w:rPr>
        <w:t>סוג</w:t>
      </w:r>
      <w:r>
        <w:rPr>
          <w:rFonts w:ascii="Calibri" w:hAnsi="Calibri"/>
          <w:b/>
          <w:bCs/>
          <w:rtl/>
        </w:rPr>
        <w:t xml:space="preserve"> </w:t>
      </w:r>
      <w:r>
        <w:rPr>
          <w:rFonts w:ascii="Calibri" w:hAnsi="Calibri" w:hint="eastAsia"/>
          <w:b/>
          <w:bCs/>
          <w:rtl/>
        </w:rPr>
        <w:t>העבירה</w:t>
      </w:r>
      <w:r>
        <w:rPr>
          <w:rFonts w:ascii="Calibri" w:hAnsi="Calibri"/>
          <w:b/>
          <w:bCs/>
          <w:rtl/>
        </w:rPr>
        <w:t xml:space="preserve"> </w:t>
      </w:r>
      <w:r>
        <w:rPr>
          <w:rFonts w:ascii="Calibri" w:hAnsi="Calibri" w:hint="eastAsia"/>
          <w:b/>
          <w:bCs/>
          <w:rtl/>
        </w:rPr>
        <w:t>מאפשר</w:t>
      </w:r>
      <w:r>
        <w:rPr>
          <w:rFonts w:ascii="Calibri" w:hAnsi="Calibri"/>
          <w:b/>
          <w:bCs/>
          <w:rtl/>
        </w:rPr>
        <w:t xml:space="preserve"> </w:t>
      </w:r>
      <w:r>
        <w:rPr>
          <w:rFonts w:ascii="Calibri" w:hAnsi="Calibri" w:hint="eastAsia"/>
          <w:b/>
          <w:bCs/>
          <w:rtl/>
        </w:rPr>
        <w:t>לוותר</w:t>
      </w:r>
      <w:r>
        <w:rPr>
          <w:rFonts w:ascii="Calibri" w:hAnsi="Calibri"/>
          <w:b/>
          <w:bCs/>
          <w:rtl/>
        </w:rPr>
        <w:t xml:space="preserve"> </w:t>
      </w:r>
      <w:r>
        <w:rPr>
          <w:rFonts w:ascii="Calibri" w:hAnsi="Calibri" w:hint="eastAsia"/>
          <w:b/>
          <w:bCs/>
          <w:rtl/>
        </w:rPr>
        <w:t>בנסיבות</w:t>
      </w:r>
      <w:r>
        <w:rPr>
          <w:rFonts w:ascii="Calibri" w:hAnsi="Calibri"/>
          <w:b/>
          <w:bCs/>
          <w:rtl/>
        </w:rPr>
        <w:t xml:space="preserve"> </w:t>
      </w:r>
      <w:r>
        <w:rPr>
          <w:rFonts w:ascii="Calibri" w:hAnsi="Calibri" w:hint="eastAsia"/>
          <w:b/>
          <w:bCs/>
          <w:rtl/>
        </w:rPr>
        <w:t>המקרה</w:t>
      </w:r>
      <w:r>
        <w:rPr>
          <w:rFonts w:ascii="Calibri" w:hAnsi="Calibri"/>
          <w:b/>
          <w:bCs/>
          <w:rtl/>
        </w:rPr>
        <w:t xml:space="preserve"> </w:t>
      </w:r>
      <w:r>
        <w:rPr>
          <w:rFonts w:ascii="Calibri" w:hAnsi="Calibri" w:hint="eastAsia"/>
          <w:b/>
          <w:bCs/>
          <w:rtl/>
        </w:rPr>
        <w:t>המסוים</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ההרשעה</w:t>
      </w:r>
      <w:r>
        <w:rPr>
          <w:rFonts w:ascii="Calibri" w:hAnsi="Calibri"/>
          <w:b/>
          <w:bCs/>
          <w:rtl/>
        </w:rPr>
        <w:t xml:space="preserve"> </w:t>
      </w:r>
      <w:r>
        <w:rPr>
          <w:rFonts w:ascii="Calibri" w:hAnsi="Calibri" w:hint="eastAsia"/>
          <w:b/>
          <w:bCs/>
          <w:rtl/>
        </w:rPr>
        <w:t>בלי</w:t>
      </w:r>
      <w:r>
        <w:rPr>
          <w:rFonts w:ascii="Calibri" w:hAnsi="Calibri"/>
          <w:b/>
          <w:bCs/>
          <w:rtl/>
        </w:rPr>
        <w:t xml:space="preserve"> </w:t>
      </w:r>
      <w:r>
        <w:rPr>
          <w:rFonts w:ascii="Calibri" w:hAnsi="Calibri" w:hint="eastAsia"/>
          <w:b/>
          <w:bCs/>
          <w:rtl/>
        </w:rPr>
        <w:t>לפגוע</w:t>
      </w:r>
      <w:r>
        <w:rPr>
          <w:rFonts w:ascii="Calibri" w:hAnsi="Calibri"/>
          <w:b/>
          <w:bCs/>
          <w:rtl/>
        </w:rPr>
        <w:t xml:space="preserve"> </w:t>
      </w:r>
      <w:r>
        <w:rPr>
          <w:rFonts w:ascii="Calibri" w:hAnsi="Calibri" w:hint="eastAsia"/>
          <w:b/>
          <w:bCs/>
          <w:rtl/>
        </w:rPr>
        <w:t>באופן</w:t>
      </w:r>
      <w:r>
        <w:rPr>
          <w:rFonts w:ascii="Calibri" w:hAnsi="Calibri"/>
          <w:b/>
          <w:bCs/>
          <w:rtl/>
        </w:rPr>
        <w:t xml:space="preserve"> </w:t>
      </w:r>
      <w:r>
        <w:rPr>
          <w:rFonts w:ascii="Calibri" w:hAnsi="Calibri" w:hint="eastAsia"/>
          <w:b/>
          <w:bCs/>
          <w:rtl/>
        </w:rPr>
        <w:t>מהותי</w:t>
      </w:r>
      <w:r>
        <w:rPr>
          <w:rFonts w:ascii="Calibri" w:hAnsi="Calibri"/>
          <w:b/>
          <w:bCs/>
          <w:rtl/>
        </w:rPr>
        <w:t xml:space="preserve"> </w:t>
      </w:r>
      <w:r>
        <w:rPr>
          <w:rFonts w:ascii="Calibri" w:hAnsi="Calibri" w:hint="eastAsia"/>
          <w:b/>
          <w:bCs/>
          <w:rtl/>
        </w:rPr>
        <w:t>בשיקולי</w:t>
      </w:r>
      <w:r>
        <w:rPr>
          <w:rFonts w:ascii="Calibri" w:hAnsi="Calibri"/>
          <w:b/>
          <w:bCs/>
          <w:rtl/>
        </w:rPr>
        <w:t xml:space="preserve"> </w:t>
      </w:r>
      <w:r>
        <w:rPr>
          <w:rFonts w:ascii="Calibri" w:hAnsi="Calibri" w:hint="eastAsia"/>
          <w:b/>
          <w:bCs/>
          <w:rtl/>
        </w:rPr>
        <w:t>הענישה</w:t>
      </w:r>
      <w:r>
        <w:rPr>
          <w:rFonts w:ascii="Calibri" w:hAnsi="Calibri"/>
          <w:b/>
          <w:bCs/>
          <w:rtl/>
        </w:rPr>
        <w:t xml:space="preserve"> </w:t>
      </w:r>
      <w:r>
        <w:rPr>
          <w:rFonts w:ascii="Calibri" w:hAnsi="Calibri" w:hint="eastAsia"/>
          <w:b/>
          <w:bCs/>
          <w:rtl/>
        </w:rPr>
        <w:t>האחרים</w:t>
      </w:r>
      <w:r>
        <w:rPr>
          <w:rFonts w:ascii="Calibri" w:hAnsi="Calibri"/>
          <w:b/>
          <w:bCs/>
          <w:rtl/>
        </w:rPr>
        <w:t>"....</w:t>
      </w:r>
    </w:p>
    <w:p w14:paraId="7FCC9ECB" w14:textId="77777777" w:rsidR="00BE20C2" w:rsidRDefault="00CC2E5A">
      <w:pPr>
        <w:spacing w:after="160" w:line="360" w:lineRule="auto"/>
        <w:ind w:left="1440" w:firstLine="720"/>
        <w:jc w:val="both"/>
        <w:rPr>
          <w:rFonts w:ascii="Calibri" w:hAnsi="Calibri"/>
          <w:rtl/>
        </w:rPr>
      </w:pPr>
      <w:r>
        <w:rPr>
          <w:rFonts w:ascii="Calibri" w:hAnsi="Calibri"/>
          <w:rtl/>
        </w:rPr>
        <w:lastRenderedPageBreak/>
        <w:t>(</w:t>
      </w:r>
      <w:hyperlink r:id="rId13" w:history="1">
        <w:r w:rsidRPr="00CC2E5A">
          <w:rPr>
            <w:rFonts w:ascii="Calibri" w:hAnsi="Calibri" w:hint="eastAsia"/>
            <w:color w:val="0000FF"/>
            <w:u w:val="single"/>
            <w:rtl/>
          </w:rPr>
          <w:t>ע</w:t>
        </w:r>
        <w:r w:rsidRPr="00CC2E5A">
          <w:rPr>
            <w:rFonts w:ascii="Calibri" w:hAnsi="Calibri"/>
            <w:color w:val="0000FF"/>
            <w:u w:val="single"/>
            <w:rtl/>
          </w:rPr>
          <w:t>"</w:t>
        </w:r>
        <w:r w:rsidRPr="00CC2E5A">
          <w:rPr>
            <w:rFonts w:ascii="Calibri" w:hAnsi="Calibri" w:hint="eastAsia"/>
            <w:color w:val="0000FF"/>
            <w:u w:val="single"/>
            <w:rtl/>
          </w:rPr>
          <w:t>פ</w:t>
        </w:r>
        <w:r w:rsidRPr="00CC2E5A">
          <w:rPr>
            <w:rFonts w:ascii="Calibri" w:hAnsi="Calibri"/>
            <w:color w:val="0000FF"/>
            <w:u w:val="single"/>
            <w:rtl/>
          </w:rPr>
          <w:t xml:space="preserve"> 2083/96 </w:t>
        </w:r>
        <w:r w:rsidRPr="00CC2E5A">
          <w:rPr>
            <w:rFonts w:ascii="Calibri" w:hAnsi="Calibri" w:hint="eastAsia"/>
            <w:color w:val="0000FF"/>
            <w:u w:val="single"/>
            <w:rtl/>
          </w:rPr>
          <w:t>תמר</w:t>
        </w:r>
        <w:r w:rsidRPr="00CC2E5A">
          <w:rPr>
            <w:rFonts w:ascii="Calibri" w:hAnsi="Calibri"/>
            <w:color w:val="0000FF"/>
            <w:u w:val="single"/>
            <w:rtl/>
          </w:rPr>
          <w:t xml:space="preserve"> </w:t>
        </w:r>
        <w:r w:rsidRPr="00CC2E5A">
          <w:rPr>
            <w:rFonts w:ascii="Calibri" w:hAnsi="Calibri" w:hint="eastAsia"/>
            <w:color w:val="0000FF"/>
            <w:u w:val="single"/>
            <w:rtl/>
          </w:rPr>
          <w:t>כתב</w:t>
        </w:r>
        <w:r w:rsidRPr="00CC2E5A">
          <w:rPr>
            <w:rFonts w:ascii="Calibri" w:hAnsi="Calibri"/>
            <w:color w:val="0000FF"/>
            <w:u w:val="single"/>
            <w:rtl/>
          </w:rPr>
          <w:t xml:space="preserve"> </w:t>
        </w:r>
        <w:r w:rsidRPr="00CC2E5A">
          <w:rPr>
            <w:rFonts w:ascii="Calibri" w:hAnsi="Calibri" w:hint="eastAsia"/>
            <w:color w:val="0000FF"/>
            <w:u w:val="single"/>
            <w:rtl/>
          </w:rPr>
          <w:t>נ</w:t>
        </w:r>
        <w:r w:rsidRPr="00CC2E5A">
          <w:rPr>
            <w:rFonts w:ascii="Calibri" w:hAnsi="Calibri"/>
            <w:color w:val="0000FF"/>
            <w:u w:val="single"/>
            <w:rtl/>
          </w:rPr>
          <w:t xml:space="preserve">' </w:t>
        </w:r>
        <w:r w:rsidRPr="00CC2E5A">
          <w:rPr>
            <w:rFonts w:ascii="Calibri" w:hAnsi="Calibri" w:hint="eastAsia"/>
            <w:color w:val="0000FF"/>
            <w:u w:val="single"/>
            <w:rtl/>
          </w:rPr>
          <w:t>מדינת</w:t>
        </w:r>
        <w:r w:rsidRPr="00CC2E5A">
          <w:rPr>
            <w:rFonts w:ascii="Calibri" w:hAnsi="Calibri"/>
            <w:color w:val="0000FF"/>
            <w:u w:val="single"/>
            <w:rtl/>
          </w:rPr>
          <w:t xml:space="preserve"> </w:t>
        </w:r>
        <w:r w:rsidRPr="00CC2E5A">
          <w:rPr>
            <w:rFonts w:ascii="Calibri" w:hAnsi="Calibri" w:hint="eastAsia"/>
            <w:color w:val="0000FF"/>
            <w:u w:val="single"/>
            <w:rtl/>
          </w:rPr>
          <w:t>ישראל</w:t>
        </w:r>
        <w:r w:rsidRPr="00CC2E5A">
          <w:rPr>
            <w:rFonts w:ascii="Calibri" w:hAnsi="Calibri"/>
            <w:color w:val="0000FF"/>
            <w:u w:val="single"/>
            <w:rtl/>
          </w:rPr>
          <w:t xml:space="preserve"> , </w:t>
        </w:r>
        <w:r w:rsidRPr="00CC2E5A">
          <w:rPr>
            <w:rFonts w:ascii="Calibri" w:hAnsi="Calibri" w:hint="eastAsia"/>
            <w:color w:val="0000FF"/>
            <w:u w:val="single"/>
            <w:rtl/>
          </w:rPr>
          <w:t>פ</w:t>
        </w:r>
        <w:r w:rsidRPr="00CC2E5A">
          <w:rPr>
            <w:rFonts w:ascii="Calibri" w:hAnsi="Calibri"/>
            <w:color w:val="0000FF"/>
            <w:u w:val="single"/>
            <w:rtl/>
          </w:rPr>
          <w:t>"</w:t>
        </w:r>
        <w:r w:rsidRPr="00CC2E5A">
          <w:rPr>
            <w:rFonts w:ascii="Calibri" w:hAnsi="Calibri" w:hint="eastAsia"/>
            <w:color w:val="0000FF"/>
            <w:u w:val="single"/>
            <w:rtl/>
          </w:rPr>
          <w:t>ד</w:t>
        </w:r>
        <w:r w:rsidRPr="00CC2E5A">
          <w:rPr>
            <w:rFonts w:ascii="Calibri" w:hAnsi="Calibri"/>
            <w:color w:val="0000FF"/>
            <w:u w:val="single"/>
            <w:rtl/>
          </w:rPr>
          <w:t xml:space="preserve"> </w:t>
        </w:r>
        <w:r w:rsidRPr="00CC2E5A">
          <w:rPr>
            <w:rFonts w:ascii="Calibri" w:hAnsi="Calibri" w:hint="eastAsia"/>
            <w:color w:val="0000FF"/>
            <w:u w:val="single"/>
            <w:rtl/>
          </w:rPr>
          <w:t>נב</w:t>
        </w:r>
      </w:hyperlink>
      <w:r>
        <w:rPr>
          <w:rFonts w:ascii="Calibri" w:hAnsi="Calibri"/>
          <w:rtl/>
        </w:rPr>
        <w:t xml:space="preserve"> (3) 337 (1997)</w:t>
      </w:r>
      <w:r>
        <w:rPr>
          <w:rFonts w:ascii="Calibri" w:hAnsi="Calibri" w:hint="cs"/>
          <w:rtl/>
        </w:rPr>
        <w:t>)</w:t>
      </w:r>
      <w:r>
        <w:rPr>
          <w:rFonts w:ascii="Calibri" w:hAnsi="Calibri"/>
          <w:rtl/>
        </w:rPr>
        <w:t xml:space="preserve">. </w:t>
      </w:r>
    </w:p>
    <w:p w14:paraId="67F4D5D8" w14:textId="77777777" w:rsidR="00BE20C2" w:rsidRDefault="00CC2E5A">
      <w:pPr>
        <w:spacing w:after="160" w:line="360" w:lineRule="auto"/>
        <w:ind w:left="720"/>
        <w:jc w:val="both"/>
        <w:rPr>
          <w:rFonts w:ascii="Calibri" w:hAnsi="Calibri"/>
          <w:rtl/>
        </w:rPr>
      </w:pPr>
      <w:r>
        <w:rPr>
          <w:rFonts w:ascii="Calibri" w:hAnsi="Calibri" w:hint="eastAsia"/>
          <w:rtl/>
        </w:rPr>
        <w:t>אשר</w:t>
      </w:r>
      <w:r>
        <w:rPr>
          <w:rFonts w:ascii="Calibri" w:hAnsi="Calibri"/>
          <w:rtl/>
        </w:rPr>
        <w:t xml:space="preserve"> </w:t>
      </w:r>
      <w:r>
        <w:rPr>
          <w:rFonts w:ascii="Calibri" w:hAnsi="Calibri" w:hint="eastAsia"/>
          <w:rtl/>
        </w:rPr>
        <w:t>לנזק</w:t>
      </w:r>
      <w:r>
        <w:rPr>
          <w:rFonts w:ascii="Calibri" w:hAnsi="Calibri"/>
          <w:rtl/>
        </w:rPr>
        <w:t xml:space="preserve"> </w:t>
      </w:r>
      <w:r>
        <w:rPr>
          <w:rFonts w:ascii="Calibri" w:hAnsi="Calibri" w:hint="eastAsia"/>
          <w:rtl/>
        </w:rPr>
        <w:t>שיגרם</w:t>
      </w:r>
      <w:r>
        <w:rPr>
          <w:rFonts w:ascii="Calibri" w:hAnsi="Calibri"/>
          <w:rtl/>
        </w:rPr>
        <w:t xml:space="preserve"> </w:t>
      </w:r>
      <w:r>
        <w:rPr>
          <w:rFonts w:ascii="Calibri" w:hAnsi="Calibri" w:hint="eastAsia"/>
          <w:rtl/>
        </w:rPr>
        <w:t>לנאשם</w:t>
      </w:r>
      <w:r>
        <w:rPr>
          <w:rFonts w:ascii="Arial" w:hAnsi="Arial"/>
          <w:rtl/>
        </w:rPr>
        <w:t xml:space="preserve">, </w:t>
      </w:r>
      <w:r>
        <w:rPr>
          <w:rFonts w:ascii="Arial" w:hAnsi="Arial" w:hint="cs"/>
          <w:rtl/>
        </w:rPr>
        <w:t xml:space="preserve">נקבע כי </w:t>
      </w:r>
      <w:r>
        <w:rPr>
          <w:rFonts w:ascii="Arial" w:hAnsi="Arial"/>
          <w:rtl/>
        </w:rPr>
        <w:t>"</w:t>
      </w:r>
      <w:r>
        <w:rPr>
          <w:rFonts w:ascii="Arial" w:hAnsi="Arial"/>
          <w:b/>
          <w:bCs/>
          <w:rtl/>
        </w:rPr>
        <w:t>אין</w:t>
      </w:r>
      <w:r>
        <w:rPr>
          <w:rFonts w:ascii="Arial" w:hAnsi="Arial"/>
          <w:b/>
          <w:bCs/>
        </w:rPr>
        <w:t xml:space="preserve"> </w:t>
      </w:r>
      <w:r>
        <w:rPr>
          <w:rFonts w:ascii="Arial" w:hAnsi="Arial"/>
          <w:b/>
          <w:bCs/>
          <w:rtl/>
        </w:rPr>
        <w:t>מקום</w:t>
      </w:r>
      <w:r>
        <w:rPr>
          <w:rFonts w:ascii="Arial" w:hAnsi="Arial"/>
          <w:b/>
          <w:bCs/>
        </w:rPr>
        <w:t xml:space="preserve"> </w:t>
      </w:r>
      <w:r>
        <w:rPr>
          <w:rFonts w:ascii="Arial" w:hAnsi="Arial"/>
          <w:b/>
          <w:bCs/>
          <w:rtl/>
        </w:rPr>
        <w:t>להסתפק ב'תרחיש</w:t>
      </w:r>
      <w:r>
        <w:rPr>
          <w:rFonts w:ascii="Arial" w:hAnsi="Arial"/>
          <w:b/>
          <w:bCs/>
        </w:rPr>
        <w:t xml:space="preserve"> </w:t>
      </w:r>
      <w:r>
        <w:rPr>
          <w:rFonts w:ascii="Arial" w:hAnsi="Arial"/>
          <w:b/>
          <w:bCs/>
          <w:rtl/>
        </w:rPr>
        <w:t>תיאורטי', ויש</w:t>
      </w:r>
      <w:r>
        <w:rPr>
          <w:rFonts w:ascii="Arial" w:hAnsi="Arial"/>
          <w:b/>
          <w:bCs/>
        </w:rPr>
        <w:t xml:space="preserve"> </w:t>
      </w:r>
      <w:r>
        <w:rPr>
          <w:rFonts w:ascii="Arial" w:hAnsi="Arial"/>
          <w:b/>
          <w:bCs/>
          <w:rtl/>
        </w:rPr>
        <w:t>להצביע</w:t>
      </w:r>
      <w:r>
        <w:rPr>
          <w:rFonts w:ascii="Arial" w:hAnsi="Arial"/>
          <w:b/>
          <w:bCs/>
        </w:rPr>
        <w:t xml:space="preserve"> </w:t>
      </w:r>
      <w:r>
        <w:rPr>
          <w:rFonts w:ascii="Arial" w:hAnsi="Arial"/>
          <w:b/>
          <w:bCs/>
          <w:rtl/>
        </w:rPr>
        <w:t>על</w:t>
      </w:r>
      <w:r>
        <w:rPr>
          <w:rFonts w:ascii="Arial" w:hAnsi="Arial"/>
          <w:b/>
          <w:bCs/>
        </w:rPr>
        <w:t xml:space="preserve"> </w:t>
      </w:r>
      <w:r>
        <w:rPr>
          <w:rFonts w:ascii="Arial" w:hAnsi="Arial"/>
          <w:b/>
          <w:bCs/>
          <w:rtl/>
        </w:rPr>
        <w:t>קיומו</w:t>
      </w:r>
      <w:r>
        <w:rPr>
          <w:rFonts w:ascii="Arial" w:hAnsi="Arial" w:hint="cs"/>
          <w:b/>
          <w:bCs/>
          <w:rtl/>
        </w:rPr>
        <w:t xml:space="preserve"> </w:t>
      </w:r>
      <w:r>
        <w:rPr>
          <w:rFonts w:ascii="Arial" w:hAnsi="Arial"/>
          <w:b/>
          <w:bCs/>
          <w:rtl/>
        </w:rPr>
        <w:t>של</w:t>
      </w:r>
      <w:r>
        <w:rPr>
          <w:rFonts w:ascii="Arial" w:hAnsi="Arial"/>
          <w:b/>
          <w:bCs/>
        </w:rPr>
        <w:t xml:space="preserve"> </w:t>
      </w:r>
      <w:r>
        <w:rPr>
          <w:rFonts w:ascii="Arial" w:hAnsi="Arial"/>
          <w:b/>
          <w:bCs/>
          <w:rtl/>
        </w:rPr>
        <w:t>נזק 'מוחשי</w:t>
      </w:r>
      <w:r>
        <w:rPr>
          <w:rFonts w:ascii="Arial" w:hAnsi="Arial"/>
          <w:b/>
          <w:bCs/>
        </w:rPr>
        <w:t xml:space="preserve"> </w:t>
      </w:r>
      <w:r>
        <w:rPr>
          <w:rFonts w:ascii="Arial" w:hAnsi="Arial"/>
          <w:b/>
          <w:bCs/>
          <w:rtl/>
        </w:rPr>
        <w:t>וקונקרטי' אשר</w:t>
      </w:r>
      <w:r>
        <w:rPr>
          <w:rFonts w:ascii="Arial" w:hAnsi="Arial"/>
          <w:b/>
          <w:bCs/>
        </w:rPr>
        <w:t xml:space="preserve"> </w:t>
      </w:r>
      <w:r>
        <w:rPr>
          <w:rFonts w:ascii="Arial" w:hAnsi="Arial"/>
          <w:b/>
          <w:bCs/>
          <w:rtl/>
        </w:rPr>
        <w:t>צפוי</w:t>
      </w:r>
      <w:r>
        <w:rPr>
          <w:rFonts w:ascii="Arial" w:hAnsi="Arial"/>
          <w:b/>
          <w:bCs/>
        </w:rPr>
        <w:t xml:space="preserve"> </w:t>
      </w:r>
      <w:r>
        <w:rPr>
          <w:rFonts w:ascii="Arial" w:hAnsi="Arial"/>
          <w:b/>
          <w:bCs/>
          <w:rtl/>
        </w:rPr>
        <w:t>לנאשם</w:t>
      </w:r>
      <w:r>
        <w:rPr>
          <w:rFonts w:ascii="Arial" w:hAnsi="Arial"/>
          <w:b/>
          <w:bCs/>
        </w:rPr>
        <w:t xml:space="preserve"> </w:t>
      </w:r>
      <w:r>
        <w:rPr>
          <w:rFonts w:ascii="Arial" w:hAnsi="Arial"/>
          <w:b/>
          <w:bCs/>
          <w:rtl/>
        </w:rPr>
        <w:t>כתוצאה</w:t>
      </w:r>
      <w:r>
        <w:rPr>
          <w:rFonts w:ascii="Arial" w:hAnsi="Arial"/>
          <w:b/>
          <w:bCs/>
        </w:rPr>
        <w:t xml:space="preserve"> </w:t>
      </w:r>
      <w:r>
        <w:rPr>
          <w:rFonts w:ascii="Arial" w:hAnsi="Arial"/>
          <w:b/>
          <w:bCs/>
          <w:rtl/>
        </w:rPr>
        <w:t>מעצם</w:t>
      </w:r>
      <w:r>
        <w:rPr>
          <w:rFonts w:ascii="Arial" w:hAnsi="Arial"/>
          <w:b/>
          <w:bCs/>
        </w:rPr>
        <w:t xml:space="preserve"> </w:t>
      </w:r>
      <w:r>
        <w:rPr>
          <w:rFonts w:ascii="Arial" w:hAnsi="Arial"/>
          <w:b/>
          <w:bCs/>
          <w:rtl/>
        </w:rPr>
        <w:t xml:space="preserve">ההרשעה" </w:t>
      </w:r>
      <w:r>
        <w:rPr>
          <w:rFonts w:ascii="Arial" w:hAnsi="Arial"/>
          <w:rtl/>
        </w:rPr>
        <w:t>(</w:t>
      </w:r>
      <w:hyperlink r:id="rId14" w:history="1">
        <w:r w:rsidRPr="00CC2E5A">
          <w:rPr>
            <w:rFonts w:ascii="Arial" w:hAnsi="Arial"/>
            <w:color w:val="0000FF"/>
            <w:u w:val="single"/>
            <w:rtl/>
          </w:rPr>
          <w:t>רע"פ 54/15</w:t>
        </w:r>
      </w:hyperlink>
      <w:r>
        <w:rPr>
          <w:rFonts w:ascii="Arial" w:hAnsi="Arial"/>
          <w:rtl/>
        </w:rPr>
        <w:t xml:space="preserve"> </w:t>
      </w:r>
      <w:r>
        <w:rPr>
          <w:rFonts w:ascii="Arial" w:hAnsi="Arial"/>
          <w:b/>
          <w:bCs/>
          <w:rtl/>
        </w:rPr>
        <w:t xml:space="preserve">פלוני </w:t>
      </w:r>
      <w:r>
        <w:rPr>
          <w:rFonts w:ascii="Arial" w:hAnsi="Arial"/>
          <w:rtl/>
        </w:rPr>
        <w:t xml:space="preserve"> נ' </w:t>
      </w:r>
      <w:r>
        <w:rPr>
          <w:rFonts w:ascii="Arial" w:hAnsi="Arial"/>
          <w:b/>
          <w:bCs/>
          <w:rtl/>
        </w:rPr>
        <w:t>מדינת ישראל</w:t>
      </w:r>
      <w:r>
        <w:rPr>
          <w:rFonts w:ascii="Arial" w:hAnsi="Arial"/>
          <w:rtl/>
        </w:rPr>
        <w:t>, (27.01.15)</w:t>
      </w:r>
      <w:r>
        <w:rPr>
          <w:rFonts w:ascii="Arial" w:hAnsi="Arial" w:hint="cs"/>
          <w:rtl/>
        </w:rPr>
        <w:t>).</w:t>
      </w:r>
    </w:p>
    <w:p w14:paraId="36BCA24D" w14:textId="77777777" w:rsidR="00BE20C2" w:rsidRDefault="00CC2E5A">
      <w:pPr>
        <w:spacing w:after="160" w:line="360" w:lineRule="auto"/>
        <w:ind w:left="720" w:hanging="720"/>
        <w:jc w:val="both"/>
        <w:rPr>
          <w:rFonts w:ascii="Calibri" w:hAnsi="Calibri"/>
          <w:rtl/>
        </w:rPr>
      </w:pPr>
      <w:r>
        <w:rPr>
          <w:rFonts w:ascii="Calibri" w:hAnsi="Calibri"/>
          <w:rtl/>
        </w:rPr>
        <w:t xml:space="preserve">5. </w:t>
      </w:r>
      <w:r>
        <w:rPr>
          <w:rFonts w:ascii="Calibri" w:hAnsi="Calibri"/>
          <w:rtl/>
        </w:rPr>
        <w:tab/>
      </w:r>
      <w:r>
        <w:rPr>
          <w:rFonts w:ascii="Calibri" w:hAnsi="Calibri" w:hint="eastAsia"/>
          <w:rtl/>
        </w:rPr>
        <w:t>בחינת</w:t>
      </w:r>
      <w:r>
        <w:rPr>
          <w:rFonts w:ascii="Calibri" w:hAnsi="Calibri"/>
          <w:rtl/>
        </w:rPr>
        <w:t xml:space="preserve"> </w:t>
      </w:r>
      <w:r>
        <w:rPr>
          <w:rFonts w:ascii="Calibri" w:hAnsi="Calibri" w:hint="eastAsia"/>
          <w:rtl/>
        </w:rPr>
        <w:t>סוג</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cs"/>
          <w:rtl/>
        </w:rPr>
        <w:t xml:space="preserve">במקרה זה, </w:t>
      </w:r>
      <w:r>
        <w:rPr>
          <w:rFonts w:ascii="Calibri" w:hAnsi="Calibri" w:hint="eastAsia"/>
          <w:rtl/>
        </w:rPr>
        <w:t>מעלה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cs"/>
          <w:rtl/>
        </w:rPr>
        <w:t>מדובר בעבירה חמורה מסוג</w:t>
      </w:r>
      <w:r>
        <w:rPr>
          <w:rFonts w:ascii="Calibri" w:hAnsi="Calibri"/>
          <w:rtl/>
        </w:rPr>
        <w:t xml:space="preserve"> </w:t>
      </w:r>
      <w:r>
        <w:rPr>
          <w:rFonts w:ascii="Calibri" w:hAnsi="Calibri" w:hint="eastAsia"/>
          <w:rtl/>
        </w:rPr>
        <w:t>פשע</w:t>
      </w:r>
      <w:r>
        <w:rPr>
          <w:rFonts w:ascii="Calibri" w:hAnsi="Calibri" w:hint="cs"/>
          <w:rtl/>
        </w:rPr>
        <w:t xml:space="preserve">, אשר המחוקק קבע בצידה עונש מירבי של עשרים שנות מאסר, ולא ראה לנכון לאבחן בינה לבין מידת העונש הקבוע לעבירת הסחר בסם. צודק הסנגור בדבריו כי הסוחר בסם הוא דמות דומיננטית ביחס למתווך, ואולם יש לבחון את נסיבותיו של כל מקרה ומקרה: </w:t>
      </w:r>
    </w:p>
    <w:p w14:paraId="7DAB2DD9" w14:textId="77777777" w:rsidR="00BE20C2" w:rsidRDefault="00CC2E5A">
      <w:pPr>
        <w:ind w:left="1440" w:right="1418"/>
        <w:jc w:val="both"/>
      </w:pPr>
      <w:r>
        <w:rPr>
          <w:rFonts w:hint="cs"/>
          <w:rtl/>
        </w:rPr>
        <w:t>"</w:t>
      </w:r>
      <w:r>
        <w:rPr>
          <w:rFonts w:hint="cs"/>
          <w:b/>
          <w:bCs/>
          <w:rtl/>
        </w:rPr>
        <w:t>וזאת לזכור, המחוקק מתייחס לתיווך באותה מידת חומרה כמו למי שעוסק בסחר וכו' לפי סעיף 13 לפקודה, ובסופו של דבר נמדדת חומרת המעשה בכל מקרה על-פי נסיבותיו המיוחדות. יש לעתים סחר, שנסיבותיו קלות יחסית, ויש תיווך שחומרתו רבה, ולהפך</w:t>
      </w:r>
      <w:r>
        <w:rPr>
          <w:rFonts w:hint="cs"/>
          <w:rtl/>
        </w:rPr>
        <w:t>".</w:t>
      </w:r>
    </w:p>
    <w:p w14:paraId="2B0AE1C8" w14:textId="77777777" w:rsidR="00BE20C2" w:rsidRDefault="00BE20C2">
      <w:pPr>
        <w:ind w:left="1440" w:right="1418"/>
        <w:jc w:val="both"/>
        <w:rPr>
          <w:rtl/>
          <w:lang w:eastAsia="he-IL"/>
        </w:rPr>
      </w:pPr>
    </w:p>
    <w:p w14:paraId="5B848A8C" w14:textId="77777777" w:rsidR="00BE20C2" w:rsidRDefault="00CC2E5A">
      <w:pPr>
        <w:tabs>
          <w:tab w:val="left" w:pos="288"/>
          <w:tab w:val="left" w:pos="720"/>
          <w:tab w:val="left" w:pos="1152"/>
          <w:tab w:val="left" w:pos="4896"/>
        </w:tabs>
        <w:adjustRightInd w:val="0"/>
        <w:spacing w:after="80" w:line="260" w:lineRule="exact"/>
        <w:ind w:left="1440" w:right="1418"/>
        <w:jc w:val="both"/>
        <w:rPr>
          <w:rtl/>
        </w:rPr>
      </w:pPr>
      <w:r>
        <w:rPr>
          <w:rFonts w:ascii="FrankRuehl" w:hAnsi="FrankRuehl" w:hint="cs"/>
          <w:color w:val="000000"/>
          <w:rtl/>
        </w:rPr>
        <w:t xml:space="preserve">(ע"פ </w:t>
      </w:r>
      <w:hyperlink r:id="rId15" w:history="1">
        <w:r w:rsidR="00962C4A" w:rsidRPr="00962C4A">
          <w:rPr>
            <w:rFonts w:ascii="FrankRuehl" w:hAnsi="FrankRuehl"/>
            <w:color w:val="0000FF"/>
            <w:u w:val="single"/>
            <w:rtl/>
          </w:rPr>
          <w:t xml:space="preserve">360/80‏ </w:t>
        </w:r>
      </w:hyperlink>
      <w:r>
        <w:rPr>
          <w:rFonts w:ascii="FrankRuehl" w:hAnsi="FrankRuehl" w:hint="cs"/>
          <w:color w:val="000000"/>
          <w:rtl/>
        </w:rPr>
        <w:t xml:space="preserve"> </w:t>
      </w:r>
      <w:r>
        <w:rPr>
          <w:rFonts w:ascii="FrankRuehl" w:hAnsi="FrankRuehl" w:hint="cs"/>
          <w:color w:val="000000"/>
          <w:cs/>
        </w:rPr>
        <w:t>‎</w:t>
      </w:r>
      <w:r>
        <w:rPr>
          <w:rFonts w:ascii="FrankRuehl" w:hAnsi="FrankRuehl" w:hint="cs"/>
          <w:color w:val="000000"/>
        </w:rPr>
        <w:t xml:space="preserve"> </w:t>
      </w:r>
      <w:r>
        <w:rPr>
          <w:rFonts w:ascii="FrankRuehl" w:hAnsi="FrankRuehl" w:hint="cs"/>
          <w:color w:val="000000"/>
          <w:cs/>
        </w:rPr>
        <w:t>‎</w:t>
      </w:r>
      <w:r>
        <w:rPr>
          <w:rFonts w:ascii="FrankRuehl" w:hAnsi="FrankRuehl" w:hint="cs"/>
          <w:b/>
          <w:bCs/>
          <w:color w:val="000000"/>
          <w:rtl/>
        </w:rPr>
        <w:t>מדינת ישראל</w:t>
      </w:r>
      <w:r>
        <w:rPr>
          <w:rFonts w:ascii="FrankRuehl" w:hAnsi="FrankRuehl" w:hint="cs"/>
          <w:color w:val="000000"/>
          <w:cs/>
        </w:rPr>
        <w:t>‎</w:t>
      </w:r>
      <w:r>
        <w:rPr>
          <w:rFonts w:ascii="FrankRuehl" w:hAnsi="FrankRuehl" w:hint="cs"/>
          <w:color w:val="000000"/>
        </w:rPr>
        <w:t xml:space="preserve"> </w:t>
      </w:r>
      <w:r>
        <w:rPr>
          <w:rFonts w:ascii="FrankRuehl" w:hAnsi="FrankRuehl" w:hint="cs"/>
          <w:color w:val="000000"/>
          <w:cs/>
        </w:rPr>
        <w:t>‎</w:t>
      </w:r>
      <w:r>
        <w:rPr>
          <w:rFonts w:ascii="FrankRuehl" w:hAnsi="FrankRuehl" w:hint="cs"/>
          <w:color w:val="000000"/>
          <w:rtl/>
        </w:rPr>
        <w:t xml:space="preserve">נ' </w:t>
      </w:r>
      <w:r>
        <w:rPr>
          <w:rFonts w:ascii="FrankRuehl" w:hAnsi="FrankRuehl" w:hint="cs"/>
          <w:b/>
          <w:bCs/>
          <w:color w:val="000000"/>
          <w:rtl/>
        </w:rPr>
        <w:t>יעקב אפנג'ר</w:t>
      </w:r>
      <w:r>
        <w:rPr>
          <w:rFonts w:ascii="FrankRuehl" w:hAnsi="FrankRuehl" w:hint="cs"/>
          <w:color w:val="000000"/>
          <w:rtl/>
        </w:rPr>
        <w:t>, פ''ד לה(1) 228</w:t>
      </w:r>
      <w:r>
        <w:rPr>
          <w:rFonts w:hint="cs"/>
          <w:rtl/>
        </w:rPr>
        <w:t xml:space="preserve"> (1980),      פסקה 4 לפסק דינה של כב' השופטת בן פורת).</w:t>
      </w:r>
    </w:p>
    <w:p w14:paraId="06C41559" w14:textId="77777777" w:rsidR="00BE20C2" w:rsidRDefault="00BE20C2">
      <w:pPr>
        <w:spacing w:after="160" w:line="360" w:lineRule="auto"/>
        <w:jc w:val="both"/>
        <w:rPr>
          <w:rFonts w:ascii="Calibri" w:hAnsi="Calibri"/>
          <w:rtl/>
        </w:rPr>
      </w:pPr>
    </w:p>
    <w:p w14:paraId="2B73ADCE" w14:textId="77777777" w:rsidR="00BE20C2" w:rsidRDefault="00CC2E5A">
      <w:pPr>
        <w:spacing w:after="160" w:line="360" w:lineRule="auto"/>
        <w:ind w:left="720"/>
        <w:jc w:val="both"/>
        <w:rPr>
          <w:rFonts w:ascii="Calibri" w:hAnsi="Calibri"/>
          <w:rtl/>
        </w:rPr>
      </w:pPr>
      <w:r>
        <w:rPr>
          <w:rFonts w:ascii="Calibri" w:hAnsi="Calibri" w:hint="cs"/>
          <w:rtl/>
        </w:rPr>
        <w:t>במקרה הנדון, הנאשם תיווך לסחר בסם, על רקע של יחסי היכרות וידידות שהתפתחו במכון כושר בו התאמן עם הסוכן (סעיפים 9 ו-14 להכרעת הדין). הנאשם לא נטל חלק פעיל בעסקאות הסחר בסם, ואולם נקבע כי הנאשם לא נזקק לדרבון יתר מצד הסוכן על מנת לתווך בעסקאות אלה (סעיפים 10-11 להכרעת הדין). הנאשם תיאם את פרטי העסקאות, מועד ביצוען, מיקומן, התלווה אל הסוכן, ופעל באופן אקטיבי לשם קידום העסקאות, לאחר פניה ראשונית של הסוכן אליו (סעיפים 9-10 להכרעת הדין). יש לתת משקל נוסף לעובדה שמדובר בארבעה מקרים שונים, בתמורה משמעותית שניתנה בעסקאות, וכן שמדובר בשני סוגי סם מסוכן. חומרת העבירות, בנסיבות אלה, איננה מאפשרת את סיום ההליך ללא הרשעה, כפי שנקבע במקרה בו מדובר היה בשני מקרים של סיוע לסחר בסם בהיקפים דומים למקרה הנדון, עבירה לגביה קבע המחוקק מחצית העונש:</w:t>
      </w:r>
    </w:p>
    <w:p w14:paraId="0FDF93B4" w14:textId="77777777" w:rsidR="00BE20C2" w:rsidRDefault="00CC2E5A">
      <w:pPr>
        <w:spacing w:after="160"/>
        <w:ind w:left="2160" w:right="1418"/>
        <w:jc w:val="both"/>
        <w:rPr>
          <w:rFonts w:ascii="Showcard Gothic" w:hAnsi="Showcard Gothic"/>
          <w:rtl/>
        </w:rPr>
      </w:pPr>
      <w:r>
        <w:rPr>
          <w:rFonts w:ascii="Calibri" w:hAnsi="Calibri" w:hint="cs"/>
          <w:rtl/>
        </w:rPr>
        <w:t>"</w:t>
      </w:r>
      <w:r>
        <w:rPr>
          <w:rFonts w:ascii="Showcard Gothic" w:hAnsi="Showcard Gothic"/>
          <w:b/>
          <w:bCs/>
          <w:rtl/>
        </w:rPr>
        <w:t>בית</w:t>
      </w:r>
      <w:r>
        <w:rPr>
          <w:rFonts w:ascii="Showcard Gothic" w:hAnsi="Showcard Gothic"/>
          <w:b/>
          <w:bCs/>
        </w:rPr>
        <w:t xml:space="preserve"> </w:t>
      </w:r>
      <w:r>
        <w:rPr>
          <w:rFonts w:ascii="Showcard Gothic" w:hAnsi="Showcard Gothic"/>
          <w:b/>
          <w:bCs/>
          <w:rtl/>
        </w:rPr>
        <w:t>משפט</w:t>
      </w:r>
      <w:r>
        <w:rPr>
          <w:rFonts w:ascii="Showcard Gothic" w:hAnsi="Showcard Gothic"/>
          <w:b/>
          <w:bCs/>
        </w:rPr>
        <w:t xml:space="preserve"> </w:t>
      </w:r>
      <w:r>
        <w:rPr>
          <w:rFonts w:ascii="Showcard Gothic" w:hAnsi="Showcard Gothic"/>
          <w:b/>
          <w:bCs/>
          <w:rtl/>
        </w:rPr>
        <w:t>זה</w:t>
      </w:r>
      <w:r>
        <w:rPr>
          <w:rFonts w:ascii="Showcard Gothic" w:hAnsi="Showcard Gothic"/>
          <w:b/>
          <w:bCs/>
        </w:rPr>
        <w:t xml:space="preserve"> </w:t>
      </w:r>
      <w:r>
        <w:rPr>
          <w:rFonts w:ascii="Showcard Gothic" w:hAnsi="Showcard Gothic"/>
          <w:b/>
          <w:bCs/>
          <w:rtl/>
        </w:rPr>
        <w:t>עמד</w:t>
      </w:r>
      <w:r>
        <w:rPr>
          <w:rFonts w:ascii="Showcard Gothic" w:hAnsi="Showcard Gothic"/>
          <w:b/>
          <w:bCs/>
        </w:rPr>
        <w:t xml:space="preserve"> </w:t>
      </w:r>
      <w:r>
        <w:rPr>
          <w:rFonts w:ascii="Showcard Gothic" w:hAnsi="Showcard Gothic"/>
          <w:b/>
          <w:bCs/>
          <w:rtl/>
        </w:rPr>
        <w:t>פעמים</w:t>
      </w:r>
      <w:r>
        <w:rPr>
          <w:rFonts w:ascii="Showcard Gothic" w:hAnsi="Showcard Gothic"/>
          <w:b/>
          <w:bCs/>
        </w:rPr>
        <w:t xml:space="preserve"> </w:t>
      </w:r>
      <w:r>
        <w:rPr>
          <w:rFonts w:ascii="Showcard Gothic" w:hAnsi="Showcard Gothic"/>
          <w:b/>
          <w:bCs/>
          <w:rtl/>
        </w:rPr>
        <w:t>רבות</w:t>
      </w:r>
      <w:r>
        <w:rPr>
          <w:rFonts w:ascii="Showcard Gothic" w:hAnsi="Showcard Gothic"/>
          <w:b/>
          <w:bCs/>
        </w:rPr>
        <w:t xml:space="preserve"> </w:t>
      </w:r>
      <w:r>
        <w:rPr>
          <w:rFonts w:ascii="Showcard Gothic" w:hAnsi="Showcard Gothic"/>
          <w:b/>
          <w:bCs/>
          <w:rtl/>
        </w:rPr>
        <w:t>על</w:t>
      </w:r>
      <w:r>
        <w:rPr>
          <w:rFonts w:ascii="Showcard Gothic" w:hAnsi="Showcard Gothic"/>
          <w:b/>
          <w:bCs/>
        </w:rPr>
        <w:t xml:space="preserve"> </w:t>
      </w:r>
      <w:r>
        <w:rPr>
          <w:rFonts w:ascii="Showcard Gothic" w:hAnsi="Showcard Gothic"/>
          <w:b/>
          <w:bCs/>
          <w:rtl/>
        </w:rPr>
        <w:t>החומרה</w:t>
      </w:r>
      <w:r>
        <w:rPr>
          <w:rFonts w:ascii="Showcard Gothic" w:hAnsi="Showcard Gothic"/>
          <w:b/>
          <w:bCs/>
        </w:rPr>
        <w:t xml:space="preserve"> </w:t>
      </w:r>
      <w:r>
        <w:rPr>
          <w:rFonts w:ascii="Showcard Gothic" w:hAnsi="Showcard Gothic"/>
          <w:b/>
          <w:bCs/>
          <w:rtl/>
        </w:rPr>
        <w:t>הכרוכה</w:t>
      </w:r>
      <w:r>
        <w:rPr>
          <w:rFonts w:ascii="Showcard Gothic" w:hAnsi="Showcard Gothic"/>
          <w:b/>
          <w:bCs/>
        </w:rPr>
        <w:t xml:space="preserve"> </w:t>
      </w:r>
      <w:r>
        <w:rPr>
          <w:rFonts w:ascii="Showcard Gothic" w:hAnsi="Showcard Gothic"/>
          <w:b/>
          <w:bCs/>
          <w:rtl/>
        </w:rPr>
        <w:t>בהפצת</w:t>
      </w:r>
      <w:r>
        <w:rPr>
          <w:rFonts w:ascii="Showcard Gothic" w:hAnsi="Showcard Gothic"/>
          <w:b/>
          <w:bCs/>
        </w:rPr>
        <w:t xml:space="preserve"> </w:t>
      </w:r>
      <w:r>
        <w:rPr>
          <w:rFonts w:ascii="Showcard Gothic" w:hAnsi="Showcard Gothic"/>
          <w:b/>
          <w:bCs/>
          <w:rtl/>
        </w:rPr>
        <w:t>סמים</w:t>
      </w:r>
      <w:r>
        <w:rPr>
          <w:rFonts w:ascii="Showcard Gothic" w:hAnsi="Showcard Gothic"/>
          <w:b/>
          <w:bCs/>
        </w:rPr>
        <w:t xml:space="preserve"> </w:t>
      </w:r>
      <w:r>
        <w:rPr>
          <w:rFonts w:ascii="Showcard Gothic" w:hAnsi="Showcard Gothic"/>
          <w:b/>
          <w:bCs/>
          <w:rtl/>
        </w:rPr>
        <w:t>מסוכנים</w:t>
      </w:r>
      <w:r>
        <w:rPr>
          <w:rFonts w:ascii="Showcard Gothic" w:hAnsi="Showcard Gothic" w:hint="cs"/>
          <w:b/>
          <w:bCs/>
          <w:rtl/>
        </w:rPr>
        <w:t xml:space="preserve"> ועל "</w:t>
      </w:r>
      <w:r>
        <w:rPr>
          <w:rFonts w:ascii="Showcard Gothic" w:hAnsi="Showcard Gothic"/>
          <w:b/>
          <w:bCs/>
          <w:rtl/>
        </w:rPr>
        <w:t>הצורך</w:t>
      </w:r>
      <w:r>
        <w:rPr>
          <w:rFonts w:ascii="Showcard Gothic" w:hAnsi="Showcard Gothic"/>
          <w:b/>
          <w:bCs/>
        </w:rPr>
        <w:t xml:space="preserve"> </w:t>
      </w:r>
      <w:r>
        <w:rPr>
          <w:rFonts w:ascii="Showcard Gothic" w:hAnsi="Showcard Gothic"/>
          <w:b/>
          <w:bCs/>
          <w:rtl/>
        </w:rPr>
        <w:t>להכות</w:t>
      </w:r>
      <w:r>
        <w:rPr>
          <w:rFonts w:ascii="Showcard Gothic" w:hAnsi="Showcard Gothic"/>
          <w:b/>
          <w:bCs/>
        </w:rPr>
        <w:t xml:space="preserve"> </w:t>
      </w:r>
      <w:r>
        <w:rPr>
          <w:rFonts w:ascii="Showcard Gothic" w:hAnsi="Showcard Gothic"/>
          <w:b/>
          <w:bCs/>
          <w:rtl/>
        </w:rPr>
        <w:t>בכל</w:t>
      </w:r>
      <w:r>
        <w:rPr>
          <w:rFonts w:ascii="Showcard Gothic" w:hAnsi="Showcard Gothic"/>
          <w:b/>
          <w:bCs/>
        </w:rPr>
        <w:t xml:space="preserve"> </w:t>
      </w:r>
      <w:r>
        <w:rPr>
          <w:rFonts w:ascii="Showcard Gothic" w:hAnsi="Showcard Gothic"/>
          <w:b/>
          <w:bCs/>
          <w:rtl/>
        </w:rPr>
        <w:t>אחת</w:t>
      </w:r>
      <w:r>
        <w:rPr>
          <w:rFonts w:ascii="Showcard Gothic" w:hAnsi="Showcard Gothic"/>
          <w:b/>
          <w:bCs/>
        </w:rPr>
        <w:t xml:space="preserve"> </w:t>
      </w:r>
      <w:r>
        <w:rPr>
          <w:rFonts w:ascii="Showcard Gothic" w:hAnsi="Showcard Gothic"/>
          <w:b/>
          <w:bCs/>
          <w:rtl/>
        </w:rPr>
        <w:t>מחוליות</w:t>
      </w:r>
      <w:r>
        <w:rPr>
          <w:rFonts w:ascii="Showcard Gothic" w:hAnsi="Showcard Gothic"/>
          <w:b/>
          <w:bCs/>
        </w:rPr>
        <w:t xml:space="preserve"> </w:t>
      </w:r>
      <w:r>
        <w:rPr>
          <w:rFonts w:ascii="Showcard Gothic" w:hAnsi="Showcard Gothic"/>
          <w:b/>
          <w:bCs/>
          <w:rtl/>
        </w:rPr>
        <w:t>הפצת</w:t>
      </w:r>
      <w:r>
        <w:rPr>
          <w:rFonts w:ascii="Showcard Gothic" w:hAnsi="Showcard Gothic"/>
          <w:b/>
          <w:bCs/>
        </w:rPr>
        <w:t xml:space="preserve"> </w:t>
      </w:r>
      <w:r>
        <w:rPr>
          <w:rFonts w:ascii="Showcard Gothic" w:hAnsi="Showcard Gothic"/>
          <w:b/>
          <w:bCs/>
          <w:rtl/>
        </w:rPr>
        <w:t>הס</w:t>
      </w:r>
      <w:r>
        <w:rPr>
          <w:rFonts w:ascii="Showcard Gothic" w:hAnsi="Showcard Gothic" w:hint="cs"/>
          <w:b/>
          <w:bCs/>
          <w:rtl/>
        </w:rPr>
        <w:t xml:space="preserve">ם", </w:t>
      </w:r>
      <w:r>
        <w:rPr>
          <w:rFonts w:ascii="Showcard Gothic" w:hAnsi="Showcard Gothic"/>
          <w:b/>
          <w:bCs/>
          <w:rtl/>
        </w:rPr>
        <w:t>גם</w:t>
      </w:r>
      <w:r>
        <w:rPr>
          <w:rFonts w:ascii="Showcard Gothic" w:hAnsi="Showcard Gothic"/>
          <w:b/>
          <w:bCs/>
        </w:rPr>
        <w:t xml:space="preserve"> </w:t>
      </w:r>
      <w:r>
        <w:rPr>
          <w:rFonts w:ascii="Showcard Gothic" w:hAnsi="Showcard Gothic"/>
          <w:b/>
          <w:bCs/>
          <w:rtl/>
        </w:rPr>
        <w:t>כאשר</w:t>
      </w:r>
      <w:r>
        <w:rPr>
          <w:rFonts w:ascii="Showcard Gothic" w:hAnsi="Showcard Gothic"/>
          <w:b/>
          <w:bCs/>
        </w:rPr>
        <w:t xml:space="preserve"> </w:t>
      </w:r>
      <w:r>
        <w:rPr>
          <w:rFonts w:ascii="Showcard Gothic" w:hAnsi="Showcard Gothic"/>
          <w:b/>
          <w:bCs/>
          <w:rtl/>
        </w:rPr>
        <w:t>מדובר</w:t>
      </w:r>
      <w:r>
        <w:rPr>
          <w:rFonts w:ascii="Showcard Gothic" w:hAnsi="Showcard Gothic"/>
          <w:b/>
          <w:bCs/>
        </w:rPr>
        <w:t xml:space="preserve"> </w:t>
      </w:r>
      <w:r>
        <w:rPr>
          <w:rFonts w:ascii="Showcard Gothic" w:hAnsi="Showcard Gothic"/>
          <w:b/>
          <w:bCs/>
          <w:rtl/>
        </w:rPr>
        <w:t>בשותף</w:t>
      </w:r>
      <w:r>
        <w:rPr>
          <w:rFonts w:ascii="Showcard Gothic" w:hAnsi="Showcard Gothic"/>
          <w:b/>
          <w:bCs/>
        </w:rPr>
        <w:t xml:space="preserve"> </w:t>
      </w:r>
      <w:r>
        <w:rPr>
          <w:rFonts w:ascii="Showcard Gothic" w:hAnsi="Showcard Gothic"/>
          <w:b/>
          <w:bCs/>
          <w:rtl/>
        </w:rPr>
        <w:t>זוטר</w:t>
      </w:r>
      <w:r>
        <w:rPr>
          <w:rFonts w:ascii="Showcard Gothic" w:hAnsi="Showcard Gothic"/>
          <w:b/>
          <w:bCs/>
        </w:rPr>
        <w:t xml:space="preserve"> </w:t>
      </w:r>
      <w:r>
        <w:rPr>
          <w:rFonts w:ascii="Showcard Gothic" w:hAnsi="Showcard Gothic"/>
          <w:b/>
          <w:bCs/>
          <w:rtl/>
        </w:rPr>
        <w:t>בלב</w:t>
      </w:r>
      <w:r>
        <w:rPr>
          <w:rFonts w:ascii="Showcard Gothic" w:hAnsi="Showcard Gothic" w:hint="cs"/>
          <w:b/>
          <w:bCs/>
          <w:rtl/>
        </w:rPr>
        <w:t>ד (</w:t>
      </w:r>
      <w:hyperlink r:id="rId16" w:history="1">
        <w:r w:rsidRPr="00CC2E5A">
          <w:rPr>
            <w:rFonts w:ascii="Showcard Gothic" w:hAnsi="Showcard Gothic" w:hint="eastAsia"/>
            <w:b/>
            <w:bCs/>
            <w:color w:val="0000FF"/>
            <w:u w:val="single"/>
            <w:rtl/>
          </w:rPr>
          <w:t>ע</w:t>
        </w:r>
        <w:r w:rsidRPr="00CC2E5A">
          <w:rPr>
            <w:rFonts w:ascii="Showcard Gothic" w:hAnsi="Showcard Gothic"/>
            <w:b/>
            <w:bCs/>
            <w:color w:val="0000FF"/>
            <w:u w:val="single"/>
            <w:rtl/>
          </w:rPr>
          <w:t>"</w:t>
        </w:r>
        <w:r w:rsidRPr="00CC2E5A">
          <w:rPr>
            <w:rFonts w:ascii="Showcard Gothic" w:hAnsi="Showcard Gothic" w:hint="eastAsia"/>
            <w:b/>
            <w:bCs/>
            <w:color w:val="0000FF"/>
            <w:u w:val="single"/>
            <w:rtl/>
          </w:rPr>
          <w:t>פ</w:t>
        </w:r>
        <w:r w:rsidRPr="00CC2E5A">
          <w:rPr>
            <w:rFonts w:ascii="Showcard Gothic" w:hAnsi="Showcard Gothic"/>
            <w:b/>
            <w:bCs/>
            <w:color w:val="0000FF"/>
            <w:u w:val="single"/>
            <w:rtl/>
          </w:rPr>
          <w:t xml:space="preserve"> 4484/05</w:t>
        </w:r>
      </w:hyperlink>
      <w:r>
        <w:rPr>
          <w:rFonts w:ascii="Showcard Gothic" w:hAnsi="Showcard Gothic" w:hint="cs"/>
          <w:b/>
          <w:bCs/>
          <w:rtl/>
        </w:rPr>
        <w:t xml:space="preserve"> גונן נ' מדינת ישראל [פורסם בנבו] בפסקה 6 (8.8.2006).</w:t>
      </w:r>
      <w:r>
        <w:rPr>
          <w:rFonts w:ascii="Showcard Gothic" w:hAnsi="Showcard Gothic"/>
          <w:b/>
          <w:bCs/>
        </w:rPr>
        <w:t xml:space="preserve"> </w:t>
      </w:r>
      <w:r>
        <w:rPr>
          <w:rFonts w:ascii="Showcard Gothic" w:hAnsi="Showcard Gothic"/>
          <w:b/>
          <w:bCs/>
          <w:rtl/>
        </w:rPr>
        <w:t>בנסיבות</w:t>
      </w:r>
      <w:r>
        <w:rPr>
          <w:rFonts w:ascii="Showcard Gothic" w:hAnsi="Showcard Gothic"/>
          <w:b/>
          <w:bCs/>
        </w:rPr>
        <w:t xml:space="preserve"> </w:t>
      </w:r>
      <w:r>
        <w:rPr>
          <w:rFonts w:ascii="Showcard Gothic" w:hAnsi="Showcard Gothic"/>
          <w:b/>
          <w:bCs/>
          <w:rtl/>
        </w:rPr>
        <w:t>אל</w:t>
      </w:r>
      <w:r>
        <w:rPr>
          <w:rFonts w:ascii="Showcard Gothic" w:hAnsi="Showcard Gothic" w:hint="cs"/>
          <w:b/>
          <w:bCs/>
          <w:rtl/>
        </w:rPr>
        <w:t xml:space="preserve">ו, </w:t>
      </w:r>
      <w:r>
        <w:rPr>
          <w:rFonts w:ascii="Showcard Gothic" w:hAnsi="Showcard Gothic"/>
          <w:b/>
          <w:bCs/>
          <w:rtl/>
        </w:rPr>
        <w:t>אינני</w:t>
      </w:r>
      <w:r>
        <w:rPr>
          <w:rFonts w:ascii="Showcard Gothic" w:hAnsi="Showcard Gothic"/>
          <w:b/>
          <w:bCs/>
        </w:rPr>
        <w:t xml:space="preserve"> </w:t>
      </w:r>
      <w:r>
        <w:rPr>
          <w:rFonts w:ascii="Showcard Gothic" w:hAnsi="Showcard Gothic"/>
          <w:b/>
          <w:bCs/>
          <w:rtl/>
        </w:rPr>
        <w:t>סבור</w:t>
      </w:r>
      <w:r>
        <w:rPr>
          <w:rFonts w:ascii="Showcard Gothic" w:hAnsi="Showcard Gothic"/>
          <w:b/>
          <w:bCs/>
        </w:rPr>
        <w:t xml:space="preserve"> </w:t>
      </w:r>
      <w:r>
        <w:rPr>
          <w:rFonts w:ascii="Showcard Gothic" w:hAnsi="Showcard Gothic"/>
          <w:b/>
          <w:bCs/>
          <w:rtl/>
        </w:rPr>
        <w:t>כי</w:t>
      </w:r>
      <w:r>
        <w:rPr>
          <w:rFonts w:ascii="Showcard Gothic" w:hAnsi="Showcard Gothic"/>
          <w:b/>
          <w:bCs/>
        </w:rPr>
        <w:t xml:space="preserve"> </w:t>
      </w:r>
      <w:r>
        <w:rPr>
          <w:rFonts w:ascii="Showcard Gothic" w:hAnsi="Showcard Gothic"/>
          <w:b/>
          <w:bCs/>
          <w:rtl/>
        </w:rPr>
        <w:t>מתקיים</w:t>
      </w:r>
      <w:r>
        <w:rPr>
          <w:rFonts w:ascii="Showcard Gothic" w:hAnsi="Showcard Gothic"/>
          <w:b/>
          <w:bCs/>
        </w:rPr>
        <w:t xml:space="preserve"> </w:t>
      </w:r>
      <w:r>
        <w:rPr>
          <w:rFonts w:ascii="Showcard Gothic" w:hAnsi="Showcard Gothic"/>
          <w:b/>
          <w:bCs/>
          <w:rtl/>
        </w:rPr>
        <w:t>התנאי</w:t>
      </w:r>
      <w:r>
        <w:rPr>
          <w:rFonts w:ascii="Showcard Gothic" w:hAnsi="Showcard Gothic"/>
          <w:b/>
          <w:bCs/>
        </w:rPr>
        <w:t xml:space="preserve"> </w:t>
      </w:r>
      <w:r>
        <w:rPr>
          <w:rFonts w:ascii="Showcard Gothic" w:hAnsi="Showcard Gothic"/>
          <w:b/>
          <w:bCs/>
          <w:rtl/>
        </w:rPr>
        <w:t>הראשון</w:t>
      </w:r>
      <w:r>
        <w:rPr>
          <w:rFonts w:ascii="Showcard Gothic" w:hAnsi="Showcard Gothic"/>
          <w:b/>
          <w:bCs/>
        </w:rPr>
        <w:t xml:space="preserve"> </w:t>
      </w:r>
      <w:r>
        <w:rPr>
          <w:rFonts w:ascii="Showcard Gothic" w:hAnsi="Showcard Gothic"/>
          <w:b/>
          <w:bCs/>
          <w:rtl/>
        </w:rPr>
        <w:t>המאפשר</w:t>
      </w:r>
      <w:r>
        <w:rPr>
          <w:rFonts w:ascii="Showcard Gothic" w:hAnsi="Showcard Gothic"/>
          <w:b/>
          <w:bCs/>
        </w:rPr>
        <w:t xml:space="preserve"> </w:t>
      </w:r>
      <w:r>
        <w:rPr>
          <w:rFonts w:ascii="Showcard Gothic" w:hAnsi="Showcard Gothic"/>
          <w:b/>
          <w:bCs/>
          <w:rtl/>
        </w:rPr>
        <w:t>להימנע</w:t>
      </w:r>
      <w:r>
        <w:rPr>
          <w:rFonts w:ascii="Showcard Gothic" w:hAnsi="Showcard Gothic"/>
          <w:b/>
          <w:bCs/>
        </w:rPr>
        <w:t xml:space="preserve"> </w:t>
      </w:r>
      <w:r>
        <w:rPr>
          <w:rFonts w:ascii="Showcard Gothic" w:hAnsi="Showcard Gothic"/>
          <w:b/>
          <w:bCs/>
          <w:rtl/>
        </w:rPr>
        <w:t>מהרשע</w:t>
      </w:r>
      <w:r>
        <w:rPr>
          <w:rFonts w:ascii="Showcard Gothic" w:hAnsi="Showcard Gothic" w:hint="cs"/>
          <w:b/>
          <w:bCs/>
          <w:rtl/>
        </w:rPr>
        <w:t>ה,</w:t>
      </w:r>
      <w:r>
        <w:rPr>
          <w:rFonts w:ascii="Showcard Gothic" w:hAnsi="Showcard Gothic"/>
          <w:b/>
          <w:bCs/>
        </w:rPr>
        <w:t xml:space="preserve"> </w:t>
      </w:r>
      <w:r>
        <w:rPr>
          <w:rFonts w:ascii="Showcard Gothic" w:hAnsi="Showcard Gothic"/>
          <w:b/>
          <w:bCs/>
          <w:rtl/>
        </w:rPr>
        <w:t>ולפיכך</w:t>
      </w:r>
      <w:r>
        <w:rPr>
          <w:rFonts w:ascii="Showcard Gothic" w:hAnsi="Showcard Gothic"/>
          <w:b/>
          <w:bCs/>
        </w:rPr>
        <w:t xml:space="preserve"> </w:t>
      </w:r>
      <w:r>
        <w:rPr>
          <w:rFonts w:ascii="Showcard Gothic" w:hAnsi="Showcard Gothic"/>
          <w:b/>
          <w:bCs/>
          <w:rtl/>
        </w:rPr>
        <w:t>המקרה</w:t>
      </w:r>
      <w:r>
        <w:rPr>
          <w:rFonts w:ascii="Showcard Gothic" w:hAnsi="Showcard Gothic"/>
          <w:b/>
          <w:bCs/>
        </w:rPr>
        <w:t xml:space="preserve"> </w:t>
      </w:r>
      <w:r>
        <w:rPr>
          <w:rFonts w:ascii="Showcard Gothic" w:hAnsi="Showcard Gothic"/>
          <w:b/>
          <w:bCs/>
          <w:rtl/>
        </w:rPr>
        <w:t>דנן</w:t>
      </w:r>
      <w:r>
        <w:rPr>
          <w:rFonts w:ascii="Showcard Gothic" w:hAnsi="Showcard Gothic"/>
          <w:b/>
          <w:bCs/>
        </w:rPr>
        <w:t xml:space="preserve"> </w:t>
      </w:r>
      <w:r>
        <w:rPr>
          <w:rFonts w:ascii="Showcard Gothic" w:hAnsi="Showcard Gothic"/>
          <w:b/>
          <w:bCs/>
          <w:rtl/>
        </w:rPr>
        <w:t>אינו</w:t>
      </w:r>
      <w:r>
        <w:rPr>
          <w:rFonts w:ascii="Showcard Gothic" w:hAnsi="Showcard Gothic"/>
          <w:b/>
          <w:bCs/>
        </w:rPr>
        <w:t xml:space="preserve"> </w:t>
      </w:r>
      <w:r>
        <w:rPr>
          <w:rFonts w:ascii="Showcard Gothic" w:hAnsi="Showcard Gothic"/>
          <w:b/>
          <w:bCs/>
          <w:rtl/>
        </w:rPr>
        <w:t>נמנה</w:t>
      </w:r>
      <w:r>
        <w:rPr>
          <w:rFonts w:ascii="Showcard Gothic" w:hAnsi="Showcard Gothic"/>
          <w:b/>
          <w:bCs/>
        </w:rPr>
        <w:t xml:space="preserve"> </w:t>
      </w:r>
      <w:r>
        <w:rPr>
          <w:rFonts w:ascii="Showcard Gothic" w:hAnsi="Showcard Gothic"/>
          <w:b/>
          <w:bCs/>
          <w:rtl/>
        </w:rPr>
        <w:t>על</w:t>
      </w:r>
      <w:r>
        <w:rPr>
          <w:rFonts w:ascii="Showcard Gothic" w:hAnsi="Showcard Gothic"/>
          <w:b/>
          <w:bCs/>
        </w:rPr>
        <w:t xml:space="preserve"> </w:t>
      </w:r>
      <w:r>
        <w:rPr>
          <w:rFonts w:ascii="Showcard Gothic" w:hAnsi="Showcard Gothic"/>
          <w:b/>
          <w:bCs/>
          <w:rtl/>
        </w:rPr>
        <w:t>המקרים</w:t>
      </w:r>
      <w:r>
        <w:rPr>
          <w:rFonts w:ascii="Showcard Gothic" w:hAnsi="Showcard Gothic"/>
          <w:b/>
          <w:bCs/>
        </w:rPr>
        <w:t xml:space="preserve"> </w:t>
      </w:r>
      <w:r>
        <w:rPr>
          <w:rFonts w:ascii="Showcard Gothic" w:hAnsi="Showcard Gothic"/>
          <w:b/>
          <w:bCs/>
          <w:rtl/>
        </w:rPr>
        <w:t>החריגים</w:t>
      </w:r>
      <w:r>
        <w:rPr>
          <w:rFonts w:ascii="Showcard Gothic" w:hAnsi="Showcard Gothic"/>
          <w:b/>
          <w:bCs/>
        </w:rPr>
        <w:t xml:space="preserve"> </w:t>
      </w:r>
      <w:r>
        <w:rPr>
          <w:rFonts w:ascii="Showcard Gothic" w:hAnsi="Showcard Gothic"/>
          <w:b/>
          <w:bCs/>
          <w:rtl/>
        </w:rPr>
        <w:t>המאפשרים</w:t>
      </w:r>
      <w:r>
        <w:rPr>
          <w:rFonts w:ascii="Showcard Gothic" w:hAnsi="Showcard Gothic"/>
          <w:b/>
          <w:bCs/>
        </w:rPr>
        <w:t xml:space="preserve"> </w:t>
      </w:r>
      <w:r>
        <w:rPr>
          <w:rFonts w:ascii="Showcard Gothic" w:hAnsi="Showcard Gothic"/>
          <w:b/>
          <w:bCs/>
          <w:rtl/>
        </w:rPr>
        <w:t>להגיע</w:t>
      </w:r>
      <w:r>
        <w:rPr>
          <w:rFonts w:ascii="Showcard Gothic" w:hAnsi="Showcard Gothic"/>
          <w:b/>
          <w:bCs/>
        </w:rPr>
        <w:t xml:space="preserve"> </w:t>
      </w:r>
      <w:r>
        <w:rPr>
          <w:rFonts w:ascii="Showcard Gothic" w:hAnsi="Showcard Gothic"/>
          <w:b/>
          <w:bCs/>
          <w:rtl/>
        </w:rPr>
        <w:t>לתוצאה</w:t>
      </w:r>
      <w:r>
        <w:rPr>
          <w:rFonts w:ascii="Showcard Gothic" w:hAnsi="Showcard Gothic"/>
          <w:b/>
          <w:bCs/>
        </w:rPr>
        <w:t xml:space="preserve"> </w:t>
      </w:r>
      <w:r>
        <w:rPr>
          <w:rFonts w:ascii="Showcard Gothic" w:hAnsi="Showcard Gothic"/>
          <w:b/>
          <w:bCs/>
          <w:rtl/>
        </w:rPr>
        <w:t>ז</w:t>
      </w:r>
      <w:r>
        <w:rPr>
          <w:rFonts w:ascii="Showcard Gothic" w:hAnsi="Showcard Gothic" w:hint="cs"/>
          <w:b/>
          <w:bCs/>
          <w:rtl/>
        </w:rPr>
        <w:t>ו</w:t>
      </w:r>
      <w:r>
        <w:rPr>
          <w:rFonts w:ascii="Showcard Gothic" w:hAnsi="Showcard Gothic" w:hint="cs"/>
          <w:rtl/>
        </w:rPr>
        <w:t>"</w:t>
      </w:r>
    </w:p>
    <w:p w14:paraId="0F320808" w14:textId="77777777" w:rsidR="00BE20C2" w:rsidRDefault="00CC2E5A">
      <w:pPr>
        <w:spacing w:after="160" w:line="360" w:lineRule="auto"/>
        <w:ind w:left="2160" w:right="1418" w:firstLine="60"/>
        <w:jc w:val="both"/>
        <w:rPr>
          <w:rFonts w:ascii="Showcard Gothic" w:hAnsi="Showcard Gothic"/>
          <w:rtl/>
        </w:rPr>
      </w:pPr>
      <w:r>
        <w:rPr>
          <w:rFonts w:ascii="Showcard Gothic" w:hAnsi="Showcard Gothic" w:hint="cs"/>
          <w:rtl/>
        </w:rPr>
        <w:t>(</w:t>
      </w:r>
      <w:hyperlink r:id="rId17" w:history="1">
        <w:r w:rsidRPr="00CC2E5A">
          <w:rPr>
            <w:rFonts w:ascii="Showcard Gothic" w:hAnsi="Showcard Gothic" w:hint="eastAsia"/>
            <w:color w:val="0000FF"/>
            <w:u w:val="single"/>
            <w:rtl/>
          </w:rPr>
          <w:t>רע</w:t>
        </w:r>
        <w:r w:rsidRPr="00CC2E5A">
          <w:rPr>
            <w:rFonts w:ascii="Showcard Gothic" w:hAnsi="Showcard Gothic"/>
            <w:color w:val="0000FF"/>
            <w:u w:val="single"/>
            <w:rtl/>
          </w:rPr>
          <w:t>"</w:t>
        </w:r>
        <w:r w:rsidRPr="00CC2E5A">
          <w:rPr>
            <w:rFonts w:ascii="Showcard Gothic" w:hAnsi="Showcard Gothic" w:hint="eastAsia"/>
            <w:color w:val="0000FF"/>
            <w:u w:val="single"/>
            <w:rtl/>
          </w:rPr>
          <w:t>פ</w:t>
        </w:r>
        <w:r w:rsidRPr="00CC2E5A">
          <w:rPr>
            <w:rFonts w:ascii="Showcard Gothic" w:hAnsi="Showcard Gothic"/>
            <w:color w:val="0000FF"/>
            <w:u w:val="single"/>
            <w:rtl/>
          </w:rPr>
          <w:t xml:space="preserve"> 1623/14</w:t>
        </w:r>
      </w:hyperlink>
      <w:r>
        <w:rPr>
          <w:rFonts w:ascii="Showcard Gothic" w:hAnsi="Showcard Gothic" w:hint="cs"/>
          <w:rtl/>
        </w:rPr>
        <w:t xml:space="preserve"> </w:t>
      </w:r>
      <w:r>
        <w:rPr>
          <w:rFonts w:ascii="Showcard Gothic" w:hAnsi="Showcard Gothic" w:hint="cs"/>
          <w:b/>
          <w:bCs/>
          <w:rtl/>
        </w:rPr>
        <w:t xml:space="preserve">סיראג גבארה </w:t>
      </w:r>
      <w:r>
        <w:rPr>
          <w:rFonts w:ascii="Showcard Gothic" w:hAnsi="Showcard Gothic" w:hint="cs"/>
          <w:rtl/>
        </w:rPr>
        <w:t xml:space="preserve">נ' </w:t>
      </w:r>
      <w:r>
        <w:rPr>
          <w:rFonts w:ascii="Showcard Gothic" w:hAnsi="Showcard Gothic" w:hint="cs"/>
          <w:b/>
          <w:bCs/>
          <w:rtl/>
        </w:rPr>
        <w:t>מדינת ישראל</w:t>
      </w:r>
      <w:r>
        <w:rPr>
          <w:rFonts w:ascii="Showcard Gothic" w:hAnsi="Showcard Gothic" w:hint="cs"/>
          <w:rtl/>
        </w:rPr>
        <w:t>, (1.04.2014), להלן: "</w:t>
      </w:r>
      <w:r>
        <w:rPr>
          <w:rFonts w:ascii="Showcard Gothic" w:hAnsi="Showcard Gothic" w:hint="cs"/>
          <w:b/>
          <w:bCs/>
          <w:rtl/>
        </w:rPr>
        <w:t>ענין גבארה</w:t>
      </w:r>
      <w:r>
        <w:rPr>
          <w:rFonts w:ascii="Showcard Gothic" w:hAnsi="Showcard Gothic" w:hint="cs"/>
          <w:rtl/>
        </w:rPr>
        <w:t xml:space="preserve">". ראו עוד לענין זה, שני מקרים של תיווך בהיקף הנמוך מהמקרה הנדון, </w:t>
      </w:r>
      <w:hyperlink r:id="rId18" w:history="1">
        <w:r w:rsidRPr="00CC2E5A">
          <w:rPr>
            <w:rFonts w:ascii="Showcard Gothic" w:hAnsi="Showcard Gothic" w:hint="eastAsia"/>
            <w:color w:val="0000FF"/>
            <w:u w:val="single"/>
            <w:rtl/>
          </w:rPr>
          <w:t>רע</w:t>
        </w:r>
        <w:r w:rsidRPr="00CC2E5A">
          <w:rPr>
            <w:rFonts w:ascii="Showcard Gothic" w:hAnsi="Showcard Gothic"/>
            <w:color w:val="0000FF"/>
            <w:u w:val="single"/>
            <w:rtl/>
          </w:rPr>
          <w:t>"</w:t>
        </w:r>
        <w:r w:rsidRPr="00CC2E5A">
          <w:rPr>
            <w:rFonts w:ascii="Showcard Gothic" w:hAnsi="Showcard Gothic" w:hint="eastAsia"/>
            <w:color w:val="0000FF"/>
            <w:u w:val="single"/>
            <w:rtl/>
          </w:rPr>
          <w:t>פ</w:t>
        </w:r>
        <w:r w:rsidRPr="00CC2E5A">
          <w:rPr>
            <w:rFonts w:ascii="Showcard Gothic" w:hAnsi="Showcard Gothic"/>
            <w:color w:val="0000FF"/>
            <w:u w:val="single"/>
            <w:rtl/>
          </w:rPr>
          <w:t xml:space="preserve"> 2657/12</w:t>
        </w:r>
      </w:hyperlink>
      <w:r>
        <w:rPr>
          <w:rFonts w:ascii="Showcard Gothic" w:hAnsi="Showcard Gothic" w:hint="cs"/>
          <w:rtl/>
        </w:rPr>
        <w:t xml:space="preserve"> </w:t>
      </w:r>
      <w:r>
        <w:rPr>
          <w:rFonts w:ascii="Showcard Gothic" w:hAnsi="Showcard Gothic" w:hint="cs"/>
          <w:b/>
          <w:bCs/>
          <w:rtl/>
        </w:rPr>
        <w:t xml:space="preserve">חוסאם שואהנה </w:t>
      </w:r>
      <w:r>
        <w:rPr>
          <w:rFonts w:ascii="Showcard Gothic" w:hAnsi="Showcard Gothic" w:hint="cs"/>
          <w:rtl/>
        </w:rPr>
        <w:t xml:space="preserve">נ' </w:t>
      </w:r>
      <w:r>
        <w:rPr>
          <w:rFonts w:ascii="Showcard Gothic" w:hAnsi="Showcard Gothic" w:hint="cs"/>
          <w:b/>
          <w:bCs/>
          <w:rtl/>
        </w:rPr>
        <w:t xml:space="preserve">מדינת ישראל, </w:t>
      </w:r>
      <w:r>
        <w:rPr>
          <w:rFonts w:ascii="Showcard Gothic" w:hAnsi="Showcard Gothic" w:hint="cs"/>
          <w:rtl/>
        </w:rPr>
        <w:t>(23.05.2012), להלן: "</w:t>
      </w:r>
      <w:r>
        <w:rPr>
          <w:rFonts w:ascii="Showcard Gothic" w:hAnsi="Showcard Gothic" w:hint="cs"/>
          <w:b/>
          <w:bCs/>
          <w:rtl/>
        </w:rPr>
        <w:t>ענין שואהנה</w:t>
      </w:r>
      <w:r>
        <w:rPr>
          <w:rFonts w:ascii="Showcard Gothic" w:hAnsi="Showcard Gothic" w:hint="cs"/>
          <w:rtl/>
        </w:rPr>
        <w:t>").</w:t>
      </w:r>
    </w:p>
    <w:p w14:paraId="0D6AD1C2" w14:textId="77777777" w:rsidR="00BE20C2" w:rsidRDefault="00CC2E5A">
      <w:pPr>
        <w:spacing w:after="160" w:line="360" w:lineRule="auto"/>
        <w:ind w:left="720" w:hanging="720"/>
        <w:jc w:val="both"/>
        <w:rPr>
          <w:rFonts w:ascii="Calibri" w:hAnsi="Calibri"/>
          <w:rtl/>
        </w:rPr>
      </w:pPr>
      <w:r>
        <w:rPr>
          <w:rFonts w:ascii="Calibri" w:hAnsi="Calibri" w:hint="cs"/>
          <w:rtl/>
        </w:rPr>
        <w:t xml:space="preserve">6. </w:t>
      </w:r>
      <w:r>
        <w:rPr>
          <w:rFonts w:ascii="Calibri" w:hAnsi="Calibri"/>
          <w:rtl/>
        </w:rPr>
        <w:tab/>
      </w:r>
      <w:r>
        <w:rPr>
          <w:rFonts w:ascii="Calibri" w:hAnsi="Calibri" w:hint="cs"/>
          <w:rtl/>
        </w:rPr>
        <w:t>למעשה, די בכך שאחד התנאים המצטברים איננו מתקיים, על מנת לדחות את העתירה לביטול הרשעת הנאשם. עם זאת, אבחן אף את התנאי השני: בהתאם לטיעוני הסנגור, הנאשם הינו סטודנט השנה השלישית בלימודי סיעוד, אשר עתידו המקצועי עלול להיפגע מעצם הרשעתו, נוכח האמור ב</w:t>
      </w:r>
      <w:hyperlink r:id="rId19" w:history="1">
        <w:r w:rsidRPr="00CC2E5A">
          <w:rPr>
            <w:rFonts w:ascii="Calibri" w:hAnsi="Calibri" w:hint="eastAsia"/>
            <w:color w:val="0000FF"/>
            <w:u w:val="single"/>
            <w:rtl/>
          </w:rPr>
          <w:t>תקנות</w:t>
        </w:r>
        <w:r w:rsidRPr="00CC2E5A">
          <w:rPr>
            <w:rFonts w:ascii="Calibri" w:hAnsi="Calibri"/>
            <w:color w:val="0000FF"/>
            <w:u w:val="single"/>
            <w:rtl/>
          </w:rPr>
          <w:t xml:space="preserve"> </w:t>
        </w:r>
        <w:r w:rsidRPr="00CC2E5A">
          <w:rPr>
            <w:rFonts w:ascii="Calibri" w:hAnsi="Calibri" w:hint="eastAsia"/>
            <w:color w:val="0000FF"/>
            <w:u w:val="single"/>
            <w:rtl/>
          </w:rPr>
          <w:t>בריאות</w:t>
        </w:r>
        <w:r w:rsidRPr="00CC2E5A">
          <w:rPr>
            <w:rFonts w:ascii="Calibri" w:hAnsi="Calibri"/>
            <w:color w:val="0000FF"/>
            <w:u w:val="single"/>
            <w:rtl/>
          </w:rPr>
          <w:t xml:space="preserve"> </w:t>
        </w:r>
        <w:r w:rsidRPr="00CC2E5A">
          <w:rPr>
            <w:rFonts w:ascii="Calibri" w:hAnsi="Calibri" w:hint="eastAsia"/>
            <w:color w:val="0000FF"/>
            <w:u w:val="single"/>
            <w:rtl/>
          </w:rPr>
          <w:t>העם</w:t>
        </w:r>
        <w:r w:rsidRPr="00CC2E5A">
          <w:rPr>
            <w:rFonts w:ascii="Calibri" w:hAnsi="Calibri"/>
            <w:color w:val="0000FF"/>
            <w:u w:val="single"/>
            <w:rtl/>
          </w:rPr>
          <w:t xml:space="preserve"> (</w:t>
        </w:r>
        <w:r w:rsidRPr="00CC2E5A">
          <w:rPr>
            <w:rFonts w:ascii="Calibri" w:hAnsi="Calibri" w:hint="eastAsia"/>
            <w:color w:val="0000FF"/>
            <w:u w:val="single"/>
            <w:rtl/>
          </w:rPr>
          <w:t>עוסקים</w:t>
        </w:r>
        <w:r w:rsidRPr="00CC2E5A">
          <w:rPr>
            <w:rFonts w:ascii="Calibri" w:hAnsi="Calibri"/>
            <w:color w:val="0000FF"/>
            <w:u w:val="single"/>
            <w:rtl/>
          </w:rPr>
          <w:t xml:space="preserve"> </w:t>
        </w:r>
        <w:r w:rsidRPr="00CC2E5A">
          <w:rPr>
            <w:rFonts w:ascii="Calibri" w:hAnsi="Calibri" w:hint="eastAsia"/>
            <w:color w:val="0000FF"/>
            <w:u w:val="single"/>
            <w:rtl/>
          </w:rPr>
          <w:t>בסיעוד</w:t>
        </w:r>
        <w:r w:rsidRPr="00CC2E5A">
          <w:rPr>
            <w:rFonts w:ascii="Calibri" w:hAnsi="Calibri"/>
            <w:color w:val="0000FF"/>
            <w:u w:val="single"/>
            <w:rtl/>
          </w:rPr>
          <w:t xml:space="preserve"> </w:t>
        </w:r>
        <w:r w:rsidRPr="00CC2E5A">
          <w:rPr>
            <w:rFonts w:ascii="Calibri" w:hAnsi="Calibri" w:hint="eastAsia"/>
            <w:color w:val="0000FF"/>
            <w:u w:val="single"/>
            <w:rtl/>
          </w:rPr>
          <w:t>בבתי</w:t>
        </w:r>
        <w:r w:rsidRPr="00CC2E5A">
          <w:rPr>
            <w:rFonts w:ascii="Calibri" w:hAnsi="Calibri"/>
            <w:color w:val="0000FF"/>
            <w:u w:val="single"/>
            <w:rtl/>
          </w:rPr>
          <w:t xml:space="preserve"> </w:t>
        </w:r>
        <w:r w:rsidRPr="00CC2E5A">
          <w:rPr>
            <w:rFonts w:ascii="Calibri" w:hAnsi="Calibri" w:hint="eastAsia"/>
            <w:color w:val="0000FF"/>
            <w:u w:val="single"/>
            <w:rtl/>
          </w:rPr>
          <w:t>חולים</w:t>
        </w:r>
        <w:r w:rsidRPr="00CC2E5A">
          <w:rPr>
            <w:rFonts w:ascii="Calibri" w:hAnsi="Calibri"/>
            <w:color w:val="0000FF"/>
            <w:u w:val="single"/>
            <w:rtl/>
          </w:rPr>
          <w:t>)</w:t>
        </w:r>
      </w:hyperlink>
      <w:r>
        <w:rPr>
          <w:rFonts w:ascii="Calibri" w:hAnsi="Calibri" w:hint="cs"/>
          <w:rtl/>
        </w:rPr>
        <w:t xml:space="preserve">, התשמ"ט </w:t>
      </w:r>
      <w:r>
        <w:rPr>
          <w:rFonts w:ascii="Calibri" w:hAnsi="Calibri"/>
          <w:rtl/>
        </w:rPr>
        <w:t>–</w:t>
      </w:r>
      <w:r>
        <w:rPr>
          <w:rFonts w:ascii="Calibri" w:hAnsi="Calibri" w:hint="cs"/>
          <w:rtl/>
        </w:rPr>
        <w:t xml:space="preserve"> 1988. </w:t>
      </w:r>
      <w:hyperlink r:id="rId20" w:history="1">
        <w:r w:rsidR="00C31B18" w:rsidRPr="00C31B18">
          <w:rPr>
            <w:rStyle w:val="Hyperlink"/>
            <w:rFonts w:ascii="Calibri" w:hAnsi="Calibri" w:hint="eastAsia"/>
            <w:rtl/>
          </w:rPr>
          <w:t>סעיף</w:t>
        </w:r>
        <w:r w:rsidR="00C31B18" w:rsidRPr="00C31B18">
          <w:rPr>
            <w:rStyle w:val="Hyperlink"/>
            <w:rFonts w:ascii="Calibri" w:hAnsi="Calibri"/>
            <w:rtl/>
          </w:rPr>
          <w:t xml:space="preserve"> 5(</w:t>
        </w:r>
        <w:r w:rsidR="00C31B18" w:rsidRPr="00C31B18">
          <w:rPr>
            <w:rStyle w:val="Hyperlink"/>
            <w:rFonts w:ascii="Calibri" w:hAnsi="Calibri" w:hint="eastAsia"/>
            <w:rtl/>
          </w:rPr>
          <w:t>א</w:t>
        </w:r>
        <w:r w:rsidR="00C31B18" w:rsidRPr="00C31B18">
          <w:rPr>
            <w:rStyle w:val="Hyperlink"/>
            <w:rFonts w:ascii="Calibri" w:hAnsi="Calibri"/>
            <w:rtl/>
          </w:rPr>
          <w:t>)</w:t>
        </w:r>
      </w:hyperlink>
      <w:r>
        <w:rPr>
          <w:rFonts w:ascii="Calibri" w:hAnsi="Calibri" w:hint="cs"/>
          <w:rtl/>
        </w:rPr>
        <w:t xml:space="preserve"> לתקנות, קובע את שיקול דעתה של האחות הראשית, לרשום בפנקס בעל הכשרה מקצועית אשר, בין היתר, "</w:t>
      </w:r>
      <w:r>
        <w:rPr>
          <w:rFonts w:ascii="Calibri" w:hAnsi="Calibri" w:hint="cs"/>
          <w:b/>
          <w:bCs/>
          <w:rtl/>
        </w:rPr>
        <w:t>לא הורשע בעבירה שדינה מאסר שיש בה, לדעת האחות הראשית, כדי למנוע עיסוק בסיעוד</w:t>
      </w:r>
      <w:r>
        <w:rPr>
          <w:rFonts w:ascii="Calibri" w:hAnsi="Calibri" w:hint="cs"/>
          <w:rtl/>
        </w:rPr>
        <w:t xml:space="preserve">". למעשה, מדובר בשיקול דעת הנתון לאחות הראשית, ולא בחיובה בנקיטת הסנקציה של אי-רישום הנאשם (ראו האמור בפסקה 12 בענין גבארה, כן </w:t>
      </w:r>
      <w:hyperlink r:id="rId21" w:history="1">
        <w:r w:rsidRPr="00CC2E5A">
          <w:rPr>
            <w:rFonts w:ascii="Calibri" w:hAnsi="Calibri" w:hint="eastAsia"/>
            <w:color w:val="0000FF"/>
            <w:u w:val="single"/>
            <w:rtl/>
          </w:rPr>
          <w:t>רע</w:t>
        </w:r>
        <w:r w:rsidRPr="00CC2E5A">
          <w:rPr>
            <w:rFonts w:ascii="Calibri" w:hAnsi="Calibri"/>
            <w:color w:val="0000FF"/>
            <w:u w:val="single"/>
            <w:rtl/>
          </w:rPr>
          <w:t>"</w:t>
        </w:r>
        <w:r w:rsidRPr="00CC2E5A">
          <w:rPr>
            <w:rFonts w:ascii="Calibri" w:hAnsi="Calibri" w:hint="eastAsia"/>
            <w:color w:val="0000FF"/>
            <w:u w:val="single"/>
            <w:rtl/>
          </w:rPr>
          <w:t>פ</w:t>
        </w:r>
        <w:r w:rsidRPr="00CC2E5A">
          <w:rPr>
            <w:rFonts w:ascii="Calibri" w:hAnsi="Calibri"/>
            <w:color w:val="0000FF"/>
            <w:u w:val="single"/>
            <w:rtl/>
          </w:rPr>
          <w:t xml:space="preserve"> 654/13</w:t>
        </w:r>
      </w:hyperlink>
      <w:r>
        <w:rPr>
          <w:rFonts w:ascii="Calibri" w:hAnsi="Calibri" w:hint="cs"/>
          <w:rtl/>
        </w:rPr>
        <w:t xml:space="preserve"> </w:t>
      </w:r>
      <w:r>
        <w:rPr>
          <w:rFonts w:ascii="Calibri" w:hAnsi="Calibri" w:hint="cs"/>
          <w:b/>
          <w:bCs/>
          <w:rtl/>
        </w:rPr>
        <w:t xml:space="preserve">אבו בכר </w:t>
      </w:r>
      <w:r>
        <w:rPr>
          <w:rFonts w:ascii="Calibri" w:hAnsi="Calibri" w:hint="cs"/>
          <w:rtl/>
        </w:rPr>
        <w:t xml:space="preserve">נ' </w:t>
      </w:r>
      <w:r>
        <w:rPr>
          <w:rFonts w:ascii="Calibri" w:hAnsi="Calibri" w:hint="cs"/>
          <w:b/>
          <w:bCs/>
          <w:rtl/>
        </w:rPr>
        <w:t>מדינת ישראל</w:t>
      </w:r>
      <w:r>
        <w:rPr>
          <w:rFonts w:ascii="Calibri" w:hAnsi="Calibri" w:hint="eastAsia"/>
          <w:rtl/>
        </w:rPr>
        <w:t>,</w:t>
      </w:r>
      <w:r>
        <w:rPr>
          <w:rFonts w:ascii="Calibri" w:hAnsi="Calibri" w:hint="cs"/>
          <w:rtl/>
        </w:rPr>
        <w:t xml:space="preserve"> (26.2.2013), פסקה 16). אופן הפעלת שיקול הדעת, שונה בהליך זה של רישום עובד סיעודי, לעומת ההליך הפלילי, כפי שנקבע לגבי רישום רוקח: </w:t>
      </w:r>
    </w:p>
    <w:p w14:paraId="55FDB174" w14:textId="77777777" w:rsidR="00BE20C2" w:rsidRDefault="00CC2E5A">
      <w:pPr>
        <w:spacing w:after="160"/>
        <w:ind w:left="2160" w:right="1418"/>
        <w:jc w:val="both"/>
        <w:rPr>
          <w:rtl/>
        </w:rPr>
      </w:pPr>
      <w:r>
        <w:rPr>
          <w:rFonts w:ascii="Calibri" w:hAnsi="Calibri" w:hint="cs"/>
          <w:rtl/>
        </w:rPr>
        <w:t>"</w:t>
      </w:r>
      <w:r>
        <w:rPr>
          <w:b/>
          <w:bCs/>
          <w:rtl/>
        </w:rPr>
        <w:t>ספק</w:t>
      </w:r>
      <w:r>
        <w:rPr>
          <w:b/>
          <w:bCs/>
        </w:rPr>
        <w:t xml:space="preserve"> </w:t>
      </w:r>
      <w:r>
        <w:rPr>
          <w:b/>
          <w:bCs/>
          <w:rtl/>
        </w:rPr>
        <w:t>בעיני</w:t>
      </w:r>
      <w:r>
        <w:rPr>
          <w:b/>
          <w:bCs/>
        </w:rPr>
        <w:t xml:space="preserve"> </w:t>
      </w:r>
      <w:r>
        <w:rPr>
          <w:b/>
          <w:bCs/>
          <w:rtl/>
        </w:rPr>
        <w:t>אם</w:t>
      </w:r>
      <w:r>
        <w:rPr>
          <w:b/>
          <w:bCs/>
        </w:rPr>
        <w:t xml:space="preserve"> </w:t>
      </w:r>
      <w:r>
        <w:rPr>
          <w:b/>
          <w:bCs/>
          <w:rtl/>
        </w:rPr>
        <w:t>קיומו</w:t>
      </w:r>
      <w:r>
        <w:rPr>
          <w:b/>
          <w:bCs/>
        </w:rPr>
        <w:t xml:space="preserve"> </w:t>
      </w:r>
      <w:r>
        <w:rPr>
          <w:b/>
          <w:bCs/>
          <w:rtl/>
        </w:rPr>
        <w:t>של</w:t>
      </w:r>
      <w:r>
        <w:rPr>
          <w:b/>
          <w:bCs/>
        </w:rPr>
        <w:t xml:space="preserve"> </w:t>
      </w:r>
      <w:r>
        <w:rPr>
          <w:b/>
          <w:bCs/>
          <w:rtl/>
        </w:rPr>
        <w:t>עבר</w:t>
      </w:r>
      <w:r>
        <w:rPr>
          <w:b/>
          <w:bCs/>
        </w:rPr>
        <w:t xml:space="preserve"> </w:t>
      </w:r>
      <w:r>
        <w:rPr>
          <w:b/>
          <w:bCs/>
          <w:rtl/>
        </w:rPr>
        <w:t>פליל</w:t>
      </w:r>
      <w:r>
        <w:rPr>
          <w:rFonts w:hint="cs"/>
          <w:b/>
          <w:bCs/>
          <w:rtl/>
        </w:rPr>
        <w:t>י,</w:t>
      </w:r>
      <w:r>
        <w:rPr>
          <w:b/>
          <w:bCs/>
        </w:rPr>
        <w:t xml:space="preserve"> </w:t>
      </w:r>
      <w:r>
        <w:rPr>
          <w:b/>
          <w:bCs/>
          <w:rtl/>
        </w:rPr>
        <w:t>יהא</w:t>
      </w:r>
      <w:r>
        <w:rPr>
          <w:b/>
          <w:bCs/>
        </w:rPr>
        <w:t xml:space="preserve"> </w:t>
      </w:r>
      <w:r>
        <w:rPr>
          <w:b/>
          <w:bCs/>
          <w:rtl/>
        </w:rPr>
        <w:t>טיבו</w:t>
      </w:r>
      <w:r>
        <w:rPr>
          <w:b/>
          <w:bCs/>
        </w:rPr>
        <w:t xml:space="preserve"> </w:t>
      </w:r>
      <w:r>
        <w:rPr>
          <w:b/>
          <w:bCs/>
          <w:rtl/>
        </w:rPr>
        <w:t>אשר</w:t>
      </w:r>
      <w:r>
        <w:rPr>
          <w:b/>
          <w:bCs/>
        </w:rPr>
        <w:t xml:space="preserve"> </w:t>
      </w:r>
      <w:r>
        <w:rPr>
          <w:b/>
          <w:bCs/>
          <w:rtl/>
        </w:rPr>
        <w:t>יהי</w:t>
      </w:r>
      <w:r>
        <w:rPr>
          <w:rFonts w:hint="cs"/>
          <w:b/>
          <w:bCs/>
          <w:rtl/>
        </w:rPr>
        <w:t>ה,</w:t>
      </w:r>
      <w:r>
        <w:rPr>
          <w:b/>
          <w:bCs/>
        </w:rPr>
        <w:t xml:space="preserve"> </w:t>
      </w:r>
      <w:r>
        <w:rPr>
          <w:b/>
          <w:bCs/>
          <w:rtl/>
        </w:rPr>
        <w:t>מהווה</w:t>
      </w:r>
      <w:r>
        <w:rPr>
          <w:b/>
          <w:bCs/>
        </w:rPr>
        <w:t xml:space="preserve"> </w:t>
      </w:r>
      <w:r>
        <w:rPr>
          <w:b/>
          <w:bCs/>
          <w:rtl/>
        </w:rPr>
        <w:t>בפני</w:t>
      </w:r>
      <w:r>
        <w:rPr>
          <w:b/>
          <w:bCs/>
        </w:rPr>
        <w:t xml:space="preserve"> </w:t>
      </w:r>
      <w:r>
        <w:rPr>
          <w:b/>
          <w:bCs/>
          <w:rtl/>
        </w:rPr>
        <w:t>עצמו</w:t>
      </w:r>
      <w:r>
        <w:rPr>
          <w:b/>
          <w:bCs/>
        </w:rPr>
        <w:t xml:space="preserve"> </w:t>
      </w:r>
      <w:r>
        <w:rPr>
          <w:b/>
          <w:bCs/>
          <w:rtl/>
        </w:rPr>
        <w:t>עילה</w:t>
      </w:r>
      <w:r>
        <w:rPr>
          <w:b/>
          <w:bCs/>
        </w:rPr>
        <w:t xml:space="preserve"> </w:t>
      </w:r>
      <w:r>
        <w:rPr>
          <w:b/>
          <w:bCs/>
          <w:rtl/>
        </w:rPr>
        <w:t>מספקת</w:t>
      </w:r>
      <w:r>
        <w:rPr>
          <w:b/>
          <w:bCs/>
        </w:rPr>
        <w:t xml:space="preserve"> </w:t>
      </w:r>
      <w:r>
        <w:rPr>
          <w:b/>
          <w:bCs/>
          <w:rtl/>
        </w:rPr>
        <w:t>לסירוב</w:t>
      </w:r>
      <w:r>
        <w:rPr>
          <w:b/>
          <w:bCs/>
        </w:rPr>
        <w:t xml:space="preserve"> </w:t>
      </w:r>
      <w:r>
        <w:rPr>
          <w:b/>
          <w:bCs/>
          <w:rtl/>
        </w:rPr>
        <w:t>לבקשה</w:t>
      </w:r>
      <w:r>
        <w:rPr>
          <w:b/>
          <w:bCs/>
        </w:rPr>
        <w:t xml:space="preserve"> </w:t>
      </w:r>
      <w:r>
        <w:rPr>
          <w:b/>
          <w:bCs/>
          <w:rtl/>
        </w:rPr>
        <w:t>למתן</w:t>
      </w:r>
      <w:r>
        <w:rPr>
          <w:b/>
          <w:bCs/>
        </w:rPr>
        <w:t xml:space="preserve"> </w:t>
      </w:r>
      <w:r>
        <w:rPr>
          <w:b/>
          <w:bCs/>
          <w:rtl/>
        </w:rPr>
        <w:t>רישיון</w:t>
      </w:r>
      <w:r>
        <w:rPr>
          <w:b/>
          <w:bCs/>
        </w:rPr>
        <w:t xml:space="preserve"> </w:t>
      </w:r>
      <w:r>
        <w:rPr>
          <w:b/>
          <w:bCs/>
          <w:rtl/>
        </w:rPr>
        <w:t>לעסוק</w:t>
      </w:r>
      <w:r>
        <w:rPr>
          <w:b/>
          <w:bCs/>
        </w:rPr>
        <w:t xml:space="preserve"> </w:t>
      </w:r>
      <w:r>
        <w:rPr>
          <w:b/>
          <w:bCs/>
          <w:rtl/>
        </w:rPr>
        <w:t>ברוקחות</w:t>
      </w:r>
      <w:r>
        <w:rPr>
          <w:rFonts w:hint="cs"/>
          <w:rtl/>
        </w:rPr>
        <w:t xml:space="preserve">" </w:t>
      </w:r>
    </w:p>
    <w:p w14:paraId="008D8EE7" w14:textId="77777777" w:rsidR="00BE20C2" w:rsidRDefault="00CC2E5A">
      <w:pPr>
        <w:spacing w:after="160" w:line="360" w:lineRule="auto"/>
        <w:ind w:left="2160"/>
        <w:jc w:val="both"/>
        <w:rPr>
          <w:rtl/>
        </w:rPr>
      </w:pPr>
      <w:r>
        <w:rPr>
          <w:rFonts w:hint="cs"/>
          <w:rtl/>
        </w:rPr>
        <w:t xml:space="preserve">(ענין גבארה, פסקה 12). </w:t>
      </w:r>
    </w:p>
    <w:p w14:paraId="51AFECA3" w14:textId="77777777" w:rsidR="00BE20C2" w:rsidRDefault="00CC2E5A">
      <w:pPr>
        <w:spacing w:after="160" w:line="360" w:lineRule="auto"/>
        <w:ind w:left="720"/>
        <w:jc w:val="both"/>
        <w:rPr>
          <w:rtl/>
        </w:rPr>
      </w:pPr>
      <w:r>
        <w:rPr>
          <w:rFonts w:hint="cs"/>
          <w:rtl/>
        </w:rPr>
        <w:t xml:space="preserve">בנוסף, בנסיבות המקרה, אני מוצא כי אופי העבירות בהן הורשע הנאשם, הינו רלוונטי להפעלת שיקול דעת האחות הראשית, באופן בו תחליט להפעילו, אף אם יגרם בכך נזק לנאשם, זאת לנוכח אופי עבודתו של עובד סיעודי בבתי חולים, מקום בו קיימת נגישות של עובדים לתרופות נרקוטיות. עוד אציין כי הנאשם החל בלימודיו לאחר ביצוע העבירות, ויש לשער כי היה ער לקיומו של סיכון עתידי מסוים באפשרות העסקתו, זאת בשל העבירות שביצע. </w:t>
      </w:r>
    </w:p>
    <w:p w14:paraId="6516164F" w14:textId="77777777" w:rsidR="00BE20C2" w:rsidRDefault="00CC2E5A">
      <w:pPr>
        <w:spacing w:after="160" w:line="360" w:lineRule="auto"/>
        <w:ind w:left="720"/>
        <w:jc w:val="both"/>
      </w:pPr>
      <w:r>
        <w:rPr>
          <w:rFonts w:hint="cs"/>
          <w:rtl/>
        </w:rPr>
        <w:t xml:space="preserve">לאור כל האמור לעיל, העתירה לביטול הרשעת הנאשם - נדחית.  </w:t>
      </w:r>
    </w:p>
    <w:p w14:paraId="1B62CBFD" w14:textId="77777777" w:rsidR="00BE20C2" w:rsidRDefault="00CC2E5A">
      <w:pPr>
        <w:spacing w:after="160" w:line="360" w:lineRule="auto"/>
        <w:jc w:val="both"/>
        <w:rPr>
          <w:rFonts w:ascii="Calibri" w:hAnsi="Calibri"/>
          <w:u w:val="single"/>
          <w:rtl/>
        </w:rPr>
      </w:pPr>
      <w:r>
        <w:rPr>
          <w:rFonts w:ascii="Calibri" w:hAnsi="Calibri" w:hint="cs"/>
          <w:rtl/>
        </w:rPr>
        <w:t xml:space="preserve">  </w:t>
      </w:r>
      <w:r>
        <w:rPr>
          <w:rFonts w:ascii="Calibri" w:hAnsi="Calibri" w:hint="eastAsia"/>
          <w:u w:val="single"/>
          <w:rtl/>
        </w:rPr>
        <w:t>מתחם</w:t>
      </w:r>
      <w:r>
        <w:rPr>
          <w:rFonts w:ascii="Calibri" w:hAnsi="Calibri"/>
          <w:u w:val="single"/>
          <w:rtl/>
        </w:rPr>
        <w:t xml:space="preserve"> </w:t>
      </w:r>
      <w:r>
        <w:rPr>
          <w:rFonts w:ascii="Calibri" w:hAnsi="Calibri" w:hint="cs"/>
          <w:u w:val="single"/>
          <w:rtl/>
        </w:rPr>
        <w:t>ה</w:t>
      </w:r>
      <w:r>
        <w:rPr>
          <w:rFonts w:ascii="Calibri" w:hAnsi="Calibri" w:hint="eastAsia"/>
          <w:u w:val="single"/>
          <w:rtl/>
        </w:rPr>
        <w:t>ענישה</w:t>
      </w:r>
    </w:p>
    <w:p w14:paraId="383862FB" w14:textId="77777777" w:rsidR="00BE20C2" w:rsidRDefault="00CC2E5A">
      <w:pPr>
        <w:spacing w:after="160" w:line="360" w:lineRule="auto"/>
        <w:ind w:left="720" w:hanging="720"/>
        <w:jc w:val="both"/>
        <w:rPr>
          <w:rtl/>
        </w:rPr>
      </w:pPr>
      <w:r>
        <w:rPr>
          <w:rFonts w:ascii="Calibri" w:hAnsi="Calibri" w:hint="cs"/>
          <w:rtl/>
        </w:rPr>
        <w:t>7</w:t>
      </w:r>
      <w:r>
        <w:rPr>
          <w:rFonts w:ascii="Calibri" w:hAnsi="Calibri"/>
          <w:rtl/>
        </w:rPr>
        <w:t xml:space="preserve">. </w:t>
      </w:r>
      <w:r>
        <w:rPr>
          <w:rFonts w:ascii="Calibri" w:hAnsi="Calibri"/>
          <w:rtl/>
        </w:rPr>
        <w:tab/>
      </w:r>
      <w:r>
        <w:rPr>
          <w:rFonts w:ascii="Calibri" w:hAnsi="Calibri" w:hint="eastAsia"/>
          <w:rtl/>
        </w:rPr>
        <w:t>אדם</w:t>
      </w:r>
      <w:r>
        <w:rPr>
          <w:rFonts w:ascii="Calibri" w:hAnsi="Calibri"/>
          <w:rtl/>
        </w:rPr>
        <w:t xml:space="preserve"> </w:t>
      </w:r>
      <w:r>
        <w:rPr>
          <w:rFonts w:ascii="Calibri" w:hAnsi="Calibri" w:hint="eastAsia"/>
          <w:rtl/>
        </w:rPr>
        <w:t>השותף</w:t>
      </w:r>
      <w:r>
        <w:rPr>
          <w:rFonts w:ascii="Calibri" w:hAnsi="Calibri"/>
          <w:rtl/>
        </w:rPr>
        <w:t xml:space="preserve"> </w:t>
      </w:r>
      <w:r>
        <w:rPr>
          <w:rFonts w:ascii="Calibri" w:hAnsi="Calibri" w:hint="eastAsia"/>
          <w:rtl/>
        </w:rPr>
        <w:t>בהוצאת</w:t>
      </w:r>
      <w:r>
        <w:rPr>
          <w:rFonts w:ascii="Calibri" w:hAnsi="Calibri"/>
          <w:rtl/>
        </w:rPr>
        <w:t xml:space="preserve"> </w:t>
      </w:r>
      <w:r>
        <w:rPr>
          <w:rFonts w:ascii="Calibri" w:hAnsi="Calibri" w:hint="eastAsia"/>
          <w:rtl/>
        </w:rPr>
        <w:t>עסקאות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הפועל</w:t>
      </w:r>
      <w:r>
        <w:rPr>
          <w:rFonts w:ascii="Calibri" w:hAnsi="Calibri" w:hint="cs"/>
          <w:rtl/>
        </w:rPr>
        <w:t>,</w:t>
      </w:r>
      <w:r>
        <w:rPr>
          <w:rFonts w:ascii="Calibri" w:hAnsi="Calibri"/>
          <w:rtl/>
        </w:rPr>
        <w:t xml:space="preserve"> </w:t>
      </w:r>
      <w:r>
        <w:rPr>
          <w:rFonts w:ascii="Calibri" w:hAnsi="Calibri" w:hint="eastAsia"/>
          <w:rtl/>
        </w:rPr>
        <w:t>מהווה</w:t>
      </w:r>
      <w:r>
        <w:rPr>
          <w:rFonts w:ascii="Calibri" w:hAnsi="Calibri"/>
          <w:rtl/>
        </w:rPr>
        <w:t xml:space="preserve"> </w:t>
      </w:r>
      <w:r>
        <w:rPr>
          <w:rFonts w:ascii="Calibri" w:hAnsi="Calibri" w:hint="eastAsia"/>
          <w:rtl/>
        </w:rPr>
        <w:t>חלק</w:t>
      </w:r>
      <w:r>
        <w:rPr>
          <w:rFonts w:ascii="Calibri" w:hAnsi="Calibri"/>
          <w:rtl/>
        </w:rPr>
        <w:t xml:space="preserve"> </w:t>
      </w:r>
      <w:r>
        <w:rPr>
          <w:rFonts w:ascii="Calibri" w:hAnsi="Calibri" w:hint="eastAsia"/>
          <w:rtl/>
        </w:rPr>
        <w:t>משרשרת</w:t>
      </w:r>
      <w:r>
        <w:rPr>
          <w:rFonts w:ascii="Calibri" w:hAnsi="Calibri"/>
          <w:rtl/>
        </w:rPr>
        <w:t xml:space="preserve"> </w:t>
      </w:r>
      <w:r>
        <w:rPr>
          <w:rFonts w:ascii="Calibri" w:hAnsi="Calibri" w:hint="eastAsia"/>
          <w:rtl/>
        </w:rPr>
        <w:t>הפצת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שרשרת</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נמנים</w:t>
      </w:r>
      <w:r>
        <w:rPr>
          <w:rFonts w:ascii="Calibri" w:hAnsi="Calibri"/>
          <w:rtl/>
        </w:rPr>
        <w:t xml:space="preserve"> </w:t>
      </w:r>
      <w:r>
        <w:rPr>
          <w:rFonts w:ascii="Calibri" w:hAnsi="Calibri" w:hint="cs"/>
          <w:rtl/>
        </w:rPr>
        <w:t>מגדלי הסם</w:t>
      </w:r>
      <w:r>
        <w:rPr>
          <w:rFonts w:ascii="Calibri" w:hAnsi="Calibri"/>
          <w:rtl/>
        </w:rPr>
        <w:t xml:space="preserve">, </w:t>
      </w:r>
      <w:r>
        <w:rPr>
          <w:rFonts w:ascii="Calibri" w:hAnsi="Calibri" w:hint="cs"/>
          <w:rtl/>
        </w:rPr>
        <w:t xml:space="preserve">יבואני סמים, </w:t>
      </w:r>
      <w:r>
        <w:rPr>
          <w:rFonts w:ascii="Calibri" w:hAnsi="Calibri" w:hint="eastAsia"/>
          <w:rtl/>
        </w:rPr>
        <w:t>מתווכים</w:t>
      </w:r>
      <w:r>
        <w:rPr>
          <w:rFonts w:ascii="Calibri" w:hAnsi="Calibri" w:hint="cs"/>
          <w:rtl/>
        </w:rPr>
        <w:t>,</w:t>
      </w:r>
      <w:r>
        <w:rPr>
          <w:rFonts w:ascii="Calibri" w:hAnsi="Calibri"/>
          <w:rtl/>
        </w:rPr>
        <w:t xml:space="preserve"> </w:t>
      </w:r>
      <w:r>
        <w:rPr>
          <w:rFonts w:ascii="Calibri" w:hAnsi="Calibri" w:hint="eastAsia"/>
          <w:rtl/>
        </w:rPr>
        <w:t>הסוחרים</w:t>
      </w:r>
      <w:r>
        <w:rPr>
          <w:rFonts w:ascii="Calibri" w:hAnsi="Calibri"/>
          <w:rtl/>
        </w:rPr>
        <w:t xml:space="preserve"> </w:t>
      </w:r>
      <w:r>
        <w:rPr>
          <w:rFonts w:ascii="Calibri" w:hAnsi="Calibri" w:hint="cs"/>
          <w:rtl/>
        </w:rPr>
        <w:t xml:space="preserve">בסם </w:t>
      </w:r>
      <w:r>
        <w:rPr>
          <w:rFonts w:ascii="Calibri" w:hAnsi="Calibri" w:hint="eastAsia"/>
          <w:rtl/>
        </w:rPr>
        <w:t>ועוד</w:t>
      </w:r>
      <w:r>
        <w:rPr>
          <w:rFonts w:ascii="Calibri" w:hAnsi="Calibri"/>
          <w:rtl/>
        </w:rPr>
        <w:t>.</w:t>
      </w:r>
      <w:r>
        <w:rPr>
          <w:rFonts w:ascii="Calibri" w:hAnsi="Calibri" w:hint="cs"/>
          <w:rtl/>
        </w:rPr>
        <w:t xml:space="preserve"> פגיעתם של הסמים הינה קשה, החל מהמשתמש בסם, דרך </w:t>
      </w:r>
      <w:r>
        <w:rPr>
          <w:rFonts w:ascii="Calibri" w:hAnsi="Calibri" w:hint="eastAsia"/>
          <w:rtl/>
        </w:rPr>
        <w:t>סביבת</w:t>
      </w:r>
      <w:r>
        <w:rPr>
          <w:rFonts w:ascii="Calibri" w:hAnsi="Calibri" w:hint="cs"/>
          <w:rtl/>
        </w:rPr>
        <w:t>ו</w:t>
      </w:r>
      <w:r>
        <w:rPr>
          <w:rFonts w:ascii="Calibri" w:hAnsi="Calibri"/>
          <w:rtl/>
        </w:rPr>
        <w:t xml:space="preserve"> </w:t>
      </w:r>
      <w:r>
        <w:rPr>
          <w:rFonts w:ascii="Calibri" w:hAnsi="Calibri" w:hint="eastAsia"/>
          <w:rtl/>
        </w:rPr>
        <w:t>הקרובה</w:t>
      </w:r>
      <w:r>
        <w:rPr>
          <w:rFonts w:ascii="Calibri" w:hAnsi="Calibri" w:hint="cs"/>
          <w:rtl/>
        </w:rPr>
        <w:t xml:space="preserve">, משפחתו, ועד לציבור הרחב </w:t>
      </w:r>
      <w:r>
        <w:rPr>
          <w:rFonts w:ascii="Calibri" w:hAnsi="Calibri" w:hint="eastAsia"/>
          <w:rtl/>
        </w:rPr>
        <w:t>אשר</w:t>
      </w:r>
      <w:r>
        <w:rPr>
          <w:rFonts w:ascii="Calibri" w:hAnsi="Calibri"/>
          <w:rtl/>
        </w:rPr>
        <w:t xml:space="preserve"> </w:t>
      </w:r>
      <w:r>
        <w:rPr>
          <w:rFonts w:ascii="Calibri" w:hAnsi="Calibri" w:hint="eastAsia"/>
          <w:rtl/>
        </w:rPr>
        <w:t>נתון</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פעם</w:t>
      </w:r>
      <w:r>
        <w:rPr>
          <w:rFonts w:ascii="Calibri" w:hAnsi="Calibri"/>
          <w:rtl/>
        </w:rPr>
        <w:t xml:space="preserve"> </w:t>
      </w:r>
      <w:r>
        <w:rPr>
          <w:rFonts w:ascii="Calibri" w:hAnsi="Calibri" w:hint="eastAsia"/>
          <w:rtl/>
        </w:rPr>
        <w:t>לפגיעת</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cs"/>
          <w:rtl/>
        </w:rPr>
        <w:t>אותן מבצעים צרכני הסם על מנת לממנו.</w:t>
      </w:r>
      <w:r>
        <w:rPr>
          <w:rFonts w:ascii="Calibri" w:hAnsi="Calibri"/>
          <w:rtl/>
        </w:rPr>
        <w:t xml:space="preserve"> </w:t>
      </w:r>
      <w:r>
        <w:rPr>
          <w:rFonts w:ascii="Calibri" w:hAnsi="Calibri" w:hint="cs"/>
          <w:rtl/>
        </w:rPr>
        <w:t xml:space="preserve">בתי המשפט קראו לא פעם למלחמת חורמה בהפצת הסם, על כל מרכיבי שרשרת הפצתו. יחד עם זאת, יש לבחון כל מקרה לגופו. </w:t>
      </w:r>
      <w:r>
        <w:rPr>
          <w:rFonts w:ascii="Calibri" w:hAnsi="Calibri" w:hint="eastAsia"/>
          <w:rtl/>
        </w:rPr>
        <w:t>בנסיבות</w:t>
      </w:r>
      <w:r>
        <w:rPr>
          <w:rFonts w:ascii="Calibri" w:hAnsi="Calibri"/>
          <w:rtl/>
        </w:rPr>
        <w:t xml:space="preserve"> </w:t>
      </w:r>
      <w:r>
        <w:rPr>
          <w:rFonts w:ascii="Calibri" w:hAnsi="Calibri" w:hint="eastAsia"/>
          <w:rtl/>
        </w:rPr>
        <w:t>המקר</w:t>
      </w:r>
      <w:r>
        <w:rPr>
          <w:rFonts w:ascii="Calibri" w:hAnsi="Calibri" w:hint="cs"/>
          <w:rtl/>
        </w:rPr>
        <w:t>ה הנדון, מדובר בארבעה מקרים אשר אירעו במועדים קרובים, עסקו בעבירות דומות, וכלפי אותו סוכן. לפיכך, בהתאם למבחן הקשר ההדוק, יש לקבוע מתחם ענישה אחד השוקל את כל המקרים (</w:t>
      </w:r>
      <w:r>
        <w:rPr>
          <w:rFonts w:hint="cs"/>
          <w:rtl/>
        </w:rPr>
        <w:t xml:space="preserve">ראו לעניין זה </w:t>
      </w:r>
      <w:hyperlink r:id="rId22" w:history="1">
        <w:r w:rsidRPr="00CC2E5A">
          <w:rPr>
            <w:color w:val="0000FF"/>
            <w:u w:val="single"/>
            <w:rtl/>
          </w:rPr>
          <w:t>ע"פ 6341-14</w:t>
        </w:r>
      </w:hyperlink>
      <w:r>
        <w:rPr>
          <w:rFonts w:hint="cs"/>
          <w:rtl/>
        </w:rPr>
        <w:t xml:space="preserve"> </w:t>
      </w:r>
      <w:r>
        <w:rPr>
          <w:rFonts w:hint="cs"/>
          <w:b/>
          <w:bCs/>
          <w:rtl/>
        </w:rPr>
        <w:t>בן אישטי</w:t>
      </w:r>
      <w:r>
        <w:rPr>
          <w:rFonts w:hint="cs"/>
          <w:rtl/>
        </w:rPr>
        <w:t xml:space="preserve"> נ' </w:t>
      </w:r>
      <w:r>
        <w:rPr>
          <w:rFonts w:hint="cs"/>
          <w:b/>
          <w:bCs/>
          <w:rtl/>
        </w:rPr>
        <w:t>מדינת ישראל</w:t>
      </w:r>
      <w:r>
        <w:rPr>
          <w:rFonts w:hint="cs"/>
          <w:rtl/>
        </w:rPr>
        <w:t xml:space="preserve"> (8.7.15); ע"פ </w:t>
      </w:r>
      <w:hyperlink r:id="rId23" w:history="1">
        <w:r w:rsidR="00962C4A" w:rsidRPr="00962C4A">
          <w:rPr>
            <w:color w:val="0000FF"/>
            <w:u w:val="single"/>
            <w:rtl/>
          </w:rPr>
          <w:t xml:space="preserve">3614-14 </w:t>
        </w:r>
      </w:hyperlink>
      <w:r>
        <w:rPr>
          <w:rFonts w:hint="cs"/>
          <w:rtl/>
        </w:rPr>
        <w:t xml:space="preserve"> </w:t>
      </w:r>
      <w:r>
        <w:rPr>
          <w:rFonts w:hint="cs"/>
          <w:b/>
          <w:bCs/>
          <w:rtl/>
        </w:rPr>
        <w:t>גיא פן</w:t>
      </w:r>
      <w:r>
        <w:rPr>
          <w:rFonts w:hint="cs"/>
          <w:rtl/>
        </w:rPr>
        <w:t xml:space="preserve"> נ' </w:t>
      </w:r>
      <w:r>
        <w:rPr>
          <w:rFonts w:hint="cs"/>
          <w:b/>
          <w:bCs/>
          <w:rtl/>
        </w:rPr>
        <w:t>מדינת ישראל</w:t>
      </w:r>
      <w:r>
        <w:rPr>
          <w:rFonts w:hint="cs"/>
          <w:rtl/>
        </w:rPr>
        <w:t xml:space="preserve"> (29.6.15)).</w:t>
      </w:r>
    </w:p>
    <w:p w14:paraId="663A0841" w14:textId="77777777" w:rsidR="00BE20C2" w:rsidRDefault="00CC2E5A">
      <w:pPr>
        <w:spacing w:after="160" w:line="360" w:lineRule="auto"/>
        <w:ind w:left="720"/>
        <w:jc w:val="both"/>
        <w:rPr>
          <w:rFonts w:ascii="Calibri" w:hAnsi="Calibri"/>
          <w:rtl/>
        </w:rPr>
      </w:pPr>
      <w:r>
        <w:rPr>
          <w:rFonts w:hint="cs"/>
          <w:rtl/>
        </w:rPr>
        <w:t>בהתאם לנסיבות כתב אישום זה, יש לשקול את העובדה שמדובר בארבעה מקרים שונים, בכמות סם לא מבוטלת, בתמורה משמעותית, ובשני סוגי סם. לצד זאת, יש לשקול את הרקע החברי לביצוע העבירות, כפי שנקבע בהכרעת הדין, וכן את העובדה שהנאשם לא סחר בסם המסוכן אלא תיווך בעסקה, הכל בהתאם לבקשות הסוכן (ראו פירוט והתייחסות לגבי חלקו של הנאשם בעסקאות, בסעיף 14 להכרעת הדין)</w:t>
      </w:r>
      <w:r>
        <w:rPr>
          <w:rFonts w:ascii="Calibri" w:hAnsi="Calibri" w:hint="cs"/>
          <w:rtl/>
        </w:rPr>
        <w:t>. אשר לטענת ההדחה לה טען הסנגור, מדובר בטענה שנדחתה בהכרעת הדין: לא מצאתי כי הסוכן הדיח את הנאשם לביצוע העבירות, ודאי שלא באופן העונה על הדחה שיש בה כדי להביא לזיכויו או להשפיע על מידת העונש. הסוכן הוא זה שפנה אל הנאשם, ובעקבות הפניה הנאשם פעל כפי שפעל, כמפורט בהכרעת הדין.</w:t>
      </w:r>
    </w:p>
    <w:p w14:paraId="5B5B93FB" w14:textId="77777777" w:rsidR="00BE20C2" w:rsidRDefault="00CC2E5A">
      <w:pPr>
        <w:spacing w:after="160" w:line="360" w:lineRule="auto"/>
        <w:ind w:left="720"/>
        <w:jc w:val="both"/>
        <w:rPr>
          <w:rFonts w:ascii="Calibri" w:hAnsi="Calibri"/>
          <w:rtl/>
        </w:rPr>
      </w:pPr>
      <w:r>
        <w:rPr>
          <w:rFonts w:ascii="Calibri" w:hAnsi="Calibri" w:hint="cs"/>
          <w:rtl/>
        </w:rPr>
        <w:t xml:space="preserve">עיון בפסיקה הנוהגת, מעלה כי בתי המשפט נוטים להטיל לכל הפחות מאסר בעבודות שרות בגין עבירות דומות ואף פחות חמורות ממקרה זה (ענין שואהנה, ואף </w:t>
      </w:r>
      <w:hyperlink r:id="rId24" w:history="1">
        <w:r w:rsidRPr="00CC2E5A">
          <w:rPr>
            <w:rFonts w:ascii="Calibri" w:hAnsi="Calibri" w:hint="eastAsia"/>
            <w:color w:val="0000FF"/>
            <w:u w:val="single"/>
            <w:rtl/>
          </w:rPr>
          <w:t>ת</w:t>
        </w:r>
        <w:r w:rsidRPr="00CC2E5A">
          <w:rPr>
            <w:rFonts w:ascii="Calibri" w:hAnsi="Calibri"/>
            <w:color w:val="0000FF"/>
            <w:u w:val="single"/>
            <w:rtl/>
          </w:rPr>
          <w:t>"</w:t>
        </w:r>
        <w:r w:rsidRPr="00CC2E5A">
          <w:rPr>
            <w:rFonts w:ascii="Calibri" w:hAnsi="Calibri" w:hint="eastAsia"/>
            <w:color w:val="0000FF"/>
            <w:u w:val="single"/>
            <w:rtl/>
          </w:rPr>
          <w:t>פ</w:t>
        </w:r>
        <w:r w:rsidRPr="00CC2E5A">
          <w:rPr>
            <w:rFonts w:ascii="Calibri" w:hAnsi="Calibri"/>
            <w:color w:val="0000FF"/>
            <w:u w:val="single"/>
            <w:rtl/>
          </w:rPr>
          <w:t xml:space="preserve">  8123-04-14</w:t>
        </w:r>
      </w:hyperlink>
      <w:r>
        <w:rPr>
          <w:rFonts w:ascii="Calibri" w:hAnsi="Calibri" w:hint="cs"/>
          <w:rtl/>
        </w:rPr>
        <w:t>, אליו היפנה הסנגור).</w:t>
      </w:r>
    </w:p>
    <w:p w14:paraId="6348F360" w14:textId="77777777" w:rsidR="00BE20C2" w:rsidRDefault="00CC2E5A">
      <w:pPr>
        <w:spacing w:after="160" w:line="360" w:lineRule="auto"/>
        <w:ind w:left="720"/>
        <w:jc w:val="both"/>
        <w:rPr>
          <w:rFonts w:ascii="Calibri" w:hAnsi="Calibri"/>
          <w:rtl/>
        </w:rPr>
      </w:pPr>
      <w:r>
        <w:rPr>
          <w:rFonts w:ascii="Calibri" w:hAnsi="Calibri" w:hint="cs"/>
          <w:rtl/>
        </w:rPr>
        <w:t xml:space="preserve">לאחר ששקלתי את כל האמור לעיל, אני קובע כי מתחם הענישה באירוע זה, נע בין שלושה חודשי מאסר שירוצו בעבודות שרות, ועד 15 חודשי מאסר בפועל. </w:t>
      </w:r>
    </w:p>
    <w:p w14:paraId="00AD98FF" w14:textId="77777777" w:rsidR="00BE20C2" w:rsidRDefault="00CC2E5A">
      <w:pPr>
        <w:spacing w:after="160" w:line="360" w:lineRule="auto"/>
        <w:jc w:val="both"/>
        <w:rPr>
          <w:rFonts w:ascii="Calibri" w:hAnsi="Calibri"/>
          <w:u w:val="single"/>
          <w:rtl/>
        </w:rPr>
      </w:pPr>
      <w:r>
        <w:rPr>
          <w:rFonts w:ascii="Calibri" w:hAnsi="Calibri" w:hint="eastAsia"/>
          <w:u w:val="single"/>
          <w:rtl/>
        </w:rPr>
        <w:t>העונש</w:t>
      </w:r>
      <w:r>
        <w:rPr>
          <w:rFonts w:ascii="Calibri" w:hAnsi="Calibri"/>
          <w:u w:val="single"/>
          <w:rtl/>
        </w:rPr>
        <w:t xml:space="preserve"> </w:t>
      </w:r>
      <w:r>
        <w:rPr>
          <w:rFonts w:ascii="Calibri" w:hAnsi="Calibri" w:hint="eastAsia"/>
          <w:u w:val="single"/>
          <w:rtl/>
        </w:rPr>
        <w:t>המתאים</w:t>
      </w:r>
    </w:p>
    <w:p w14:paraId="1ED3306D" w14:textId="77777777" w:rsidR="00BE20C2" w:rsidRDefault="00CC2E5A">
      <w:pPr>
        <w:spacing w:after="160" w:line="360" w:lineRule="auto"/>
        <w:ind w:left="720" w:hanging="720"/>
        <w:jc w:val="both"/>
        <w:rPr>
          <w:rFonts w:ascii="Calibri" w:hAnsi="Calibri"/>
          <w:rtl/>
        </w:rPr>
      </w:pPr>
      <w:r>
        <w:rPr>
          <w:rFonts w:ascii="Calibri" w:hAnsi="Calibri"/>
          <w:rtl/>
        </w:rPr>
        <w:t xml:space="preserve">8. </w:t>
      </w:r>
      <w:r>
        <w:rPr>
          <w:rFonts w:ascii="Calibri" w:hAnsi="Calibri"/>
          <w:rtl/>
        </w:rPr>
        <w:tab/>
      </w:r>
      <w:r>
        <w:rPr>
          <w:rFonts w:ascii="Calibri" w:hAnsi="Calibri" w:hint="eastAsia"/>
          <w:rtl/>
        </w:rPr>
        <w:t>מדובר</w:t>
      </w:r>
      <w:r>
        <w:rPr>
          <w:rFonts w:ascii="Calibri" w:hAnsi="Calibri"/>
          <w:rtl/>
        </w:rPr>
        <w:t xml:space="preserve"> </w:t>
      </w:r>
      <w:r>
        <w:rPr>
          <w:rFonts w:ascii="Calibri" w:hAnsi="Calibri" w:hint="eastAsia"/>
          <w:rtl/>
        </w:rPr>
        <w:t>במעידה</w:t>
      </w:r>
      <w:r>
        <w:rPr>
          <w:rFonts w:ascii="Calibri" w:hAnsi="Calibri"/>
          <w:rtl/>
        </w:rPr>
        <w:t xml:space="preserve"> </w:t>
      </w:r>
      <w:r>
        <w:rPr>
          <w:rFonts w:ascii="Calibri" w:hAnsi="Calibri" w:hint="cs"/>
          <w:rtl/>
        </w:rPr>
        <w:t xml:space="preserve">בודדת של הנאשם, נעדר כל הרשעות נוספות, אשר התרחשה על פני </w:t>
      </w:r>
      <w:r>
        <w:rPr>
          <w:rFonts w:ascii="Calibri" w:hAnsi="Calibri" w:hint="eastAsia"/>
          <w:rtl/>
        </w:rPr>
        <w:t>תקופה</w:t>
      </w:r>
      <w:r>
        <w:rPr>
          <w:rFonts w:ascii="Calibri" w:hAnsi="Calibri"/>
          <w:rtl/>
        </w:rPr>
        <w:t xml:space="preserve"> </w:t>
      </w:r>
      <w:r>
        <w:rPr>
          <w:rFonts w:ascii="Calibri" w:hAnsi="Calibri" w:hint="eastAsia"/>
          <w:rtl/>
        </w:rPr>
        <w:t>קצרה</w:t>
      </w:r>
      <w:r>
        <w:rPr>
          <w:rFonts w:ascii="Calibri" w:hAnsi="Calibri"/>
          <w:rtl/>
        </w:rPr>
        <w:t xml:space="preserve">, </w:t>
      </w:r>
      <w:r>
        <w:rPr>
          <w:rFonts w:ascii="Calibri" w:hAnsi="Calibri" w:hint="cs"/>
          <w:rtl/>
        </w:rPr>
        <w:t xml:space="preserve">ולא הביאה בפועל </w:t>
      </w:r>
      <w:r>
        <w:rPr>
          <w:rFonts w:ascii="Calibri" w:hAnsi="Calibri" w:hint="eastAsia"/>
          <w:rtl/>
        </w:rPr>
        <w:t>לנזק</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הועבר</w:t>
      </w:r>
      <w:r>
        <w:rPr>
          <w:rFonts w:ascii="Calibri" w:hAnsi="Calibri"/>
          <w:rtl/>
        </w:rPr>
        <w:t xml:space="preserve"> </w:t>
      </w:r>
      <w:r>
        <w:rPr>
          <w:rFonts w:ascii="Calibri" w:hAnsi="Calibri" w:hint="eastAsia"/>
          <w:rtl/>
        </w:rPr>
        <w:t>ל</w:t>
      </w:r>
      <w:r>
        <w:rPr>
          <w:rFonts w:ascii="Calibri" w:hAnsi="Calibri" w:hint="cs"/>
          <w:rtl/>
        </w:rPr>
        <w:t xml:space="preserve">ידי </w:t>
      </w:r>
      <w:r>
        <w:rPr>
          <w:rFonts w:ascii="Calibri" w:hAnsi="Calibri" w:hint="eastAsia"/>
          <w:rtl/>
        </w:rPr>
        <w:t>סוכן</w:t>
      </w:r>
      <w:r>
        <w:rPr>
          <w:rFonts w:ascii="Calibri" w:hAnsi="Calibri"/>
          <w:rtl/>
        </w:rPr>
        <w:t xml:space="preserve"> </w:t>
      </w:r>
      <w:r>
        <w:rPr>
          <w:rFonts w:ascii="Calibri" w:hAnsi="Calibri" w:hint="eastAsia"/>
          <w:rtl/>
        </w:rPr>
        <w:t>משטרתי</w:t>
      </w:r>
      <w:r>
        <w:rPr>
          <w:rFonts w:ascii="Calibri" w:hAnsi="Calibri"/>
          <w:rtl/>
        </w:rPr>
        <w:t xml:space="preserve">. </w:t>
      </w:r>
      <w:r>
        <w:rPr>
          <w:rFonts w:ascii="Calibri" w:hAnsi="Calibri" w:hint="cs"/>
          <w:rtl/>
        </w:rPr>
        <w:t xml:space="preserve">הנאשם ביצע עבירות אלה על פני תקופה קצרה, כאשר בדרך כלל נהג ונוהג לנהל אורח חיים נורמטיבי. במהלך ניהול התיק, מיקד הנאשם את טיעוני הגנתו באופי הפעולות שביצע, ובטיעונים משפטיים בדבר הדחתו על ידי הסוכן. לבסוף, לאחר הרשעתו, הביע הנאשם חרטה על מעשיו. נסיבות אלה מציבות את הנאשם ברף הנמוך של מתחם הענישה, אך אין בהן כדי להביא לחריגה ממנו לקולא, בשם שיקולי שיקום. </w:t>
      </w:r>
    </w:p>
    <w:p w14:paraId="26F58B82" w14:textId="77777777" w:rsidR="00BE20C2" w:rsidRDefault="00CC2E5A">
      <w:pPr>
        <w:spacing w:after="160" w:line="360" w:lineRule="auto"/>
        <w:ind w:left="720"/>
        <w:jc w:val="both"/>
        <w:rPr>
          <w:rFonts w:ascii="Calibri" w:hAnsi="Calibri"/>
          <w:rtl/>
        </w:rPr>
      </w:pPr>
      <w:r>
        <w:rPr>
          <w:rFonts w:ascii="Calibri" w:hAnsi="Calibri" w:hint="cs"/>
          <w:rtl/>
        </w:rPr>
        <w:t xml:space="preserve">באופן דומה, אין בענישה שהוטלה על המעורבים הנוספים, כדי להשפיע על עונשו של נאשם זה, באופן של חריגה ממתחם הענישה: עניינו של סוחר הסמים בשיר, הסתיים במסגרת הסדר טיעון, בהארכת מאסר מותנה וכן צו של"צ משמעותי. אותו בשיר, אשר ביצע את העבירות על רקע של התמכרות לסמים קשים, בהיותו מחוסר מקום מגורים, עבודה ומסגרת קבועה, ביצע הליך שיקומי ממושך ומרשים, אשר כלל שנה בקהילה טיפולית ועוד. אין זה המצב בעניינו של הנאשם שלפני, אשר ביצע את העבירות בהיותו סטודנט לימודי חינוך, ולא עבר הליך טיפולי כלשהו. באופן דומה, על מעורב נוסף שעניינו נדון לפני בגין סחר בסם </w:t>
      </w:r>
      <w:r>
        <w:rPr>
          <w:rFonts w:ascii="Calibri" w:hAnsi="Calibri" w:hint="cs"/>
          <w:u w:val="single"/>
          <w:rtl/>
        </w:rPr>
        <w:t>באחד המקרים בלבד</w:t>
      </w:r>
      <w:r>
        <w:rPr>
          <w:rFonts w:ascii="Calibri" w:hAnsi="Calibri" w:hint="cs"/>
          <w:rtl/>
        </w:rPr>
        <w:t xml:space="preserve">, במסגרת </w:t>
      </w:r>
      <w:hyperlink r:id="rId25" w:history="1">
        <w:r w:rsidRPr="00CC2E5A">
          <w:rPr>
            <w:rFonts w:ascii="Calibri" w:hAnsi="Calibri" w:hint="eastAsia"/>
            <w:color w:val="0000FF"/>
            <w:u w:val="single"/>
            <w:rtl/>
          </w:rPr>
          <w:t>ת</w:t>
        </w:r>
        <w:r w:rsidRPr="00CC2E5A">
          <w:rPr>
            <w:rFonts w:ascii="Calibri" w:hAnsi="Calibri"/>
            <w:color w:val="0000FF"/>
            <w:u w:val="single"/>
            <w:rtl/>
          </w:rPr>
          <w:t>"</w:t>
        </w:r>
        <w:r w:rsidRPr="00CC2E5A">
          <w:rPr>
            <w:rFonts w:ascii="Calibri" w:hAnsi="Calibri" w:hint="eastAsia"/>
            <w:color w:val="0000FF"/>
            <w:u w:val="single"/>
            <w:rtl/>
          </w:rPr>
          <w:t>פ</w:t>
        </w:r>
        <w:r w:rsidRPr="00CC2E5A">
          <w:rPr>
            <w:rFonts w:ascii="Calibri" w:hAnsi="Calibri"/>
            <w:color w:val="0000FF"/>
            <w:u w:val="single"/>
            <w:rtl/>
          </w:rPr>
          <w:t xml:space="preserve"> 57334-05-13</w:t>
        </w:r>
      </w:hyperlink>
      <w:r>
        <w:rPr>
          <w:rFonts w:ascii="Calibri" w:hAnsi="Calibri" w:hint="cs"/>
          <w:rtl/>
        </w:rPr>
        <w:t>, הוטלו שישה חודשי מאסר</w:t>
      </w:r>
      <w:r>
        <w:rPr>
          <w:rFonts w:ascii="Calibri" w:hAnsi="Calibri"/>
          <w:rtl/>
        </w:rPr>
        <w:t xml:space="preserve"> </w:t>
      </w:r>
      <w:r>
        <w:rPr>
          <w:rFonts w:ascii="Calibri" w:hAnsi="Calibri" w:hint="cs"/>
          <w:rtl/>
        </w:rPr>
        <w:t xml:space="preserve">בעבודות שירות. לפיכך, אני מוצא כי עניינם של הנאשמים אליהם היפנה הסנגור, אינו דומה לעניינו של הנאשם, בין אם בשל חוסר זהות בנסיבות האישיות, ובין אם בשל חוסר זהות בכמות המקרים בהם הורשעו. </w:t>
      </w:r>
    </w:p>
    <w:p w14:paraId="34F5CB43" w14:textId="77777777" w:rsidR="00BE20C2" w:rsidRDefault="00BE20C2">
      <w:pPr>
        <w:spacing w:after="160" w:line="360" w:lineRule="auto"/>
        <w:ind w:left="720"/>
        <w:jc w:val="both"/>
        <w:rPr>
          <w:rFonts w:ascii="Calibri" w:hAnsi="Calibri"/>
          <w:rtl/>
        </w:rPr>
      </w:pPr>
    </w:p>
    <w:p w14:paraId="5483A10B" w14:textId="77777777" w:rsidR="00BE20C2" w:rsidRDefault="00CC2E5A">
      <w:pPr>
        <w:spacing w:after="160" w:line="360" w:lineRule="auto"/>
        <w:jc w:val="both"/>
        <w:rPr>
          <w:rFonts w:ascii="Calibri" w:hAnsi="Calibri"/>
          <w:rtl/>
        </w:rPr>
      </w:pPr>
      <w:r>
        <w:rPr>
          <w:rFonts w:ascii="Calibri" w:hAnsi="Calibri"/>
          <w:rtl/>
        </w:rPr>
        <w:t xml:space="preserve">9. </w:t>
      </w:r>
      <w:r>
        <w:rPr>
          <w:rFonts w:ascii="Calibri" w:hAnsi="Calibri"/>
          <w:rtl/>
        </w:rPr>
        <w:tab/>
      </w:r>
      <w:r>
        <w:rPr>
          <w:rFonts w:ascii="Calibri" w:hAnsi="Calibri" w:hint="eastAsia"/>
          <w:rtl/>
        </w:rPr>
        <w:t>לאחר</w:t>
      </w:r>
      <w:r>
        <w:rPr>
          <w:rFonts w:ascii="Calibri" w:hAnsi="Calibri"/>
          <w:rtl/>
        </w:rPr>
        <w:t xml:space="preserve"> </w:t>
      </w:r>
      <w:r>
        <w:rPr>
          <w:rFonts w:ascii="Calibri" w:hAnsi="Calibri" w:hint="eastAsia"/>
          <w:rtl/>
        </w:rPr>
        <w:t>ששקלתי</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האמור</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החלטתי</w:t>
      </w:r>
      <w:r>
        <w:rPr>
          <w:rFonts w:ascii="Calibri" w:hAnsi="Calibri"/>
          <w:rtl/>
        </w:rPr>
        <w:t xml:space="preserve"> </w:t>
      </w:r>
      <w:r>
        <w:rPr>
          <w:rFonts w:ascii="Calibri" w:hAnsi="Calibri" w:hint="eastAsia"/>
          <w:rtl/>
        </w:rPr>
        <w:t>לגזור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העונשים</w:t>
      </w:r>
      <w:r>
        <w:rPr>
          <w:rFonts w:ascii="Calibri" w:hAnsi="Calibri"/>
          <w:rtl/>
        </w:rPr>
        <w:t xml:space="preserve"> </w:t>
      </w:r>
      <w:r>
        <w:rPr>
          <w:rFonts w:ascii="Calibri" w:hAnsi="Calibri" w:hint="eastAsia"/>
          <w:rtl/>
        </w:rPr>
        <w:t>הבאים</w:t>
      </w:r>
      <w:r>
        <w:rPr>
          <w:rFonts w:ascii="Calibri" w:hAnsi="Calibri"/>
          <w:rtl/>
        </w:rPr>
        <w:t>:</w:t>
      </w:r>
    </w:p>
    <w:p w14:paraId="58C60111" w14:textId="77777777" w:rsidR="00BE20C2" w:rsidRDefault="00CC2E5A">
      <w:pPr>
        <w:spacing w:after="160" w:line="360" w:lineRule="auto"/>
        <w:ind w:left="720"/>
        <w:jc w:val="both"/>
        <w:rPr>
          <w:rFonts w:ascii="Calibri" w:hAnsi="Calibri"/>
          <w:rtl/>
        </w:rPr>
      </w:pPr>
      <w:r>
        <w:rPr>
          <w:rFonts w:ascii="Calibri" w:hAnsi="Calibri" w:hint="eastAsia"/>
          <w:rtl/>
        </w:rPr>
        <w:t>א</w:t>
      </w:r>
      <w:r>
        <w:rPr>
          <w:rFonts w:ascii="Calibri" w:hAnsi="Calibri"/>
          <w:rtl/>
        </w:rPr>
        <w:t>.</w:t>
      </w:r>
      <w:r>
        <w:rPr>
          <w:rFonts w:ascii="Calibri" w:hAnsi="Calibri"/>
          <w:rtl/>
        </w:rPr>
        <w:tab/>
        <w:t xml:space="preserve"> </w:t>
      </w:r>
      <w:r>
        <w:rPr>
          <w:rFonts w:ascii="Calibri" w:hAnsi="Calibri" w:hint="cs"/>
          <w:rtl/>
        </w:rPr>
        <w:t>3 חודשי מאסר שירוצו בעבודות שירות, זאת בהתאם לחוות דעת הממונה.</w:t>
      </w:r>
    </w:p>
    <w:p w14:paraId="3F23D812" w14:textId="77777777" w:rsidR="00BE20C2" w:rsidRDefault="00CC2E5A">
      <w:pPr>
        <w:spacing w:after="160" w:line="360" w:lineRule="auto"/>
        <w:ind w:left="1440" w:hanging="720"/>
        <w:jc w:val="both"/>
        <w:rPr>
          <w:rFonts w:ascii="Calibri" w:hAnsi="Calibri"/>
          <w:rtl/>
        </w:rPr>
      </w:pPr>
      <w:r>
        <w:rPr>
          <w:rFonts w:ascii="Calibri" w:hAnsi="Calibri" w:hint="eastAsia"/>
          <w:rtl/>
        </w:rPr>
        <w:t>ב</w:t>
      </w:r>
      <w:r>
        <w:rPr>
          <w:rFonts w:ascii="Calibri" w:hAnsi="Calibri"/>
          <w:rtl/>
        </w:rPr>
        <w:t>.</w:t>
      </w:r>
      <w:r>
        <w:rPr>
          <w:rFonts w:ascii="Calibri" w:hAnsi="Calibri"/>
          <w:rtl/>
        </w:rPr>
        <w:tab/>
      </w:r>
      <w:r>
        <w:rPr>
          <w:rFonts w:ascii="Calibri" w:hAnsi="Calibri" w:hint="cs"/>
          <w:rtl/>
        </w:rPr>
        <w:t>7</w:t>
      </w:r>
      <w:r>
        <w:rPr>
          <w:rFonts w:ascii="Calibri" w:hAnsi="Calibri"/>
          <w:rtl/>
        </w:rPr>
        <w:t xml:space="preserve">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אותם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ירצה</w:t>
      </w:r>
      <w:r>
        <w:rPr>
          <w:rFonts w:ascii="Calibri" w:hAnsi="Calibri"/>
          <w:rtl/>
        </w:rPr>
        <w:t xml:space="preserve"> </w:t>
      </w:r>
      <w:r>
        <w:rPr>
          <w:rFonts w:ascii="Calibri" w:hAnsi="Calibri" w:hint="eastAsia"/>
          <w:rtl/>
        </w:rPr>
        <w:t>הנאשם</w:t>
      </w:r>
      <w:r>
        <w:rPr>
          <w:rFonts w:ascii="Calibri" w:hAnsi="Calibri" w:hint="cs"/>
          <w:rtl/>
        </w:rPr>
        <w:t>,</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cs"/>
          <w:rtl/>
        </w:rPr>
        <w:t xml:space="preserve">מהיום </w:t>
      </w:r>
      <w:r>
        <w:rPr>
          <w:rFonts w:ascii="Calibri" w:hAnsi="Calibri" w:hint="eastAsia"/>
          <w:rtl/>
        </w:rPr>
        <w:t>עבירת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פשע</w:t>
      </w:r>
      <w:r>
        <w:rPr>
          <w:rFonts w:ascii="Calibri" w:hAnsi="Calibri"/>
          <w:rtl/>
        </w:rPr>
        <w:t>.</w:t>
      </w:r>
    </w:p>
    <w:p w14:paraId="5D24FDC8" w14:textId="77777777" w:rsidR="00BE20C2" w:rsidRDefault="00CC2E5A">
      <w:pPr>
        <w:spacing w:after="160" w:line="360" w:lineRule="auto"/>
        <w:ind w:left="1440" w:hanging="720"/>
        <w:jc w:val="both"/>
        <w:rPr>
          <w:rFonts w:ascii="Calibri" w:hAnsi="Calibri"/>
          <w:rtl/>
        </w:rPr>
      </w:pPr>
      <w:r>
        <w:rPr>
          <w:rFonts w:ascii="Calibri" w:hAnsi="Calibri" w:hint="eastAsia"/>
          <w:rtl/>
        </w:rPr>
        <w:t>ג</w:t>
      </w:r>
      <w:r>
        <w:rPr>
          <w:rFonts w:ascii="Calibri" w:hAnsi="Calibri"/>
          <w:rtl/>
        </w:rPr>
        <w:t>.</w:t>
      </w:r>
      <w:r>
        <w:rPr>
          <w:rFonts w:ascii="Calibri" w:hAnsi="Calibri"/>
          <w:rtl/>
        </w:rPr>
        <w:tab/>
      </w:r>
      <w:r>
        <w:rPr>
          <w:rFonts w:ascii="Calibri" w:hAnsi="Calibri" w:hint="eastAsia"/>
          <w:rtl/>
        </w:rPr>
        <w:t>אני</w:t>
      </w:r>
      <w:r>
        <w:rPr>
          <w:rFonts w:ascii="Calibri" w:hAnsi="Calibri"/>
          <w:rtl/>
        </w:rPr>
        <w:t xml:space="preserve"> </w:t>
      </w:r>
      <w:r>
        <w:rPr>
          <w:rFonts w:ascii="Calibri" w:hAnsi="Calibri" w:hint="eastAsia"/>
          <w:rtl/>
        </w:rPr>
        <w:t>פוסל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מלהחזיק</w:t>
      </w:r>
      <w:r>
        <w:rPr>
          <w:rFonts w:ascii="Calibri" w:hAnsi="Calibri"/>
          <w:rtl/>
        </w:rPr>
        <w:t xml:space="preserve"> </w:t>
      </w:r>
      <w:r>
        <w:rPr>
          <w:rFonts w:ascii="Calibri" w:hAnsi="Calibri" w:hint="eastAsia"/>
          <w:rtl/>
        </w:rPr>
        <w:t>ברשיון</w:t>
      </w:r>
      <w:r>
        <w:rPr>
          <w:rFonts w:ascii="Calibri" w:hAnsi="Calibri"/>
          <w:rtl/>
        </w:rPr>
        <w:t xml:space="preserve"> </w:t>
      </w:r>
      <w:r>
        <w:rPr>
          <w:rFonts w:ascii="Calibri" w:hAnsi="Calibri" w:hint="eastAsia"/>
          <w:rtl/>
        </w:rPr>
        <w:t>נהיגה</w:t>
      </w:r>
      <w:r>
        <w:rPr>
          <w:rFonts w:ascii="Calibri" w:hAnsi="Calibri"/>
          <w:rtl/>
        </w:rPr>
        <w:t xml:space="preserve"> </w:t>
      </w:r>
      <w:r>
        <w:rPr>
          <w:rFonts w:ascii="Calibri" w:hAnsi="Calibri" w:hint="eastAsia"/>
          <w:rtl/>
        </w:rPr>
        <w:t>למשך</w:t>
      </w:r>
      <w:r>
        <w:rPr>
          <w:rFonts w:ascii="Calibri" w:hAnsi="Calibri"/>
          <w:rtl/>
        </w:rPr>
        <w:t xml:space="preserve"> 12 </w:t>
      </w:r>
      <w:r>
        <w:rPr>
          <w:rFonts w:ascii="Calibri" w:hAnsi="Calibri" w:hint="eastAsia"/>
          <w:rtl/>
        </w:rPr>
        <w:t>חודשים</w:t>
      </w:r>
      <w:r>
        <w:rPr>
          <w:rFonts w:ascii="Calibri" w:hAnsi="Calibri"/>
          <w:rtl/>
        </w:rPr>
        <w:t xml:space="preserve"> , </w:t>
      </w:r>
      <w:r>
        <w:rPr>
          <w:rFonts w:ascii="Calibri" w:hAnsi="Calibri" w:hint="eastAsia"/>
          <w:rtl/>
        </w:rPr>
        <w:t>זאת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יבצע</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לפי</w:t>
      </w:r>
      <w:r>
        <w:rPr>
          <w:rFonts w:ascii="Calibri" w:hAnsi="Calibri"/>
          <w:rtl/>
        </w:rPr>
        <w:t xml:space="preserve"> </w:t>
      </w:r>
      <w:r>
        <w:rPr>
          <w:rFonts w:ascii="Calibri" w:hAnsi="Calibri" w:hint="eastAsia"/>
          <w:rtl/>
        </w:rPr>
        <w:t>פקודת</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cs"/>
          <w:rtl/>
        </w:rPr>
        <w:t>ב</w:t>
      </w:r>
      <w:r>
        <w:rPr>
          <w:rFonts w:ascii="Calibri" w:hAnsi="Calibri" w:hint="eastAsia"/>
          <w:rtl/>
        </w:rPr>
        <w:t>משך</w:t>
      </w:r>
      <w:r>
        <w:rPr>
          <w:rFonts w:ascii="Calibri" w:hAnsi="Calibri"/>
          <w:rtl/>
        </w:rPr>
        <w:t xml:space="preserve"> 3 </w:t>
      </w:r>
      <w:r>
        <w:rPr>
          <w:rFonts w:ascii="Calibri" w:hAnsi="Calibri" w:hint="eastAsia"/>
          <w:rtl/>
        </w:rPr>
        <w:t>שנים</w:t>
      </w:r>
      <w:r>
        <w:rPr>
          <w:rFonts w:ascii="Calibri" w:hAnsi="Calibri"/>
          <w:rtl/>
        </w:rPr>
        <w:t xml:space="preserve"> </w:t>
      </w:r>
      <w:r>
        <w:rPr>
          <w:rFonts w:ascii="Calibri" w:hAnsi="Calibri" w:hint="eastAsia"/>
          <w:rtl/>
        </w:rPr>
        <w:t>מ</w:t>
      </w:r>
      <w:r>
        <w:rPr>
          <w:rFonts w:ascii="Calibri" w:hAnsi="Calibri" w:hint="cs"/>
          <w:rtl/>
        </w:rPr>
        <w:t>היום</w:t>
      </w:r>
      <w:r>
        <w:rPr>
          <w:rFonts w:ascii="Calibri" w:hAnsi="Calibri"/>
          <w:rtl/>
        </w:rPr>
        <w:t xml:space="preserve">. </w:t>
      </w:r>
    </w:p>
    <w:p w14:paraId="6F28DA4A" w14:textId="77777777" w:rsidR="00BE20C2" w:rsidRDefault="00BE20C2">
      <w:pPr>
        <w:ind w:left="720" w:hanging="720"/>
        <w:jc w:val="both"/>
        <w:rPr>
          <w:rFonts w:ascii="Arial" w:hAnsi="Arial"/>
          <w:rtl/>
        </w:rPr>
      </w:pPr>
    </w:p>
    <w:p w14:paraId="0D4B33A9" w14:textId="77777777" w:rsidR="00BE20C2" w:rsidRDefault="00BE20C2">
      <w:pPr>
        <w:ind w:left="720" w:hanging="720"/>
        <w:jc w:val="both"/>
        <w:rPr>
          <w:rtl/>
        </w:rPr>
      </w:pPr>
    </w:p>
    <w:p w14:paraId="190987BB" w14:textId="77777777" w:rsidR="00BE20C2" w:rsidRDefault="00CC2E5A">
      <w:pPr>
        <w:ind w:left="720" w:hanging="720"/>
        <w:jc w:val="both"/>
        <w:rPr>
          <w:rtl/>
        </w:rPr>
      </w:pPr>
      <w:r>
        <w:rPr>
          <w:rFonts w:hint="cs"/>
          <w:rtl/>
        </w:rPr>
        <w:t xml:space="preserve">זכות ערעור לבית המשפט המחוזי בירושלים בתוך 45 יום מהיום. </w:t>
      </w:r>
    </w:p>
    <w:p w14:paraId="1DA8C04A" w14:textId="77777777" w:rsidR="00BE20C2" w:rsidRDefault="00BE20C2">
      <w:pPr>
        <w:ind w:left="720" w:hanging="720"/>
        <w:jc w:val="both"/>
        <w:rPr>
          <w:rtl/>
        </w:rPr>
      </w:pPr>
    </w:p>
    <w:p w14:paraId="6DE5A8ED" w14:textId="77777777" w:rsidR="00BE20C2" w:rsidRDefault="00BE20C2">
      <w:pPr>
        <w:ind w:left="720" w:hanging="720"/>
        <w:jc w:val="both"/>
        <w:rPr>
          <w:rtl/>
        </w:rPr>
      </w:pPr>
    </w:p>
    <w:p w14:paraId="1E8E8855" w14:textId="77777777" w:rsidR="00BE20C2" w:rsidRDefault="00BE20C2">
      <w:pPr>
        <w:ind w:left="720" w:hanging="720"/>
        <w:rPr>
          <w:rtl/>
        </w:rPr>
      </w:pPr>
    </w:p>
    <w:p w14:paraId="5D10DEA6" w14:textId="77777777" w:rsidR="00BE20C2" w:rsidRDefault="00BE20C2">
      <w:pPr>
        <w:rPr>
          <w:rtl/>
        </w:rPr>
      </w:pPr>
    </w:p>
    <w:p w14:paraId="6B3A61DD" w14:textId="77777777" w:rsidR="00BE20C2" w:rsidRPr="00CC2E5A" w:rsidRDefault="00CC2E5A">
      <w:pPr>
        <w:rPr>
          <w:color w:val="FFFFFF"/>
          <w:sz w:val="2"/>
          <w:szCs w:val="2"/>
          <w:rtl/>
        </w:rPr>
      </w:pPr>
      <w:r w:rsidRPr="00CC2E5A">
        <w:rPr>
          <w:color w:val="FFFFFF"/>
          <w:sz w:val="2"/>
          <w:szCs w:val="2"/>
          <w:rtl/>
        </w:rPr>
        <w:t>5129371</w:t>
      </w:r>
    </w:p>
    <w:p w14:paraId="39C95A24" w14:textId="77777777" w:rsidR="00BE20C2" w:rsidRDefault="00CC2E5A">
      <w:pPr>
        <w:rPr>
          <w:rFonts w:cs="FrankRuehl"/>
          <w:sz w:val="28"/>
          <w:szCs w:val="28"/>
          <w:rtl/>
        </w:rPr>
      </w:pPr>
      <w:r w:rsidRPr="00CC2E5A">
        <w:rPr>
          <w:rFonts w:ascii="Arial" w:hAnsi="Arial"/>
          <w:color w:val="FFFFFF"/>
          <w:sz w:val="2"/>
          <w:szCs w:val="2"/>
          <w:rtl/>
        </w:rPr>
        <w:t>54678313</w:t>
      </w:r>
      <w:r>
        <w:rPr>
          <w:rFonts w:ascii="Arial" w:hAnsi="Arial"/>
          <w:rtl/>
        </w:rPr>
        <w:t xml:space="preserve">ניתן היום,  י"ח כסלו תשע"ו, 30 נובמבר 2015, במעמד הצדדים. </w:t>
      </w:r>
    </w:p>
    <w:p w14:paraId="7C93DE7B" w14:textId="77777777" w:rsidR="00BE20C2" w:rsidRDefault="00CC2E5A">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FCB18DB" w14:textId="77777777" w:rsidR="00BE20C2" w:rsidRDefault="00BE20C2">
      <w:pPr>
        <w:jc w:val="center"/>
        <w:rPr>
          <w:rFonts w:ascii="Arial" w:hAnsi="Arial" w:cs="FrankRuehl"/>
          <w:sz w:val="28"/>
          <w:szCs w:val="28"/>
          <w:rtl/>
        </w:rPr>
      </w:pPr>
    </w:p>
    <w:p w14:paraId="3D857348" w14:textId="77777777" w:rsidR="00BE20C2" w:rsidRDefault="00BE20C2">
      <w:pPr>
        <w:pStyle w:val="a3"/>
        <w:jc w:val="center"/>
        <w:rPr>
          <w:rtl/>
        </w:rPr>
      </w:pPr>
    </w:p>
    <w:p w14:paraId="43A4764F" w14:textId="77777777" w:rsidR="00CC2E5A" w:rsidRPr="00CC2E5A" w:rsidRDefault="00CC2E5A" w:rsidP="00CC2E5A">
      <w:pPr>
        <w:keepNext/>
        <w:rPr>
          <w:rFonts w:ascii="David" w:hAnsi="David"/>
          <w:color w:val="000000"/>
          <w:sz w:val="22"/>
          <w:szCs w:val="22"/>
          <w:rtl/>
        </w:rPr>
      </w:pPr>
    </w:p>
    <w:p w14:paraId="175B96C8" w14:textId="77777777" w:rsidR="00CC2E5A" w:rsidRPr="00CC2E5A" w:rsidRDefault="00CC2E5A" w:rsidP="00CC2E5A">
      <w:pPr>
        <w:keepNext/>
        <w:rPr>
          <w:rFonts w:ascii="David" w:hAnsi="David"/>
          <w:color w:val="000000"/>
          <w:sz w:val="22"/>
          <w:szCs w:val="22"/>
          <w:rtl/>
        </w:rPr>
      </w:pPr>
      <w:r w:rsidRPr="00CC2E5A">
        <w:rPr>
          <w:rFonts w:ascii="David" w:hAnsi="David"/>
          <w:color w:val="000000"/>
          <w:sz w:val="22"/>
          <w:szCs w:val="22"/>
          <w:rtl/>
        </w:rPr>
        <w:t>איתן קורנהאוזר 54678313</w:t>
      </w:r>
    </w:p>
    <w:p w14:paraId="2FB44795" w14:textId="77777777" w:rsidR="00CC2E5A" w:rsidRDefault="00CC2E5A" w:rsidP="00CC2E5A">
      <w:r w:rsidRPr="00CC2E5A">
        <w:rPr>
          <w:color w:val="000000"/>
          <w:rtl/>
        </w:rPr>
        <w:t>נוסח מסמך זה כפוף לשינויי ניסוח ועריכה</w:t>
      </w:r>
    </w:p>
    <w:p w14:paraId="322AD933" w14:textId="77777777" w:rsidR="00CC2E5A" w:rsidRDefault="00CC2E5A" w:rsidP="00CC2E5A">
      <w:pPr>
        <w:rPr>
          <w:rtl/>
        </w:rPr>
      </w:pPr>
    </w:p>
    <w:p w14:paraId="30DB4A9A" w14:textId="77777777" w:rsidR="00CC2E5A" w:rsidRDefault="00CC2E5A" w:rsidP="00CC2E5A">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67C9BDF3" w14:textId="77777777" w:rsidR="00BE20C2" w:rsidRDefault="00BE20C2" w:rsidP="00CC2E5A">
      <w:pPr>
        <w:jc w:val="center"/>
        <w:rPr>
          <w:rFonts w:hint="cs"/>
          <w:color w:val="0000FF"/>
          <w:u w:val="single"/>
          <w:rtl/>
        </w:rPr>
      </w:pPr>
    </w:p>
    <w:p w14:paraId="41890279" w14:textId="77777777" w:rsidR="00962C4A" w:rsidRPr="00CC2E5A" w:rsidRDefault="00962C4A" w:rsidP="00CC2E5A">
      <w:pPr>
        <w:jc w:val="center"/>
        <w:rPr>
          <w:color w:val="0000FF"/>
          <w:u w:val="single"/>
        </w:rPr>
      </w:pPr>
    </w:p>
    <w:sectPr w:rsidR="00962C4A" w:rsidRPr="00CC2E5A" w:rsidSect="00CC2E5A">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8A7C31" w14:textId="77777777" w:rsidR="002501DB" w:rsidRDefault="002501DB">
      <w:r>
        <w:separator/>
      </w:r>
    </w:p>
  </w:endnote>
  <w:endnote w:type="continuationSeparator" w:id="0">
    <w:p w14:paraId="5E18C87D" w14:textId="77777777" w:rsidR="002501DB" w:rsidRDefault="00250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owcard Gothic">
    <w:panose1 w:val="04020904020102020604"/>
    <w:charset w:val="00"/>
    <w:family w:val="decorativ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3AAB2" w14:textId="77777777" w:rsidR="00EF37C7" w:rsidRDefault="00EF37C7" w:rsidP="00CC2E5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18827AF" w14:textId="77777777" w:rsidR="00EF37C7" w:rsidRPr="00CC2E5A" w:rsidRDefault="00EF37C7" w:rsidP="00CC2E5A">
    <w:pPr>
      <w:pStyle w:val="a4"/>
      <w:pBdr>
        <w:top w:val="single" w:sz="4" w:space="1" w:color="auto"/>
        <w:between w:val="single" w:sz="4" w:space="0" w:color="auto"/>
      </w:pBdr>
      <w:spacing w:after="60"/>
      <w:jc w:val="center"/>
      <w:rPr>
        <w:rFonts w:ascii="FrankRuehl" w:hAnsi="FrankRuehl" w:cs="FrankRuehl"/>
        <w:color w:val="000000"/>
      </w:rPr>
    </w:pPr>
    <w:r w:rsidRPr="00CC2E5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228B0C" w14:textId="77777777" w:rsidR="00EF37C7" w:rsidRDefault="00EF37C7" w:rsidP="00CC2E5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34115">
      <w:rPr>
        <w:rFonts w:ascii="FrankRuehl" w:hAnsi="FrankRuehl" w:cs="FrankRuehl"/>
        <w:noProof/>
        <w:rtl/>
      </w:rPr>
      <w:t>1</w:t>
    </w:r>
    <w:r>
      <w:rPr>
        <w:rFonts w:ascii="FrankRuehl" w:hAnsi="FrankRuehl" w:cs="FrankRuehl"/>
        <w:rtl/>
      </w:rPr>
      <w:fldChar w:fldCharType="end"/>
    </w:r>
  </w:p>
  <w:p w14:paraId="103D3563" w14:textId="77777777" w:rsidR="00EF37C7" w:rsidRPr="00CC2E5A" w:rsidRDefault="00EF37C7" w:rsidP="00CC2E5A">
    <w:pPr>
      <w:pStyle w:val="a4"/>
      <w:pBdr>
        <w:top w:val="single" w:sz="4" w:space="1" w:color="auto"/>
        <w:between w:val="single" w:sz="4" w:space="0" w:color="auto"/>
      </w:pBdr>
      <w:spacing w:after="60"/>
      <w:jc w:val="center"/>
      <w:rPr>
        <w:rFonts w:ascii="FrankRuehl" w:hAnsi="FrankRuehl" w:cs="FrankRuehl"/>
        <w:color w:val="000000"/>
      </w:rPr>
    </w:pPr>
    <w:r w:rsidRPr="00CC2E5A">
      <w:rPr>
        <w:rFonts w:ascii="FrankRuehl" w:hAnsi="FrankRuehl" w:cs="FrankRuehl"/>
        <w:color w:val="000000"/>
      </w:rPr>
      <w:pict w14:anchorId="41DB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2BC245" w14:textId="77777777" w:rsidR="002501DB" w:rsidRDefault="002501DB">
      <w:r>
        <w:separator/>
      </w:r>
    </w:p>
  </w:footnote>
  <w:footnote w:type="continuationSeparator" w:id="0">
    <w:p w14:paraId="1C54BA5B" w14:textId="77777777" w:rsidR="002501DB" w:rsidRDefault="002501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92731" w14:textId="77777777" w:rsidR="00EF37C7" w:rsidRPr="00CC2E5A" w:rsidRDefault="00EF37C7" w:rsidP="00CC2E5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15712-06-13</w:t>
    </w:r>
    <w:r>
      <w:rPr>
        <w:rFonts w:ascii="David" w:hAnsi="David"/>
        <w:color w:val="000000"/>
        <w:sz w:val="22"/>
        <w:szCs w:val="22"/>
        <w:rtl/>
      </w:rPr>
      <w:tab/>
      <w:t xml:space="preserve"> מדינת ישראל נ' ואסים אכתילאת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94E8C" w14:textId="77777777" w:rsidR="00EF37C7" w:rsidRPr="00CC2E5A" w:rsidRDefault="00EF37C7" w:rsidP="00CC2E5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15712-06-13</w:t>
    </w:r>
    <w:r>
      <w:rPr>
        <w:rFonts w:ascii="David" w:hAnsi="David"/>
        <w:color w:val="000000"/>
        <w:sz w:val="22"/>
        <w:szCs w:val="22"/>
        <w:rtl/>
      </w:rPr>
      <w:tab/>
      <w:t xml:space="preserve"> מדינת ישראל נ' ואסים אכתילאת</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E20C2"/>
    <w:rsid w:val="000C71E6"/>
    <w:rsid w:val="002501DB"/>
    <w:rsid w:val="005B13B8"/>
    <w:rsid w:val="00734115"/>
    <w:rsid w:val="00962C4A"/>
    <w:rsid w:val="00AA136E"/>
    <w:rsid w:val="00B531E7"/>
    <w:rsid w:val="00BE0404"/>
    <w:rsid w:val="00BE20C2"/>
    <w:rsid w:val="00C31B18"/>
    <w:rsid w:val="00CC2E5A"/>
    <w:rsid w:val="00CF662E"/>
    <w:rsid w:val="00EF37C7"/>
    <w:rsid w:val="00F55B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F3B4D03"/>
  <w15:chartTrackingRefBased/>
  <w15:docId w15:val="{E7FE35C4-A26D-4940-8FB0-844818C34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E20C2"/>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BE20C2"/>
    <w:pPr>
      <w:tabs>
        <w:tab w:val="center" w:pos="4153"/>
        <w:tab w:val="right" w:pos="8306"/>
      </w:tabs>
    </w:pPr>
  </w:style>
  <w:style w:type="paragraph" w:styleId="a4">
    <w:name w:val="footer"/>
    <w:basedOn w:val="a"/>
    <w:rsid w:val="00BE20C2"/>
    <w:pPr>
      <w:tabs>
        <w:tab w:val="center" w:pos="4153"/>
        <w:tab w:val="right" w:pos="8306"/>
      </w:tabs>
    </w:pPr>
  </w:style>
  <w:style w:type="character" w:styleId="a5">
    <w:name w:val="page number"/>
    <w:basedOn w:val="a0"/>
    <w:rsid w:val="00BE20C2"/>
  </w:style>
  <w:style w:type="character" w:styleId="Hyperlink">
    <w:name w:val="Hyperlink"/>
    <w:rsid w:val="00CC2E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4747" TargetMode="External"/><Relationship Id="rId13" Type="http://schemas.openxmlformats.org/officeDocument/2006/relationships/hyperlink" Target="http://www.nevo.co.il/case/5810781" TargetMode="External"/><Relationship Id="rId18" Type="http://schemas.openxmlformats.org/officeDocument/2006/relationships/hyperlink" Target="http://www.nevo.co.il/case/5581031" TargetMode="External"/><Relationship Id="rId26"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hyperlink" Target="http://www.nevo.co.il/case/5147208" TargetMode="External"/><Relationship Id="rId7" Type="http://schemas.openxmlformats.org/officeDocument/2006/relationships/hyperlink" Target="http://www.nevo.co.il/law/4216/14" TargetMode="External"/><Relationship Id="rId12" Type="http://schemas.openxmlformats.org/officeDocument/2006/relationships/hyperlink" Target="http://www.nevo.co.il/law/74747" TargetMode="External"/><Relationship Id="rId17" Type="http://schemas.openxmlformats.org/officeDocument/2006/relationships/hyperlink" Target="http://www.nevo.co.il/case/13022245" TargetMode="External"/><Relationship Id="rId25" Type="http://schemas.openxmlformats.org/officeDocument/2006/relationships/hyperlink" Target="http://www.nevo.co.il/case/7024835" TargetMode="External"/><Relationship Id="rId2" Type="http://schemas.openxmlformats.org/officeDocument/2006/relationships/settings" Target="settings.xml"/><Relationship Id="rId16" Type="http://schemas.openxmlformats.org/officeDocument/2006/relationships/hyperlink" Target="http://www.nevo.co.il/case/5753269" TargetMode="External"/><Relationship Id="rId20" Type="http://schemas.openxmlformats.org/officeDocument/2006/relationships/hyperlink" Target="http://www.nevo.co.il/law/74747/5.a"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24" Type="http://schemas.openxmlformats.org/officeDocument/2006/relationships/hyperlink" Target="http://www.nevo.co.il/case/13100363"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case/17945671" TargetMode="External"/><Relationship Id="rId23" Type="http://schemas.openxmlformats.org/officeDocument/2006/relationships/hyperlink" Target="http://www.nevo.co.il/case/16904503" TargetMode="External"/><Relationship Id="rId28" Type="http://schemas.openxmlformats.org/officeDocument/2006/relationships/header" Target="header2.xml"/><Relationship Id="rId10" Type="http://schemas.openxmlformats.org/officeDocument/2006/relationships/hyperlink" Target="http://www.nevo.co.il/law/4216/14" TargetMode="External"/><Relationship Id="rId19" Type="http://schemas.openxmlformats.org/officeDocument/2006/relationships/hyperlink" Target="http://www.nevo.co.il/law/74747"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4747/5.a" TargetMode="External"/><Relationship Id="rId14" Type="http://schemas.openxmlformats.org/officeDocument/2006/relationships/hyperlink" Target="http://www.nevo.co.il/case/19994809" TargetMode="External"/><Relationship Id="rId22" Type="http://schemas.openxmlformats.org/officeDocument/2006/relationships/hyperlink" Target="http://www.nevo.co.il/case/18058872"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1859</Words>
  <Characters>9297</Characters>
  <Application>Microsoft Office Word</Application>
  <DocSecurity>0</DocSecurity>
  <Lines>77</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11134</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3670131</vt:i4>
      </vt:variant>
      <vt:variant>
        <vt:i4>57</vt:i4>
      </vt:variant>
      <vt:variant>
        <vt:i4>0</vt:i4>
      </vt:variant>
      <vt:variant>
        <vt:i4>5</vt:i4>
      </vt:variant>
      <vt:variant>
        <vt:lpwstr>http://www.nevo.co.il/case/7024835</vt:lpwstr>
      </vt:variant>
      <vt:variant>
        <vt:lpwstr/>
      </vt:variant>
      <vt:variant>
        <vt:i4>3539060</vt:i4>
      </vt:variant>
      <vt:variant>
        <vt:i4>54</vt:i4>
      </vt:variant>
      <vt:variant>
        <vt:i4>0</vt:i4>
      </vt:variant>
      <vt:variant>
        <vt:i4>5</vt:i4>
      </vt:variant>
      <vt:variant>
        <vt:lpwstr>http://www.nevo.co.il/case/13100363</vt:lpwstr>
      </vt:variant>
      <vt:variant>
        <vt:lpwstr/>
      </vt:variant>
      <vt:variant>
        <vt:i4>3932279</vt:i4>
      </vt:variant>
      <vt:variant>
        <vt:i4>51</vt:i4>
      </vt:variant>
      <vt:variant>
        <vt:i4>0</vt:i4>
      </vt:variant>
      <vt:variant>
        <vt:i4>5</vt:i4>
      </vt:variant>
      <vt:variant>
        <vt:lpwstr>http://www.nevo.co.il/case/16904503</vt:lpwstr>
      </vt:variant>
      <vt:variant>
        <vt:lpwstr/>
      </vt:variant>
      <vt:variant>
        <vt:i4>4063345</vt:i4>
      </vt:variant>
      <vt:variant>
        <vt:i4>48</vt:i4>
      </vt:variant>
      <vt:variant>
        <vt:i4>0</vt:i4>
      </vt:variant>
      <vt:variant>
        <vt:i4>5</vt:i4>
      </vt:variant>
      <vt:variant>
        <vt:lpwstr>http://www.nevo.co.il/case/18058872</vt:lpwstr>
      </vt:variant>
      <vt:variant>
        <vt:lpwstr/>
      </vt:variant>
      <vt:variant>
        <vt:i4>3866738</vt:i4>
      </vt:variant>
      <vt:variant>
        <vt:i4>45</vt:i4>
      </vt:variant>
      <vt:variant>
        <vt:i4>0</vt:i4>
      </vt:variant>
      <vt:variant>
        <vt:i4>5</vt:i4>
      </vt:variant>
      <vt:variant>
        <vt:lpwstr>http://www.nevo.co.il/case/5147208</vt:lpwstr>
      </vt:variant>
      <vt:variant>
        <vt:lpwstr/>
      </vt:variant>
      <vt:variant>
        <vt:i4>8061026</vt:i4>
      </vt:variant>
      <vt:variant>
        <vt:i4>42</vt:i4>
      </vt:variant>
      <vt:variant>
        <vt:i4>0</vt:i4>
      </vt:variant>
      <vt:variant>
        <vt:i4>5</vt:i4>
      </vt:variant>
      <vt:variant>
        <vt:lpwstr>http://www.nevo.co.il/law/74747/5.a</vt:lpwstr>
      </vt:variant>
      <vt:variant>
        <vt:lpwstr/>
      </vt:variant>
      <vt:variant>
        <vt:i4>7995488</vt:i4>
      </vt:variant>
      <vt:variant>
        <vt:i4>39</vt:i4>
      </vt:variant>
      <vt:variant>
        <vt:i4>0</vt:i4>
      </vt:variant>
      <vt:variant>
        <vt:i4>5</vt:i4>
      </vt:variant>
      <vt:variant>
        <vt:lpwstr>http://www.nevo.co.il/law/74747</vt:lpwstr>
      </vt:variant>
      <vt:variant>
        <vt:lpwstr/>
      </vt:variant>
      <vt:variant>
        <vt:i4>3932275</vt:i4>
      </vt:variant>
      <vt:variant>
        <vt:i4>36</vt:i4>
      </vt:variant>
      <vt:variant>
        <vt:i4>0</vt:i4>
      </vt:variant>
      <vt:variant>
        <vt:i4>5</vt:i4>
      </vt:variant>
      <vt:variant>
        <vt:lpwstr>http://www.nevo.co.il/case/5581031</vt:lpwstr>
      </vt:variant>
      <vt:variant>
        <vt:lpwstr/>
      </vt:variant>
      <vt:variant>
        <vt:i4>3604599</vt:i4>
      </vt:variant>
      <vt:variant>
        <vt:i4>33</vt:i4>
      </vt:variant>
      <vt:variant>
        <vt:i4>0</vt:i4>
      </vt:variant>
      <vt:variant>
        <vt:i4>5</vt:i4>
      </vt:variant>
      <vt:variant>
        <vt:lpwstr>http://www.nevo.co.il/case/13022245</vt:lpwstr>
      </vt:variant>
      <vt:variant>
        <vt:lpwstr/>
      </vt:variant>
      <vt:variant>
        <vt:i4>3866742</vt:i4>
      </vt:variant>
      <vt:variant>
        <vt:i4>30</vt:i4>
      </vt:variant>
      <vt:variant>
        <vt:i4>0</vt:i4>
      </vt:variant>
      <vt:variant>
        <vt:i4>5</vt:i4>
      </vt:variant>
      <vt:variant>
        <vt:lpwstr>http://www.nevo.co.il/case/5753269</vt:lpwstr>
      </vt:variant>
      <vt:variant>
        <vt:lpwstr/>
      </vt:variant>
      <vt:variant>
        <vt:i4>3801201</vt:i4>
      </vt:variant>
      <vt:variant>
        <vt:i4>27</vt:i4>
      </vt:variant>
      <vt:variant>
        <vt:i4>0</vt:i4>
      </vt:variant>
      <vt:variant>
        <vt:i4>5</vt:i4>
      </vt:variant>
      <vt:variant>
        <vt:lpwstr>http://www.nevo.co.il/case/17945671</vt:lpwstr>
      </vt:variant>
      <vt:variant>
        <vt:lpwstr/>
      </vt:variant>
      <vt:variant>
        <vt:i4>3932284</vt:i4>
      </vt:variant>
      <vt:variant>
        <vt:i4>24</vt:i4>
      </vt:variant>
      <vt:variant>
        <vt:i4>0</vt:i4>
      </vt:variant>
      <vt:variant>
        <vt:i4>5</vt:i4>
      </vt:variant>
      <vt:variant>
        <vt:lpwstr>http://www.nevo.co.il/case/19994809</vt:lpwstr>
      </vt:variant>
      <vt:variant>
        <vt:lpwstr/>
      </vt:variant>
      <vt:variant>
        <vt:i4>3276916</vt:i4>
      </vt:variant>
      <vt:variant>
        <vt:i4>21</vt:i4>
      </vt:variant>
      <vt:variant>
        <vt:i4>0</vt:i4>
      </vt:variant>
      <vt:variant>
        <vt:i4>5</vt:i4>
      </vt:variant>
      <vt:variant>
        <vt:lpwstr>http://www.nevo.co.il/case/5810781</vt:lpwstr>
      </vt:variant>
      <vt:variant>
        <vt:lpwstr/>
      </vt:variant>
      <vt:variant>
        <vt:i4>7995488</vt:i4>
      </vt:variant>
      <vt:variant>
        <vt:i4>18</vt:i4>
      </vt:variant>
      <vt:variant>
        <vt:i4>0</vt:i4>
      </vt:variant>
      <vt:variant>
        <vt:i4>5</vt:i4>
      </vt:variant>
      <vt:variant>
        <vt:lpwstr>http://www.nevo.co.il/law/74747</vt:lpwstr>
      </vt:variant>
      <vt:variant>
        <vt:lpwstr/>
      </vt:variant>
      <vt:variant>
        <vt:i4>8257637</vt:i4>
      </vt:variant>
      <vt:variant>
        <vt:i4>15</vt:i4>
      </vt:variant>
      <vt:variant>
        <vt:i4>0</vt:i4>
      </vt:variant>
      <vt:variant>
        <vt:i4>5</vt:i4>
      </vt:variant>
      <vt:variant>
        <vt:lpwstr>http://www.nevo.co.il/law/4216</vt:lpwstr>
      </vt:variant>
      <vt:variant>
        <vt:lpwstr/>
      </vt:variant>
      <vt:variant>
        <vt:i4>5177418</vt:i4>
      </vt:variant>
      <vt:variant>
        <vt:i4>12</vt:i4>
      </vt:variant>
      <vt:variant>
        <vt:i4>0</vt:i4>
      </vt:variant>
      <vt:variant>
        <vt:i4>5</vt:i4>
      </vt:variant>
      <vt:variant>
        <vt:lpwstr>http://www.nevo.co.il/law/4216/14</vt:lpwstr>
      </vt:variant>
      <vt:variant>
        <vt:lpwstr/>
      </vt:variant>
      <vt:variant>
        <vt:i4>8061026</vt:i4>
      </vt:variant>
      <vt:variant>
        <vt:i4>9</vt:i4>
      </vt:variant>
      <vt:variant>
        <vt:i4>0</vt:i4>
      </vt:variant>
      <vt:variant>
        <vt:i4>5</vt:i4>
      </vt:variant>
      <vt:variant>
        <vt:lpwstr>http://www.nevo.co.il/law/74747/5.a</vt:lpwstr>
      </vt:variant>
      <vt:variant>
        <vt:lpwstr/>
      </vt:variant>
      <vt:variant>
        <vt:i4>7995488</vt:i4>
      </vt:variant>
      <vt:variant>
        <vt:i4>6</vt:i4>
      </vt:variant>
      <vt:variant>
        <vt:i4>0</vt:i4>
      </vt:variant>
      <vt:variant>
        <vt:i4>5</vt:i4>
      </vt:variant>
      <vt:variant>
        <vt:lpwstr>http://www.nevo.co.il/law/74747</vt:lpwstr>
      </vt:variant>
      <vt:variant>
        <vt:lpwstr/>
      </vt:variant>
      <vt:variant>
        <vt:i4>5177418</vt:i4>
      </vt:variant>
      <vt:variant>
        <vt:i4>3</vt:i4>
      </vt:variant>
      <vt:variant>
        <vt:i4>0</vt:i4>
      </vt:variant>
      <vt:variant>
        <vt:i4>5</vt:i4>
      </vt:variant>
      <vt:variant>
        <vt:lpwstr>http://www.nevo.co.il/law/4216/14</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2025-04-22T22:03:00Z</dcterms:created>
  <dcterms:modified xsi:type="dcterms:W3CDTF">2025-04-22T22:03:00Z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15712</vt:lpwstr>
  </property>
  <property fmtid="{D5CDD505-2E9C-101B-9397-08002B2CF9AE}" pid="6" name="NEWPARTB">
    <vt:lpwstr>06</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ואסים אכתילאת</vt:lpwstr>
  </property>
  <property fmtid="{D5CDD505-2E9C-101B-9397-08002B2CF9AE}" pid="10" name="JUDGE">
    <vt:lpwstr>איתן קורנהאוזר</vt:lpwstr>
  </property>
  <property fmtid="{D5CDD505-2E9C-101B-9397-08002B2CF9AE}" pid="11" name="CITY">
    <vt:lpwstr>י-ם</vt:lpwstr>
  </property>
  <property fmtid="{D5CDD505-2E9C-101B-9397-08002B2CF9AE}" pid="12" name="DATE">
    <vt:lpwstr>20151130</vt:lpwstr>
  </property>
  <property fmtid="{D5CDD505-2E9C-101B-9397-08002B2CF9AE}" pid="13" name="TYPE_N_DATE">
    <vt:lpwstr>38020151130</vt:lpwstr>
  </property>
  <property fmtid="{D5CDD505-2E9C-101B-9397-08002B2CF9AE}" pid="14" name="WORDNUMPAGES">
    <vt:lpwstr>6</vt:lpwstr>
  </property>
  <property fmtid="{D5CDD505-2E9C-101B-9397-08002B2CF9AE}" pid="15" name="TYPE_ABS_DATE">
    <vt:lpwstr>380020151130</vt:lpwstr>
  </property>
  <property fmtid="{D5CDD505-2E9C-101B-9397-08002B2CF9AE}" pid="16" name="ISABSTRACT">
    <vt:lpwstr>Y</vt:lpwstr>
  </property>
  <property fmtid="{D5CDD505-2E9C-101B-9397-08002B2CF9AE}" pid="17" name="CASESLISTTMP1">
    <vt:lpwstr>5810781;19994809;17945671;5753269;13022245;5581031;5147208;18058872;16904503;13100363;7024835</vt:lpwstr>
  </property>
  <property fmtid="{D5CDD505-2E9C-101B-9397-08002B2CF9AE}" pid="18" name="LAWLISTTMP1">
    <vt:lpwstr>4216/014</vt:lpwstr>
  </property>
  <property fmtid="{D5CDD505-2E9C-101B-9397-08002B2CF9AE}" pid="19" name="LAWLISTTMP2">
    <vt:lpwstr>74747/005.a</vt:lpwstr>
  </property>
</Properties>
</file>