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281CDE" w:rsidRPr="00C90FC2" w14:paraId="2BE079FC" w14:textId="77777777">
        <w:trPr>
          <w:trHeight w:hRule="exact" w:val="418"/>
          <w:jc w:val="center"/>
        </w:trPr>
        <w:tc>
          <w:tcPr>
            <w:tcW w:w="8720" w:type="dxa"/>
            <w:gridSpan w:val="3"/>
          </w:tcPr>
          <w:p w14:paraId="4AF17348" w14:textId="77777777" w:rsidR="00281CDE" w:rsidRPr="00C90FC2" w:rsidRDefault="00C90FC2">
            <w:pPr>
              <w:pStyle w:val="a3"/>
              <w:tabs>
                <w:tab w:val="clear" w:pos="8306"/>
              </w:tabs>
              <w:jc w:val="center"/>
              <w:rPr>
                <w:rFonts w:ascii="Tahoma" w:hAnsi="Tahoma" w:cs="Tahoma"/>
                <w:b/>
                <w:bCs/>
                <w:color w:val="000080"/>
                <w:sz w:val="20"/>
                <w:szCs w:val="20"/>
                <w:rtl/>
              </w:rPr>
            </w:pPr>
            <w:bookmarkStart w:id="0" w:name="LastJudge"/>
            <w:r w:rsidRPr="00C90FC2">
              <w:rPr>
                <w:rFonts w:ascii="Tahoma" w:hAnsi="Tahoma" w:cs="Tahoma"/>
                <w:b/>
                <w:bCs/>
                <w:color w:val="000080"/>
                <w:sz w:val="20"/>
                <w:szCs w:val="20"/>
                <w:rtl/>
              </w:rPr>
              <w:t>בית משפט השלום בנתניה</w:t>
            </w:r>
          </w:p>
        </w:tc>
      </w:tr>
      <w:tr w:rsidR="00281CDE" w:rsidRPr="00C90FC2" w14:paraId="52E88C5E" w14:textId="77777777">
        <w:trPr>
          <w:trHeight w:val="337"/>
          <w:jc w:val="center"/>
        </w:trPr>
        <w:tc>
          <w:tcPr>
            <w:tcW w:w="6396" w:type="dxa"/>
          </w:tcPr>
          <w:p w14:paraId="5DB47071" w14:textId="77777777" w:rsidR="00281CDE" w:rsidRPr="00C90FC2" w:rsidRDefault="00C90FC2">
            <w:pPr>
              <w:rPr>
                <w:b/>
                <w:bCs/>
                <w:sz w:val="26"/>
                <w:szCs w:val="26"/>
                <w:rtl/>
              </w:rPr>
            </w:pPr>
            <w:r w:rsidRPr="00C90FC2">
              <w:rPr>
                <w:b/>
                <w:bCs/>
                <w:sz w:val="26"/>
                <w:szCs w:val="26"/>
                <w:rtl/>
              </w:rPr>
              <w:t>ת"פ</w:t>
            </w:r>
            <w:r w:rsidRPr="00C90FC2">
              <w:rPr>
                <w:rFonts w:hint="cs"/>
                <w:b/>
                <w:bCs/>
                <w:sz w:val="26"/>
                <w:szCs w:val="26"/>
                <w:rtl/>
              </w:rPr>
              <w:t xml:space="preserve"> </w:t>
            </w:r>
            <w:r w:rsidRPr="00C90FC2">
              <w:rPr>
                <w:b/>
                <w:bCs/>
                <w:sz w:val="26"/>
                <w:szCs w:val="26"/>
                <w:rtl/>
              </w:rPr>
              <w:t>20269-06-13</w:t>
            </w:r>
            <w:r w:rsidRPr="00C90FC2">
              <w:rPr>
                <w:rFonts w:hint="cs"/>
                <w:b/>
                <w:bCs/>
                <w:sz w:val="26"/>
                <w:szCs w:val="26"/>
                <w:rtl/>
              </w:rPr>
              <w:t xml:space="preserve"> </w:t>
            </w:r>
            <w:r w:rsidRPr="00C90FC2">
              <w:rPr>
                <w:b/>
                <w:bCs/>
                <w:sz w:val="26"/>
                <w:szCs w:val="26"/>
                <w:rtl/>
              </w:rPr>
              <w:t>מדינת ישראל נ' מסארווה(עציר)</w:t>
            </w:r>
          </w:p>
          <w:p w14:paraId="6E4A8C38" w14:textId="77777777" w:rsidR="00281CDE" w:rsidRPr="00C90FC2" w:rsidRDefault="00281CDE">
            <w:pPr>
              <w:rPr>
                <w:b/>
                <w:bCs/>
                <w:sz w:val="26"/>
                <w:szCs w:val="26"/>
                <w:rtl/>
              </w:rPr>
            </w:pPr>
          </w:p>
        </w:tc>
        <w:tc>
          <w:tcPr>
            <w:tcW w:w="236" w:type="dxa"/>
          </w:tcPr>
          <w:p w14:paraId="3CF23322" w14:textId="77777777" w:rsidR="00281CDE" w:rsidRPr="00C90FC2" w:rsidRDefault="00281CDE">
            <w:pPr>
              <w:pStyle w:val="a3"/>
              <w:jc w:val="right"/>
              <w:rPr>
                <w:b/>
                <w:bCs/>
                <w:sz w:val="26"/>
                <w:szCs w:val="26"/>
                <w:rtl/>
              </w:rPr>
            </w:pPr>
          </w:p>
        </w:tc>
        <w:tc>
          <w:tcPr>
            <w:tcW w:w="2088" w:type="dxa"/>
          </w:tcPr>
          <w:p w14:paraId="32A083AF" w14:textId="77777777" w:rsidR="00281CDE" w:rsidRPr="00C90FC2" w:rsidRDefault="00C90FC2">
            <w:pPr>
              <w:pStyle w:val="a3"/>
              <w:tabs>
                <w:tab w:val="clear" w:pos="4153"/>
              </w:tabs>
              <w:jc w:val="right"/>
              <w:rPr>
                <w:b/>
                <w:bCs/>
                <w:sz w:val="26"/>
                <w:szCs w:val="26"/>
                <w:rtl/>
              </w:rPr>
            </w:pPr>
            <w:r w:rsidRPr="00C90FC2">
              <w:rPr>
                <w:b/>
                <w:bCs/>
                <w:sz w:val="26"/>
                <w:szCs w:val="26"/>
                <w:rtl/>
              </w:rPr>
              <w:t>24 פברואר 2014</w:t>
            </w:r>
          </w:p>
        </w:tc>
      </w:tr>
    </w:tbl>
    <w:p w14:paraId="3E5DCA0A" w14:textId="77777777" w:rsidR="00281CDE" w:rsidRPr="00C90FC2" w:rsidRDefault="00281CDE">
      <w:pPr>
        <w:pStyle w:val="a3"/>
        <w:jc w:val="center"/>
        <w:rPr>
          <w:rFonts w:ascii="Tahoma" w:hAnsi="Tahoma" w:cs="Tahoma"/>
          <w:b/>
          <w:bCs/>
          <w:color w:val="000080"/>
          <w:sz w:val="20"/>
          <w:szCs w:val="20"/>
          <w:rtl/>
        </w:rPr>
      </w:pPr>
    </w:p>
    <w:p w14:paraId="2F1CBDF2" w14:textId="77777777" w:rsidR="00281CDE" w:rsidRPr="00C90FC2" w:rsidRDefault="00281CDE">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281CDE" w:rsidRPr="00C90FC2" w14:paraId="51C4C3CE" w14:textId="77777777">
        <w:trPr>
          <w:trHeight w:val="337"/>
          <w:jc w:val="center"/>
        </w:trPr>
        <w:tc>
          <w:tcPr>
            <w:tcW w:w="1592" w:type="dxa"/>
          </w:tcPr>
          <w:p w14:paraId="7CAFBE5C" w14:textId="77777777" w:rsidR="00281CDE" w:rsidRPr="00C90FC2" w:rsidRDefault="00C90FC2">
            <w:pPr>
              <w:pStyle w:val="a3"/>
              <w:bidi w:val="0"/>
              <w:spacing w:line="360" w:lineRule="auto"/>
              <w:jc w:val="both"/>
              <w:rPr>
                <w:rFonts w:ascii="Times New Roman" w:hAnsi="Times New Roman"/>
              </w:rPr>
            </w:pPr>
            <w:r w:rsidRPr="00C90FC2">
              <w:rPr>
                <w:rFonts w:ascii="Times New Roman" w:hAnsi="Times New Roman"/>
              </w:rPr>
              <w:t xml:space="preserve">  </w:t>
            </w:r>
          </w:p>
        </w:tc>
        <w:tc>
          <w:tcPr>
            <w:tcW w:w="7128" w:type="dxa"/>
          </w:tcPr>
          <w:p w14:paraId="7D26BA44" w14:textId="77777777" w:rsidR="00281CDE" w:rsidRPr="00C90FC2" w:rsidRDefault="00C90FC2">
            <w:pPr>
              <w:pStyle w:val="a3"/>
              <w:jc w:val="right"/>
              <w:rPr>
                <w:b/>
                <w:bCs/>
                <w:sz w:val="26"/>
                <w:szCs w:val="26"/>
                <w:rtl/>
              </w:rPr>
            </w:pPr>
            <w:r w:rsidRPr="00C90FC2">
              <w:rPr>
                <w:rFonts w:hint="cs"/>
                <w:rtl/>
              </w:rPr>
              <w:t xml:space="preserve"> 20276-06-13</w:t>
            </w:r>
          </w:p>
        </w:tc>
      </w:tr>
    </w:tbl>
    <w:p w14:paraId="04988E7B" w14:textId="77777777" w:rsidR="00281CDE" w:rsidRPr="00C90FC2" w:rsidRDefault="00281CDE">
      <w:pPr>
        <w:spacing w:line="360" w:lineRule="auto"/>
        <w:jc w:val="both"/>
        <w:rPr>
          <w:rFonts w:ascii="Arial" w:hAnsi="Arial"/>
          <w:rtl/>
        </w:rPr>
      </w:pPr>
    </w:p>
    <w:p w14:paraId="6B9EB396" w14:textId="77777777" w:rsidR="00281CDE" w:rsidRPr="00C90FC2" w:rsidRDefault="00281CDE">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281CDE" w:rsidRPr="00C90FC2" w14:paraId="70392ECF" w14:textId="77777777">
        <w:trPr>
          <w:gridAfter w:val="1"/>
          <w:wAfter w:w="55" w:type="dxa"/>
        </w:trPr>
        <w:tc>
          <w:tcPr>
            <w:tcW w:w="8719" w:type="dxa"/>
            <w:gridSpan w:val="2"/>
          </w:tcPr>
          <w:p w14:paraId="425C7675" w14:textId="77777777" w:rsidR="00281CDE" w:rsidRPr="00C90FC2" w:rsidRDefault="00C90FC2">
            <w:pPr>
              <w:spacing w:line="360" w:lineRule="auto"/>
              <w:rPr>
                <w:rFonts w:ascii="Times New Roman" w:eastAsia="Times New Roman" w:hAnsi="Times New Roman"/>
                <w:b/>
                <w:bCs/>
                <w:sz w:val="26"/>
                <w:szCs w:val="26"/>
                <w:rtl/>
              </w:rPr>
            </w:pPr>
            <w:r w:rsidRPr="00C90FC2">
              <w:rPr>
                <w:rFonts w:ascii="Times New Roman" w:eastAsia="Times New Roman" w:hAnsi="Times New Roman" w:hint="cs"/>
                <w:b/>
                <w:bCs/>
                <w:sz w:val="26"/>
                <w:szCs w:val="26"/>
                <w:rtl/>
              </w:rPr>
              <w:t>בפני כב' ה</w:t>
            </w:r>
            <w:r w:rsidRPr="00C90FC2">
              <w:rPr>
                <w:rFonts w:ascii="Times New Roman" w:eastAsia="Times New Roman" w:hAnsi="Times New Roman" w:hint="cs"/>
                <w:rtl/>
              </w:rPr>
              <w:t>שופטת גלית ציגלר</w:t>
            </w:r>
            <w:r w:rsidRPr="00C90FC2">
              <w:rPr>
                <w:rStyle w:val="TimesNewRomanTimesNewRoman"/>
                <w:rFonts w:eastAsia="Times New Roman"/>
                <w:rtl/>
              </w:rPr>
              <w:t xml:space="preserve"> </w:t>
            </w:r>
          </w:p>
        </w:tc>
      </w:tr>
      <w:tr w:rsidR="00281CDE" w:rsidRPr="00C90FC2" w14:paraId="2FF06233" w14:textId="77777777">
        <w:tc>
          <w:tcPr>
            <w:tcW w:w="2880" w:type="dxa"/>
          </w:tcPr>
          <w:p w14:paraId="5CC59FE7" w14:textId="77777777" w:rsidR="00281CDE" w:rsidRPr="00C90FC2" w:rsidRDefault="00C90FC2">
            <w:pPr>
              <w:ind w:left="26"/>
              <w:rPr>
                <w:rFonts w:ascii="Times New Roman" w:eastAsia="Times New Roman" w:hAnsi="Times New Roman"/>
                <w:b/>
                <w:bCs/>
                <w:sz w:val="26"/>
                <w:szCs w:val="26"/>
                <w:rtl/>
              </w:rPr>
            </w:pPr>
            <w:bookmarkStart w:id="1" w:name="FirstAppellant"/>
            <w:r w:rsidRPr="00C90FC2">
              <w:rPr>
                <w:rFonts w:ascii="Times New Roman" w:eastAsia="Times New Roman" w:hAnsi="Times New Roman" w:hint="cs"/>
                <w:b/>
                <w:bCs/>
                <w:sz w:val="26"/>
                <w:szCs w:val="26"/>
                <w:rtl/>
              </w:rPr>
              <w:t>ה</w:t>
            </w:r>
            <w:r w:rsidRPr="00C90FC2">
              <w:rPr>
                <w:rFonts w:ascii="Times New Roman" w:eastAsia="Times New Roman" w:hAnsi="Times New Roman" w:hint="cs"/>
                <w:rtl/>
              </w:rPr>
              <w:t>מאשימה</w:t>
            </w:r>
          </w:p>
        </w:tc>
        <w:tc>
          <w:tcPr>
            <w:tcW w:w="5922" w:type="dxa"/>
            <w:gridSpan w:val="2"/>
          </w:tcPr>
          <w:p w14:paraId="24943F8E" w14:textId="77777777" w:rsidR="00281CDE" w:rsidRPr="00C90FC2" w:rsidRDefault="00C90FC2">
            <w:pPr>
              <w:rPr>
                <w:rFonts w:ascii="Times New Roman" w:eastAsia="Times New Roman" w:hAnsi="Times New Roman"/>
                <w:b/>
                <w:bCs/>
                <w:sz w:val="26"/>
                <w:szCs w:val="26"/>
                <w:rtl/>
              </w:rPr>
            </w:pPr>
            <w:r w:rsidRPr="00C90FC2">
              <w:rPr>
                <w:rFonts w:ascii="Times New Roman" w:eastAsia="Times New Roman" w:hAnsi="Times New Roman" w:hint="cs"/>
                <w:rtl/>
              </w:rPr>
              <w:t>מדינת ישראל</w:t>
            </w:r>
          </w:p>
          <w:p w14:paraId="6656EDDF" w14:textId="77777777" w:rsidR="00281CDE" w:rsidRPr="00C90FC2" w:rsidRDefault="00281CDE">
            <w:pPr>
              <w:rPr>
                <w:rFonts w:ascii="Times New Roman" w:eastAsia="Times New Roman" w:hAnsi="Times New Roman"/>
                <w:b/>
                <w:bCs/>
                <w:sz w:val="26"/>
                <w:szCs w:val="26"/>
                <w:rtl/>
              </w:rPr>
            </w:pPr>
          </w:p>
        </w:tc>
      </w:tr>
      <w:bookmarkEnd w:id="1"/>
      <w:tr w:rsidR="00281CDE" w:rsidRPr="00C90FC2" w14:paraId="61298C9E" w14:textId="77777777">
        <w:tc>
          <w:tcPr>
            <w:tcW w:w="8802" w:type="dxa"/>
            <w:gridSpan w:val="3"/>
          </w:tcPr>
          <w:p w14:paraId="33F3FE5E" w14:textId="77777777" w:rsidR="00281CDE" w:rsidRPr="00C90FC2" w:rsidRDefault="00C90FC2">
            <w:pPr>
              <w:jc w:val="center"/>
              <w:rPr>
                <w:rFonts w:ascii="Arial" w:eastAsia="Times New Roman" w:hAnsi="Arial"/>
                <w:b/>
                <w:bCs/>
                <w:sz w:val="26"/>
                <w:szCs w:val="26"/>
                <w:rtl/>
              </w:rPr>
            </w:pPr>
            <w:r w:rsidRPr="00C90FC2">
              <w:rPr>
                <w:rFonts w:ascii="Arial" w:eastAsia="Times New Roman" w:hAnsi="Arial"/>
                <w:b/>
                <w:bCs/>
                <w:sz w:val="26"/>
                <w:szCs w:val="26"/>
                <w:rtl/>
              </w:rPr>
              <w:t>נגד</w:t>
            </w:r>
          </w:p>
          <w:p w14:paraId="32722CB3" w14:textId="77777777" w:rsidR="00281CDE" w:rsidRPr="00C90FC2" w:rsidRDefault="00281CDE">
            <w:pPr>
              <w:jc w:val="center"/>
              <w:rPr>
                <w:rFonts w:ascii="Arial" w:eastAsia="Times New Roman" w:hAnsi="Arial"/>
                <w:b/>
                <w:bCs/>
                <w:sz w:val="26"/>
                <w:szCs w:val="26"/>
              </w:rPr>
            </w:pPr>
          </w:p>
        </w:tc>
      </w:tr>
      <w:tr w:rsidR="00281CDE" w:rsidRPr="00C90FC2" w14:paraId="4E2B53D4" w14:textId="77777777">
        <w:tc>
          <w:tcPr>
            <w:tcW w:w="2880" w:type="dxa"/>
          </w:tcPr>
          <w:p w14:paraId="12046F14" w14:textId="77777777" w:rsidR="00281CDE" w:rsidRPr="00C90FC2" w:rsidRDefault="00C90FC2">
            <w:pPr>
              <w:ind w:left="26"/>
              <w:rPr>
                <w:rFonts w:ascii="Times New Roman" w:eastAsia="Times New Roman" w:hAnsi="Times New Roman"/>
                <w:b/>
                <w:bCs/>
                <w:sz w:val="26"/>
                <w:szCs w:val="26"/>
                <w:rtl/>
              </w:rPr>
            </w:pPr>
            <w:r w:rsidRPr="00C90FC2">
              <w:rPr>
                <w:rFonts w:ascii="Times New Roman" w:eastAsia="Times New Roman" w:hAnsi="Times New Roman" w:hint="cs"/>
                <w:b/>
                <w:bCs/>
                <w:sz w:val="26"/>
                <w:szCs w:val="26"/>
                <w:rtl/>
              </w:rPr>
              <w:t>ה</w:t>
            </w:r>
            <w:r w:rsidRPr="00C90FC2">
              <w:rPr>
                <w:rFonts w:ascii="Times New Roman" w:eastAsia="Times New Roman" w:hAnsi="Times New Roman" w:hint="cs"/>
                <w:rtl/>
              </w:rPr>
              <w:t>נאשם</w:t>
            </w:r>
          </w:p>
        </w:tc>
        <w:tc>
          <w:tcPr>
            <w:tcW w:w="5922" w:type="dxa"/>
            <w:gridSpan w:val="2"/>
          </w:tcPr>
          <w:p w14:paraId="4F261866" w14:textId="77777777" w:rsidR="00281CDE" w:rsidRPr="00C90FC2" w:rsidRDefault="00C90FC2">
            <w:pPr>
              <w:rPr>
                <w:rFonts w:ascii="Times New Roman" w:eastAsia="Times New Roman" w:hAnsi="Times New Roman"/>
                <w:b/>
                <w:bCs/>
                <w:sz w:val="26"/>
                <w:szCs w:val="26"/>
                <w:rtl/>
              </w:rPr>
            </w:pPr>
            <w:r w:rsidRPr="00C90FC2">
              <w:rPr>
                <w:rFonts w:ascii="Times New Roman" w:eastAsia="Times New Roman" w:hAnsi="Times New Roman" w:hint="cs"/>
                <w:rtl/>
              </w:rPr>
              <w:t>אחמד מסארווה (עציר)</w:t>
            </w:r>
          </w:p>
          <w:p w14:paraId="0382DB7F" w14:textId="77777777" w:rsidR="00281CDE" w:rsidRPr="00C90FC2" w:rsidRDefault="00281CDE">
            <w:pPr>
              <w:rPr>
                <w:rFonts w:ascii="Times New Roman" w:eastAsia="Times New Roman" w:hAnsi="Times New Roman"/>
                <w:b/>
                <w:bCs/>
                <w:sz w:val="26"/>
                <w:szCs w:val="26"/>
                <w:rtl/>
              </w:rPr>
            </w:pPr>
          </w:p>
        </w:tc>
      </w:tr>
    </w:tbl>
    <w:p w14:paraId="6F3BCACC" w14:textId="77777777" w:rsidR="00281CDE" w:rsidRPr="00C90FC2" w:rsidRDefault="00281CDE">
      <w:pPr>
        <w:spacing w:line="360" w:lineRule="auto"/>
        <w:jc w:val="both"/>
        <w:rPr>
          <w:rtl/>
        </w:rPr>
      </w:pPr>
    </w:p>
    <w:p w14:paraId="63DFEBB1" w14:textId="77777777" w:rsidR="00281CDE" w:rsidRPr="00C90FC2" w:rsidRDefault="00C90FC2">
      <w:pPr>
        <w:spacing w:line="360" w:lineRule="auto"/>
        <w:jc w:val="both"/>
        <w:rPr>
          <w:sz w:val="6"/>
          <w:szCs w:val="6"/>
          <w:rtl/>
        </w:rPr>
      </w:pPr>
      <w:r w:rsidRPr="00C90FC2">
        <w:rPr>
          <w:sz w:val="6"/>
          <w:szCs w:val="6"/>
          <w:rtl/>
        </w:rPr>
        <w:t>&lt;#1#&gt;</w:t>
      </w:r>
    </w:p>
    <w:p w14:paraId="2061E19C" w14:textId="77777777" w:rsidR="00281CDE" w:rsidRPr="00C90FC2" w:rsidRDefault="00C90FC2">
      <w:pPr>
        <w:pStyle w:val="12"/>
        <w:rPr>
          <w:b w:val="0"/>
          <w:bCs w:val="0"/>
          <w:u w:val="none"/>
          <w:rtl/>
        </w:rPr>
      </w:pPr>
      <w:r w:rsidRPr="00C90FC2">
        <w:rPr>
          <w:rFonts w:hint="cs"/>
          <w:b w:val="0"/>
          <w:bCs w:val="0"/>
          <w:u w:val="none"/>
          <w:rtl/>
        </w:rPr>
        <w:t xml:space="preserve">נוכחים: </w:t>
      </w:r>
    </w:p>
    <w:p w14:paraId="6618DE42" w14:textId="77777777" w:rsidR="00281CDE" w:rsidRPr="00C90FC2" w:rsidRDefault="00C90FC2">
      <w:pPr>
        <w:pStyle w:val="David"/>
        <w:spacing w:line="240" w:lineRule="auto"/>
        <w:rPr>
          <w:rtl/>
        </w:rPr>
      </w:pPr>
      <w:bookmarkStart w:id="2" w:name="FirstLawyer"/>
      <w:r w:rsidRPr="00C90FC2">
        <w:rPr>
          <w:rFonts w:hint="cs"/>
          <w:rtl/>
        </w:rPr>
        <w:t>ב"כ</w:t>
      </w:r>
      <w:bookmarkEnd w:id="2"/>
      <w:r w:rsidRPr="00C90FC2">
        <w:rPr>
          <w:rFonts w:hint="cs"/>
          <w:rtl/>
        </w:rPr>
        <w:t xml:space="preserve"> המאשימה עו"ד שפיר</w:t>
      </w:r>
    </w:p>
    <w:p w14:paraId="631379D8" w14:textId="77777777" w:rsidR="00281CDE" w:rsidRPr="00C90FC2" w:rsidRDefault="00C90FC2">
      <w:pPr>
        <w:pStyle w:val="David"/>
        <w:spacing w:line="240" w:lineRule="auto"/>
      </w:pPr>
      <w:r w:rsidRPr="00C90FC2">
        <w:rPr>
          <w:rFonts w:hint="cs"/>
          <w:rtl/>
        </w:rPr>
        <w:t>הנאשם ובא כוחו עו"ד ג'אבר עבד</w:t>
      </w:r>
    </w:p>
    <w:p w14:paraId="7D363493" w14:textId="77777777" w:rsidR="00281CDE" w:rsidRPr="00C90FC2" w:rsidRDefault="00281CDE">
      <w:pPr>
        <w:pStyle w:val="12"/>
        <w:rPr>
          <w:b w:val="0"/>
          <w:bCs w:val="0"/>
          <w:u w:val="none"/>
          <w:rtl/>
        </w:rPr>
      </w:pPr>
    </w:p>
    <w:p w14:paraId="238BD4D4" w14:textId="77777777" w:rsidR="00281CDE" w:rsidRPr="00C90FC2" w:rsidRDefault="00281CDE">
      <w:pPr>
        <w:pStyle w:val="12"/>
        <w:rPr>
          <w:b w:val="0"/>
          <w:bCs w:val="0"/>
          <w:u w:val="none"/>
          <w:rtl/>
        </w:rPr>
      </w:pPr>
    </w:p>
    <w:p w14:paraId="4670925F" w14:textId="77777777" w:rsidR="00281CDE" w:rsidRPr="00C90FC2" w:rsidRDefault="00C90FC2">
      <w:pPr>
        <w:spacing w:line="360" w:lineRule="auto"/>
        <w:jc w:val="center"/>
        <w:rPr>
          <w:rFonts w:ascii="Arial" w:hAnsi="Arial"/>
          <w:b/>
          <w:bCs/>
          <w:sz w:val="28"/>
          <w:szCs w:val="28"/>
          <w:rtl/>
        </w:rPr>
      </w:pPr>
      <w:r w:rsidRPr="00C90FC2">
        <w:rPr>
          <w:rFonts w:ascii="Arial" w:hAnsi="Arial"/>
          <w:b/>
          <w:color w:val="FF0000"/>
          <w:sz w:val="28"/>
          <w:rtl/>
        </w:rPr>
        <w:t>במסמך זה הושמטו פרוטוקולים</w:t>
      </w:r>
    </w:p>
    <w:p w14:paraId="67AC19AE" w14:textId="77777777" w:rsidR="00C90FC2" w:rsidRPr="00C90FC2" w:rsidRDefault="00C90FC2" w:rsidP="00C90FC2">
      <w:pPr>
        <w:spacing w:after="120" w:line="240" w:lineRule="exact"/>
        <w:ind w:left="283" w:hanging="283"/>
        <w:jc w:val="both"/>
        <w:rPr>
          <w:rFonts w:ascii="FrankRuehl" w:hAnsi="FrankRuehl" w:cs="FrankRuehl"/>
          <w:rtl/>
        </w:rPr>
      </w:pPr>
      <w:bookmarkStart w:id="3" w:name="LawTable"/>
    </w:p>
    <w:p w14:paraId="506219E0" w14:textId="77777777" w:rsidR="00C90FC2" w:rsidRPr="00C90FC2" w:rsidRDefault="00C90FC2" w:rsidP="00C90FC2">
      <w:pPr>
        <w:spacing w:after="120" w:line="240" w:lineRule="exact"/>
        <w:ind w:left="283" w:hanging="283"/>
        <w:jc w:val="both"/>
        <w:rPr>
          <w:rFonts w:ascii="FrankRuehl" w:hAnsi="FrankRuehl" w:cs="FrankRuehl"/>
          <w:rtl/>
        </w:rPr>
      </w:pPr>
      <w:r w:rsidRPr="00C90FC2">
        <w:rPr>
          <w:rFonts w:ascii="FrankRuehl" w:hAnsi="FrankRuehl" w:cs="FrankRuehl"/>
          <w:rtl/>
        </w:rPr>
        <w:t xml:space="preserve">חקיקה שאוזכרה: </w:t>
      </w:r>
    </w:p>
    <w:p w14:paraId="5E879544" w14:textId="77777777" w:rsidR="00C90FC2" w:rsidRPr="00C90FC2" w:rsidRDefault="00C90FC2" w:rsidP="00C90FC2">
      <w:pPr>
        <w:spacing w:after="120" w:line="240" w:lineRule="exact"/>
        <w:ind w:left="283" w:hanging="283"/>
        <w:jc w:val="both"/>
        <w:rPr>
          <w:rFonts w:ascii="FrankRuehl" w:hAnsi="FrankRuehl" w:cs="FrankRuehl"/>
          <w:rtl/>
        </w:rPr>
      </w:pPr>
      <w:hyperlink r:id="rId6" w:history="1">
        <w:r w:rsidRPr="00C90FC2">
          <w:rPr>
            <w:rFonts w:ascii="FrankRuehl" w:hAnsi="FrankRuehl" w:cs="FrankRuehl"/>
            <w:color w:val="0000FF"/>
            <w:u w:val="single"/>
            <w:rtl/>
          </w:rPr>
          <w:t>פקודת הסמים המסוכנים [נוסח חדש], תשל"ג-1973</w:t>
        </w:r>
      </w:hyperlink>
    </w:p>
    <w:p w14:paraId="12764B51" w14:textId="77777777" w:rsidR="00C90FC2" w:rsidRDefault="00C90FC2">
      <w:pPr>
        <w:spacing w:line="360" w:lineRule="auto"/>
        <w:jc w:val="center"/>
        <w:rPr>
          <w:rFonts w:ascii="Arial" w:hAnsi="Arial"/>
          <w:sz w:val="28"/>
          <w:szCs w:val="28"/>
          <w:rtl/>
        </w:rPr>
      </w:pPr>
      <w:bookmarkStart w:id="4" w:name="LawTable_End"/>
    </w:p>
    <w:p w14:paraId="5F340E55" w14:textId="77777777" w:rsidR="00C90FC2" w:rsidRPr="00C90FC2" w:rsidRDefault="00C90FC2" w:rsidP="00C90FC2">
      <w:pPr>
        <w:spacing w:line="360" w:lineRule="auto"/>
        <w:jc w:val="center"/>
        <w:rPr>
          <w:rFonts w:ascii="Arial" w:hAnsi="Arial"/>
          <w:b/>
          <w:bCs/>
          <w:sz w:val="28"/>
          <w:szCs w:val="28"/>
          <w:u w:val="single"/>
          <w:rtl/>
        </w:rPr>
      </w:pPr>
      <w:bookmarkStart w:id="5" w:name="PsakDin"/>
      <w:bookmarkEnd w:id="0"/>
      <w:bookmarkEnd w:id="3"/>
      <w:bookmarkEnd w:id="4"/>
      <w:r w:rsidRPr="00C90FC2">
        <w:rPr>
          <w:rFonts w:ascii="Arial" w:hAnsi="Arial"/>
          <w:b/>
          <w:bCs/>
          <w:sz w:val="28"/>
          <w:szCs w:val="28"/>
          <w:u w:val="single"/>
          <w:rtl/>
        </w:rPr>
        <w:t>גזר דין</w:t>
      </w:r>
    </w:p>
    <w:bookmarkEnd w:id="5"/>
    <w:p w14:paraId="6B16BDA6" w14:textId="77777777" w:rsidR="00281CDE" w:rsidRDefault="00281CDE">
      <w:pPr>
        <w:spacing w:line="360" w:lineRule="auto"/>
        <w:jc w:val="both"/>
        <w:rPr>
          <w:rFonts w:ascii="Arial" w:hAnsi="Arial"/>
        </w:rPr>
      </w:pPr>
    </w:p>
    <w:p w14:paraId="62768349" w14:textId="77777777" w:rsidR="00281CDE" w:rsidRDefault="00C90FC2">
      <w:pPr>
        <w:spacing w:line="360" w:lineRule="auto"/>
        <w:jc w:val="both"/>
        <w:rPr>
          <w:rtl/>
        </w:rPr>
      </w:pPr>
      <w:bookmarkStart w:id="6" w:name="ABSTRACT_START"/>
      <w:bookmarkEnd w:id="6"/>
      <w:r>
        <w:rPr>
          <w:rFonts w:hint="cs"/>
          <w:rtl/>
        </w:rPr>
        <w:t>ביום 6.6.13 נתפס הנאשם כשהוא נוהג ברכב גנוב. כאשר אין ברשותו רישיון נהיגה או פוליסת ביטוח כדין.</w:t>
      </w:r>
    </w:p>
    <w:p w14:paraId="77977CA1" w14:textId="77777777" w:rsidR="00281CDE" w:rsidRDefault="00C90FC2">
      <w:pPr>
        <w:spacing w:line="360" w:lineRule="auto"/>
        <w:jc w:val="both"/>
        <w:rPr>
          <w:rtl/>
        </w:rPr>
      </w:pPr>
      <w:bookmarkStart w:id="7" w:name="ABSTRACT_END"/>
      <w:bookmarkEnd w:id="7"/>
      <w:r>
        <w:rPr>
          <w:rFonts w:hint="cs"/>
          <w:rtl/>
        </w:rPr>
        <w:t>משביקשו השוטרים לעצרו התנגד הנאשם למעצר.</w:t>
      </w:r>
    </w:p>
    <w:p w14:paraId="09952906" w14:textId="77777777" w:rsidR="00281CDE" w:rsidRDefault="00C90FC2">
      <w:pPr>
        <w:spacing w:line="360" w:lineRule="auto"/>
        <w:jc w:val="both"/>
        <w:rPr>
          <w:rtl/>
        </w:rPr>
      </w:pPr>
      <w:r>
        <w:rPr>
          <w:rFonts w:hint="cs"/>
          <w:rtl/>
        </w:rPr>
        <w:t>הנאשם הודה בכתב האישום, וביקש לצרף כתב אישום נוסף שעניינו החזקת סם שלא לצריכה עצמית, בשעה שנתפס ברשותו סם מסוג חשיש הכולל שבע פלטות במשקל מצטבר של 786 גרם לערך. כמו כן הודה הנאשם בהפרת הוראה חוקית.</w:t>
      </w:r>
    </w:p>
    <w:p w14:paraId="3A537A76" w14:textId="77777777" w:rsidR="00281CDE" w:rsidRDefault="00C90FC2">
      <w:pPr>
        <w:spacing w:line="360" w:lineRule="auto"/>
        <w:jc w:val="both"/>
        <w:rPr>
          <w:rtl/>
        </w:rPr>
      </w:pPr>
      <w:r>
        <w:rPr>
          <w:rFonts w:hint="cs"/>
          <w:rtl/>
        </w:rPr>
        <w:t xml:space="preserve">בשל גילו של הנאשם והעתירה העונשית הקשורה בעבירות שביצע הוא נשלח לשירות המבחן לקבלת תסקיר. </w:t>
      </w:r>
    </w:p>
    <w:p w14:paraId="2F8DCBF2" w14:textId="77777777" w:rsidR="00281CDE" w:rsidRDefault="00C90FC2">
      <w:pPr>
        <w:spacing w:line="360" w:lineRule="auto"/>
        <w:jc w:val="both"/>
        <w:rPr>
          <w:rtl/>
        </w:rPr>
      </w:pPr>
      <w:r>
        <w:rPr>
          <w:rFonts w:hint="cs"/>
          <w:rtl/>
        </w:rPr>
        <w:t>מהתסקיר שהתקבל עולה כי הנאשם יליד 1995, צעיר בגילו, הינו אחד מבן שישה ילדים, עולה הרקע המשפחתי והאישי, לימודיו עד כה, המעורבות בביצוע העבירות והעובדה כי קצינת המבחן התרשמה שיש לו קושי לשתף בבעיותיו ואין מקום לשלבו בהליך טיפולי.</w:t>
      </w:r>
    </w:p>
    <w:p w14:paraId="6DD5DCE7" w14:textId="77777777" w:rsidR="00281CDE" w:rsidRDefault="00C90FC2">
      <w:pPr>
        <w:spacing w:line="360" w:lineRule="auto"/>
        <w:jc w:val="both"/>
        <w:rPr>
          <w:rtl/>
        </w:rPr>
      </w:pPr>
      <w:r>
        <w:rPr>
          <w:rFonts w:hint="cs"/>
          <w:rtl/>
        </w:rPr>
        <w:t xml:space="preserve">המלצת התסקיר היתה ענישה קונקרטית. </w:t>
      </w:r>
    </w:p>
    <w:p w14:paraId="40886987" w14:textId="77777777" w:rsidR="00281CDE" w:rsidRDefault="00C90FC2">
      <w:pPr>
        <w:spacing w:line="360" w:lineRule="auto"/>
        <w:jc w:val="both"/>
        <w:rPr>
          <w:rtl/>
        </w:rPr>
      </w:pPr>
      <w:r>
        <w:rPr>
          <w:rFonts w:hint="cs"/>
          <w:rtl/>
        </w:rPr>
        <w:lastRenderedPageBreak/>
        <w:t>באי כח הצדדים נדברו ביניהם לגבי אפשרויות הענישה, ובסופו של דבר הגיעו להסדר הכולל ענישה של מאסר בפועל, מאסר מותנה, פסילת רישיון על תנאי ועונשים נלווים, וביקשו כי ביהמ"ש יכבד את ההסדר.</w:t>
      </w:r>
    </w:p>
    <w:p w14:paraId="4C453131" w14:textId="77777777" w:rsidR="00281CDE" w:rsidRDefault="00C90FC2">
      <w:pPr>
        <w:spacing w:line="360" w:lineRule="auto"/>
        <w:jc w:val="both"/>
        <w:rPr>
          <w:rtl/>
        </w:rPr>
      </w:pPr>
      <w:r>
        <w:rPr>
          <w:rFonts w:hint="cs"/>
          <w:rtl/>
        </w:rPr>
        <w:t>כפי שציינתי, מדובר בנאשם צעיר מאד, אשר אין זו הסתבכותו הראשונה והועמד לדין בבית המשפט לנוער, שם גזר עליו בית המשפט בין היתר חתימה על התחייבות להימנע מעבירה.</w:t>
      </w:r>
    </w:p>
    <w:p w14:paraId="157CF3C7" w14:textId="77777777" w:rsidR="00281CDE" w:rsidRDefault="00C90FC2">
      <w:pPr>
        <w:spacing w:line="360" w:lineRule="auto"/>
        <w:jc w:val="both"/>
        <w:rPr>
          <w:rtl/>
        </w:rPr>
      </w:pPr>
      <w:r>
        <w:rPr>
          <w:rFonts w:hint="cs"/>
          <w:rtl/>
        </w:rPr>
        <w:t>התחייבות זו לא הועילה והנאשם שב וביצע עבירות כאמור לעיל ועובדה זו נזקפת לחובתו.</w:t>
      </w:r>
    </w:p>
    <w:p w14:paraId="75A0DE00" w14:textId="77777777" w:rsidR="00281CDE" w:rsidRDefault="00C90FC2">
      <w:pPr>
        <w:spacing w:line="360" w:lineRule="auto"/>
        <w:jc w:val="both"/>
        <w:rPr>
          <w:rtl/>
        </w:rPr>
      </w:pPr>
      <w:r>
        <w:rPr>
          <w:rFonts w:hint="cs"/>
          <w:rtl/>
        </w:rPr>
        <w:t>העבירות שביצע הנאשם הם עבירות המחייבות מאסר בפועל, וראוי כי הענישה תהיה הולמת את כל אותם מקרים בהם היה הנאשם מעורב.</w:t>
      </w:r>
    </w:p>
    <w:p w14:paraId="3771957F" w14:textId="77777777" w:rsidR="00281CDE" w:rsidRDefault="00C90FC2">
      <w:pPr>
        <w:spacing w:line="360" w:lineRule="auto"/>
        <w:jc w:val="both"/>
        <w:rPr>
          <w:rtl/>
        </w:rPr>
      </w:pPr>
      <w:r>
        <w:rPr>
          <w:rFonts w:hint="cs"/>
          <w:rtl/>
        </w:rPr>
        <w:t>לזכותו של הנאשם יש לזקוף את ההודיה המיידית, חיסכון ממשי ומשמעותי בזמנם של כל המעורבים, לרבות עדים ובית המשפט, וכן צירוף התיק והעובדה שלא קיימים תיקים נוספים.</w:t>
      </w:r>
    </w:p>
    <w:p w14:paraId="1B80E768" w14:textId="77777777" w:rsidR="00281CDE" w:rsidRDefault="00C90FC2">
      <w:pPr>
        <w:spacing w:line="360" w:lineRule="auto"/>
        <w:jc w:val="both"/>
        <w:rPr>
          <w:rtl/>
        </w:rPr>
      </w:pPr>
      <w:r>
        <w:rPr>
          <w:rFonts w:hint="cs"/>
          <w:rtl/>
        </w:rPr>
        <w:t>הענישה המוצעת כוללת רכיבים שיש בהם כדי לענות על האינטרס הציבורי ועל הגמול, והיא נמצאת ברף הענישה המקובל.</w:t>
      </w:r>
    </w:p>
    <w:p w14:paraId="3B3A3216" w14:textId="77777777" w:rsidR="00281CDE" w:rsidRDefault="00C90FC2">
      <w:pPr>
        <w:spacing w:line="360" w:lineRule="auto"/>
        <w:jc w:val="both"/>
        <w:rPr>
          <w:rtl/>
        </w:rPr>
      </w:pPr>
      <w:r>
        <w:rPr>
          <w:rFonts w:hint="cs"/>
          <w:rtl/>
        </w:rPr>
        <w:t>לאור האמור אני מכבדת את ההסדר וגוזרת על הנאשם את העונשים הבאים:</w:t>
      </w:r>
    </w:p>
    <w:p w14:paraId="42A03D66" w14:textId="77777777" w:rsidR="00281CDE" w:rsidRDefault="00C90FC2">
      <w:pPr>
        <w:spacing w:line="360" w:lineRule="auto"/>
        <w:jc w:val="both"/>
        <w:rPr>
          <w:rtl/>
        </w:rPr>
      </w:pPr>
      <w:r>
        <w:rPr>
          <w:rFonts w:hint="cs"/>
          <w:rtl/>
        </w:rPr>
        <w:t>א.</w:t>
      </w:r>
      <w:r>
        <w:rPr>
          <w:rFonts w:hint="cs"/>
          <w:rtl/>
        </w:rPr>
        <w:tab/>
        <w:t xml:space="preserve">18 חודשי מאסר בפועל. </w:t>
      </w:r>
    </w:p>
    <w:p w14:paraId="18604FDE" w14:textId="77777777" w:rsidR="00281CDE" w:rsidRDefault="00C90FC2">
      <w:pPr>
        <w:spacing w:line="360" w:lineRule="auto"/>
        <w:ind w:firstLine="720"/>
        <w:jc w:val="both"/>
        <w:rPr>
          <w:rtl/>
        </w:rPr>
      </w:pPr>
      <w:r>
        <w:rPr>
          <w:rFonts w:hint="cs"/>
          <w:rtl/>
        </w:rPr>
        <w:t>מתקופת המאסר ינוכו ימי המעצר מיום 6.6.13 עד 12.6.13 ומיום 29.7.13 ועד היום.</w:t>
      </w:r>
    </w:p>
    <w:p w14:paraId="41E4BB02" w14:textId="77777777" w:rsidR="00281CDE" w:rsidRDefault="00C90FC2">
      <w:pPr>
        <w:spacing w:line="360" w:lineRule="auto"/>
        <w:ind w:left="720" w:hanging="720"/>
        <w:jc w:val="both"/>
        <w:rPr>
          <w:rtl/>
        </w:rPr>
      </w:pPr>
      <w:r>
        <w:rPr>
          <w:rFonts w:hint="cs"/>
          <w:rtl/>
        </w:rPr>
        <w:t>ב.</w:t>
      </w:r>
      <w:r>
        <w:rPr>
          <w:rFonts w:hint="cs"/>
          <w:rtl/>
        </w:rPr>
        <w:tab/>
        <w:t>עשרה חודשי מאסר על תנאי לתקופה של שלוש שנים, והתנאי הוא שהנאשם לא יעבור עבירות רכוש מסוג פשע.</w:t>
      </w:r>
    </w:p>
    <w:p w14:paraId="7EE720E0" w14:textId="77777777" w:rsidR="00281CDE" w:rsidRDefault="00C90FC2">
      <w:pPr>
        <w:spacing w:line="360" w:lineRule="auto"/>
        <w:ind w:left="720" w:hanging="720"/>
        <w:jc w:val="both"/>
        <w:rPr>
          <w:rtl/>
        </w:rPr>
      </w:pPr>
      <w:r>
        <w:rPr>
          <w:rFonts w:hint="cs"/>
          <w:rtl/>
        </w:rPr>
        <w:t>ג.</w:t>
      </w:r>
      <w:r>
        <w:rPr>
          <w:rFonts w:hint="cs"/>
          <w:rtl/>
        </w:rPr>
        <w:tab/>
        <w:t xml:space="preserve">ארבע חודשי מאסר על תנאי לתקופה של שלוש שנים, והתנאי שהנאשם לא יעבור עבירות של נהיגה ללא רישיון וללא ביטוח, הכשלת מעצר או הפרת הוראה חוקית. </w:t>
      </w:r>
    </w:p>
    <w:p w14:paraId="03E539D3" w14:textId="77777777" w:rsidR="00281CDE" w:rsidRDefault="00C90FC2">
      <w:pPr>
        <w:spacing w:line="360" w:lineRule="auto"/>
        <w:ind w:left="720" w:hanging="720"/>
        <w:jc w:val="both"/>
        <w:rPr>
          <w:rtl/>
        </w:rPr>
      </w:pPr>
      <w:r>
        <w:rPr>
          <w:rFonts w:hint="cs"/>
          <w:rtl/>
        </w:rPr>
        <w:t>ד.</w:t>
      </w:r>
      <w:r>
        <w:rPr>
          <w:rFonts w:hint="cs"/>
          <w:rtl/>
        </w:rPr>
        <w:tab/>
        <w:t xml:space="preserve">שישה חודשי מאסר על תנאי לתקופה של שלוש שנים, והתנאי הוא שהנאשם לא יעבור כל עבירה על </w:t>
      </w:r>
      <w:hyperlink r:id="rId7" w:history="1">
        <w:r w:rsidRPr="00C90FC2">
          <w:rPr>
            <w:color w:val="0000FF"/>
            <w:u w:val="single"/>
            <w:rtl/>
          </w:rPr>
          <w:t>פקודת הסמים המסוכנים</w:t>
        </w:r>
      </w:hyperlink>
      <w:r>
        <w:rPr>
          <w:rFonts w:hint="cs"/>
          <w:rtl/>
        </w:rPr>
        <w:t>.</w:t>
      </w:r>
    </w:p>
    <w:p w14:paraId="0BE7FE4A" w14:textId="77777777" w:rsidR="00281CDE" w:rsidRDefault="00C90FC2">
      <w:pPr>
        <w:spacing w:line="360" w:lineRule="auto"/>
        <w:ind w:left="720" w:hanging="720"/>
        <w:jc w:val="both"/>
        <w:rPr>
          <w:rtl/>
        </w:rPr>
      </w:pPr>
      <w:r>
        <w:rPr>
          <w:rFonts w:hint="cs"/>
          <w:rtl/>
        </w:rPr>
        <w:t>ה.</w:t>
      </w:r>
      <w:r>
        <w:rPr>
          <w:rFonts w:hint="cs"/>
          <w:rtl/>
        </w:rPr>
        <w:tab/>
        <w:t xml:space="preserve">שישה חודשי פסילת רישיון על תנאי לתקופה של שלוש שנים, והתנאי הוא שהנאשם לא יעבור עבירה של נהיגה ללא רישיון או עבירה מסוג פשע על </w:t>
      </w:r>
      <w:hyperlink r:id="rId8" w:history="1">
        <w:r w:rsidRPr="00C90FC2">
          <w:rPr>
            <w:color w:val="0000FF"/>
            <w:u w:val="single"/>
            <w:rtl/>
          </w:rPr>
          <w:t>פקודת הסמים המסוכנים</w:t>
        </w:r>
      </w:hyperlink>
      <w:r>
        <w:rPr>
          <w:rFonts w:hint="cs"/>
          <w:rtl/>
        </w:rPr>
        <w:t>.</w:t>
      </w:r>
    </w:p>
    <w:p w14:paraId="5E131DEB" w14:textId="77777777" w:rsidR="00281CDE" w:rsidRDefault="00C90FC2">
      <w:pPr>
        <w:spacing w:line="360" w:lineRule="auto"/>
        <w:ind w:left="720" w:hanging="720"/>
        <w:jc w:val="both"/>
        <w:rPr>
          <w:rtl/>
        </w:rPr>
      </w:pPr>
      <w:r>
        <w:rPr>
          <w:rFonts w:hint="cs"/>
          <w:rtl/>
        </w:rPr>
        <w:t>ו.</w:t>
      </w:r>
      <w:r>
        <w:rPr>
          <w:rFonts w:hint="cs"/>
          <w:rtl/>
        </w:rPr>
        <w:tab/>
        <w:t>אני מפעילה את ההתחייבות שהוטלה על הנאשם ב</w:t>
      </w:r>
      <w:hyperlink r:id="rId9" w:history="1">
        <w:r w:rsidRPr="00C90FC2">
          <w:rPr>
            <w:color w:val="0000FF"/>
            <w:u w:val="single"/>
            <w:rtl/>
          </w:rPr>
          <w:t>תיק פלילי 8123-02-12</w:t>
        </w:r>
      </w:hyperlink>
      <w:r>
        <w:rPr>
          <w:rFonts w:hint="cs"/>
          <w:rtl/>
        </w:rPr>
        <w:t xml:space="preserve"> על סך 4,000 ₪.</w:t>
      </w:r>
    </w:p>
    <w:p w14:paraId="1E6FB3B0" w14:textId="77777777" w:rsidR="00281CDE" w:rsidRDefault="00C90FC2">
      <w:pPr>
        <w:spacing w:line="360" w:lineRule="auto"/>
        <w:ind w:left="720" w:hanging="720"/>
        <w:jc w:val="both"/>
        <w:rPr>
          <w:rtl/>
        </w:rPr>
      </w:pPr>
      <w:r>
        <w:rPr>
          <w:rFonts w:hint="cs"/>
          <w:rtl/>
        </w:rPr>
        <w:tab/>
        <w:t xml:space="preserve">על הנאשם לשלם את הסכום עד ליום 1.7.14. </w:t>
      </w:r>
    </w:p>
    <w:p w14:paraId="3E4D2F52" w14:textId="77777777" w:rsidR="00281CDE" w:rsidRDefault="00C90FC2">
      <w:pPr>
        <w:spacing w:line="360" w:lineRule="auto"/>
        <w:ind w:left="720"/>
        <w:jc w:val="both"/>
        <w:rPr>
          <w:rtl/>
        </w:rPr>
      </w:pPr>
      <w:r>
        <w:rPr>
          <w:rFonts w:hint="cs"/>
          <w:rtl/>
        </w:rPr>
        <w:t xml:space="preserve">סכום של 1,500 ₪ המופקד בתיק </w:t>
      </w:r>
      <w:hyperlink r:id="rId10" w:history="1">
        <w:r w:rsidRPr="00C90FC2">
          <w:rPr>
            <w:color w:val="0000FF"/>
            <w:u w:val="single"/>
            <w:rtl/>
          </w:rPr>
          <w:t>מ"ת 20276-06-13</w:t>
        </w:r>
      </w:hyperlink>
      <w:r>
        <w:rPr>
          <w:rFonts w:hint="cs"/>
          <w:rtl/>
        </w:rPr>
        <w:t xml:space="preserve"> יקוזז לטובת ההתחייבות.</w:t>
      </w:r>
    </w:p>
    <w:p w14:paraId="321D2219" w14:textId="77777777" w:rsidR="00281CDE" w:rsidRDefault="00C90FC2">
      <w:pPr>
        <w:spacing w:line="360" w:lineRule="auto"/>
        <w:ind w:left="720" w:hanging="720"/>
        <w:jc w:val="both"/>
        <w:rPr>
          <w:rtl/>
        </w:rPr>
      </w:pPr>
      <w:r>
        <w:rPr>
          <w:rFonts w:hint="cs"/>
          <w:rtl/>
        </w:rPr>
        <w:tab/>
        <w:t>לא ישולם הסכום כאמור ירצה הנאשם 40 ימי מאסר תמורתו.</w:t>
      </w:r>
    </w:p>
    <w:p w14:paraId="22B1F399" w14:textId="77777777" w:rsidR="00281CDE" w:rsidRDefault="00C90FC2">
      <w:pPr>
        <w:spacing w:line="360" w:lineRule="auto"/>
        <w:ind w:left="720" w:hanging="720"/>
        <w:jc w:val="both"/>
        <w:rPr>
          <w:rtl/>
        </w:rPr>
      </w:pPr>
      <w:r>
        <w:rPr>
          <w:rFonts w:hint="cs"/>
          <w:rtl/>
        </w:rPr>
        <w:t>ז.</w:t>
      </w:r>
      <w:r>
        <w:rPr>
          <w:rFonts w:hint="cs"/>
          <w:rtl/>
        </w:rPr>
        <w:tab/>
        <w:t xml:space="preserve">מוצגים שונים שנתפסו במסגרת התיקים </w:t>
      </w:r>
      <w:r>
        <w:rPr>
          <w:rtl/>
        </w:rPr>
        <w:t>–</w:t>
      </w:r>
      <w:r>
        <w:rPr>
          <w:rFonts w:hint="cs"/>
          <w:rtl/>
        </w:rPr>
        <w:t xml:space="preserve"> יושמדו או יחולטו. </w:t>
      </w:r>
    </w:p>
    <w:p w14:paraId="1FDAF83F" w14:textId="77777777" w:rsidR="00281CDE" w:rsidRDefault="00C90FC2">
      <w:pPr>
        <w:spacing w:line="360" w:lineRule="auto"/>
        <w:ind w:left="720"/>
        <w:jc w:val="both"/>
        <w:rPr>
          <w:rtl/>
        </w:rPr>
      </w:pPr>
      <w:r>
        <w:rPr>
          <w:rFonts w:hint="cs"/>
          <w:rtl/>
        </w:rPr>
        <w:t>תעודת זהות תוחזר לנאשם ומכשיר נייד יוחזר כפוף להצגת אישור בעלות.</w:t>
      </w:r>
    </w:p>
    <w:p w14:paraId="2E723D30" w14:textId="77777777" w:rsidR="00281CDE" w:rsidRDefault="00281CDE">
      <w:pPr>
        <w:spacing w:line="360" w:lineRule="auto"/>
        <w:ind w:left="720" w:hanging="720"/>
        <w:jc w:val="both"/>
        <w:rPr>
          <w:rtl/>
        </w:rPr>
      </w:pPr>
    </w:p>
    <w:p w14:paraId="6FA22C08" w14:textId="77777777" w:rsidR="00281CDE" w:rsidRDefault="00C90FC2">
      <w:pPr>
        <w:spacing w:line="360" w:lineRule="auto"/>
        <w:ind w:left="720" w:hanging="720"/>
        <w:jc w:val="both"/>
        <w:rPr>
          <w:u w:val="single"/>
          <w:rtl/>
        </w:rPr>
      </w:pPr>
      <w:r>
        <w:rPr>
          <w:rFonts w:hint="cs"/>
          <w:u w:val="single"/>
          <w:rtl/>
        </w:rPr>
        <w:t>זכות ערעור תוך 45 יום מהיום.</w:t>
      </w:r>
    </w:p>
    <w:p w14:paraId="3B8027B1" w14:textId="77777777" w:rsidR="00281CDE" w:rsidRDefault="00281CDE">
      <w:pPr>
        <w:spacing w:line="360" w:lineRule="auto"/>
        <w:ind w:left="720" w:hanging="720"/>
        <w:jc w:val="both"/>
        <w:rPr>
          <w:rtl/>
        </w:rPr>
      </w:pPr>
    </w:p>
    <w:p w14:paraId="3E7F83A6" w14:textId="77777777" w:rsidR="00281CDE" w:rsidRDefault="00C90FC2">
      <w:pPr>
        <w:spacing w:line="360" w:lineRule="auto"/>
        <w:ind w:left="720" w:hanging="720"/>
        <w:jc w:val="both"/>
        <w:rPr>
          <w:sz w:val="6"/>
          <w:szCs w:val="6"/>
          <w:rtl/>
        </w:rPr>
      </w:pPr>
      <w:r>
        <w:rPr>
          <w:sz w:val="6"/>
          <w:szCs w:val="6"/>
          <w:rtl/>
        </w:rPr>
        <w:t>&lt;#4#&gt;</w:t>
      </w:r>
    </w:p>
    <w:p w14:paraId="3CEA42AF" w14:textId="77777777" w:rsidR="00281CDE" w:rsidRDefault="00281CDE">
      <w:pPr>
        <w:jc w:val="right"/>
        <w:rPr>
          <w:rtl/>
        </w:rPr>
      </w:pPr>
    </w:p>
    <w:p w14:paraId="020D0314" w14:textId="77777777" w:rsidR="00281CDE" w:rsidRDefault="00C90FC2">
      <w:pPr>
        <w:jc w:val="center"/>
        <w:rPr>
          <w:rtl/>
        </w:rPr>
      </w:pPr>
      <w:r>
        <w:rPr>
          <w:b/>
          <w:bCs/>
          <w:rtl/>
        </w:rPr>
        <w:t xml:space="preserve">ניתנה והודעה היום כ"ד אדר תשע"ד, 24/02/2014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281CDE" w14:paraId="522429B1" w14:textId="77777777">
        <w:trPr>
          <w:trHeight w:val="364"/>
          <w:jc w:val="right"/>
        </w:trPr>
        <w:tc>
          <w:tcPr>
            <w:tcW w:w="3708" w:type="dxa"/>
          </w:tcPr>
          <w:p w14:paraId="483BBF07" w14:textId="77777777" w:rsidR="00281CDE" w:rsidRDefault="00281CDE">
            <w:pPr>
              <w:jc w:val="center"/>
              <w:rPr>
                <w:rFonts w:ascii="Times New Roman" w:eastAsia="Times New Roman" w:hAnsi="Times New Roman" w:cs="Times New Roman"/>
              </w:rPr>
            </w:pPr>
          </w:p>
          <w:p w14:paraId="371C4231" w14:textId="77777777" w:rsidR="00281CDE" w:rsidRDefault="00281CDE">
            <w:pPr>
              <w:jc w:val="center"/>
              <w:rPr>
                <w:rFonts w:ascii="Times New Roman" w:eastAsia="Times New Roman" w:hAnsi="Times New Roman" w:cs="Times New Roman"/>
                <w:rtl/>
              </w:rPr>
            </w:pPr>
          </w:p>
        </w:tc>
      </w:tr>
      <w:tr w:rsidR="00281CDE" w14:paraId="18A8237C" w14:textId="77777777">
        <w:trPr>
          <w:trHeight w:val="415"/>
          <w:jc w:val="right"/>
        </w:trPr>
        <w:tc>
          <w:tcPr>
            <w:tcW w:w="3708" w:type="dxa"/>
          </w:tcPr>
          <w:p w14:paraId="5060479D" w14:textId="77777777" w:rsidR="00281CDE" w:rsidRDefault="00C90FC2">
            <w:pPr>
              <w:jc w:val="center"/>
              <w:rPr>
                <w:rFonts w:ascii="Times New Roman" w:eastAsia="Times New Roman" w:hAnsi="Times New Roman"/>
                <w:b/>
                <w:bCs/>
                <w:rtl/>
              </w:rPr>
            </w:pPr>
            <w:r>
              <w:rPr>
                <w:rFonts w:ascii="Times New Roman" w:eastAsia="Times New Roman" w:hAnsi="Times New Roman" w:hint="cs"/>
                <w:rtl/>
              </w:rPr>
              <w:t>גלית</w:t>
            </w:r>
            <w:r>
              <w:rPr>
                <w:rFonts w:ascii="Times New Roman" w:eastAsia="Times New Roman" w:hAnsi="Times New Roman" w:hint="cs"/>
                <w:b/>
                <w:bCs/>
                <w:rtl/>
              </w:rPr>
              <w:t xml:space="preserve"> </w:t>
            </w:r>
            <w:r>
              <w:rPr>
                <w:rFonts w:ascii="Times New Roman" w:eastAsia="Times New Roman" w:hAnsi="Times New Roman" w:hint="cs"/>
                <w:rtl/>
              </w:rPr>
              <w:t>ציגלר</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05661089" w14:textId="77777777" w:rsidR="00281CDE" w:rsidRPr="00C90FC2" w:rsidRDefault="00C90FC2">
      <w:pPr>
        <w:jc w:val="right"/>
        <w:rPr>
          <w:color w:val="FFFFFF"/>
          <w:sz w:val="2"/>
          <w:szCs w:val="2"/>
          <w:rtl/>
        </w:rPr>
      </w:pPr>
      <w:r w:rsidRPr="00C90FC2">
        <w:rPr>
          <w:color w:val="FFFFFF"/>
          <w:sz w:val="2"/>
          <w:szCs w:val="2"/>
          <w:rtl/>
        </w:rPr>
        <w:t>5129371</w:t>
      </w:r>
    </w:p>
    <w:p w14:paraId="37950BFF" w14:textId="77777777" w:rsidR="00281CDE" w:rsidRPr="00C90FC2" w:rsidRDefault="00C90FC2">
      <w:pPr>
        <w:jc w:val="center"/>
        <w:rPr>
          <w:color w:val="FFFFFF"/>
          <w:sz w:val="2"/>
          <w:szCs w:val="2"/>
          <w:rtl/>
        </w:rPr>
      </w:pPr>
      <w:r w:rsidRPr="00C90FC2">
        <w:rPr>
          <w:color w:val="FFFFFF"/>
          <w:sz w:val="2"/>
          <w:szCs w:val="2"/>
          <w:rtl/>
        </w:rPr>
        <w:t>54678313</w:t>
      </w:r>
    </w:p>
    <w:p w14:paraId="6BFA0043" w14:textId="77777777" w:rsidR="00281CDE" w:rsidRDefault="00281CDE">
      <w:pPr>
        <w:spacing w:line="360" w:lineRule="auto"/>
        <w:ind w:left="720" w:hanging="720"/>
        <w:jc w:val="center"/>
        <w:rPr>
          <w:rtl/>
        </w:rPr>
      </w:pPr>
    </w:p>
    <w:p w14:paraId="70E9073E" w14:textId="77777777" w:rsidR="00281CDE" w:rsidRDefault="00C90FC2">
      <w:pPr>
        <w:spacing w:line="360" w:lineRule="auto"/>
        <w:ind w:left="720" w:hanging="720"/>
        <w:jc w:val="both"/>
        <w:rPr>
          <w:rtl/>
        </w:rPr>
      </w:pPr>
      <w:r>
        <w:rPr>
          <w:rtl/>
        </w:rPr>
        <w:lastRenderedPageBreak/>
        <w:t xml:space="preserve"> </w:t>
      </w:r>
    </w:p>
    <w:p w14:paraId="36C7CDEF" w14:textId="77777777" w:rsidR="00281CDE" w:rsidRDefault="00281CDE">
      <w:pPr>
        <w:spacing w:line="360" w:lineRule="auto"/>
        <w:ind w:left="720" w:hanging="720"/>
        <w:jc w:val="both"/>
        <w:rPr>
          <w:rtl/>
        </w:rPr>
      </w:pPr>
      <w:bookmarkStart w:id="8" w:name="_GoBack"/>
      <w:bookmarkEnd w:id="8"/>
    </w:p>
    <w:p w14:paraId="2A341FC5" w14:textId="77777777" w:rsidR="00281CDE" w:rsidRDefault="00C90FC2">
      <w:r>
        <w:rPr>
          <w:rtl/>
        </w:rPr>
        <w:t>הוקלד</w:t>
      </w:r>
      <w:r>
        <w:t xml:space="preserve"> </w:t>
      </w:r>
      <w:r>
        <w:rPr>
          <w:rtl/>
        </w:rPr>
        <w:t>על</w:t>
      </w:r>
      <w:r>
        <w:t xml:space="preserve"> </w:t>
      </w:r>
      <w:r>
        <w:rPr>
          <w:rtl/>
        </w:rPr>
        <w:t>ידי</w:t>
      </w:r>
      <w:r>
        <w:t xml:space="preserve"> </w:t>
      </w:r>
      <w:r>
        <w:rPr>
          <w:rtl/>
        </w:rPr>
        <w:t>יפה</w:t>
      </w:r>
      <w:r>
        <w:t xml:space="preserve"> </w:t>
      </w:r>
      <w:r>
        <w:rPr>
          <w:rtl/>
        </w:rPr>
        <w:t>אטלן</w:t>
      </w:r>
    </w:p>
    <w:p w14:paraId="2CB38928" w14:textId="77777777" w:rsidR="00C90FC2" w:rsidRPr="00C90FC2" w:rsidRDefault="00C90FC2" w:rsidP="00C90FC2">
      <w:pPr>
        <w:keepNext/>
        <w:rPr>
          <w:color w:val="000000"/>
          <w:sz w:val="22"/>
          <w:szCs w:val="22"/>
          <w:rtl/>
        </w:rPr>
      </w:pPr>
    </w:p>
    <w:p w14:paraId="7EA18D08" w14:textId="77777777" w:rsidR="00C90FC2" w:rsidRPr="00C90FC2" w:rsidRDefault="00C90FC2" w:rsidP="00C90FC2">
      <w:pPr>
        <w:keepNext/>
        <w:rPr>
          <w:color w:val="000000"/>
          <w:sz w:val="22"/>
          <w:szCs w:val="22"/>
          <w:rtl/>
        </w:rPr>
      </w:pPr>
      <w:r w:rsidRPr="00C90FC2">
        <w:rPr>
          <w:color w:val="000000"/>
          <w:sz w:val="22"/>
          <w:szCs w:val="22"/>
          <w:rtl/>
        </w:rPr>
        <w:t>גלית ציגלר 54678313</w:t>
      </w:r>
    </w:p>
    <w:p w14:paraId="16AC7361" w14:textId="77777777" w:rsidR="00C90FC2" w:rsidRDefault="00C90FC2" w:rsidP="00C90FC2">
      <w:r w:rsidRPr="00C90FC2">
        <w:rPr>
          <w:color w:val="000000"/>
          <w:rtl/>
        </w:rPr>
        <w:t>נוסח מסמך זה כפוף לשינויי ניסוח ועריכה</w:t>
      </w:r>
    </w:p>
    <w:p w14:paraId="70D3134C" w14:textId="77777777" w:rsidR="00C90FC2" w:rsidRDefault="00C90FC2" w:rsidP="00C90FC2">
      <w:pPr>
        <w:rPr>
          <w:rtl/>
        </w:rPr>
      </w:pPr>
    </w:p>
    <w:p w14:paraId="6C983A40" w14:textId="77777777" w:rsidR="00C90FC2" w:rsidRDefault="00C90FC2" w:rsidP="00C90FC2">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26FF9BF8" w14:textId="77777777" w:rsidR="00281CDE" w:rsidRPr="00C90FC2" w:rsidRDefault="00281CDE" w:rsidP="00C90FC2">
      <w:pPr>
        <w:jc w:val="center"/>
        <w:rPr>
          <w:color w:val="0000FF"/>
          <w:u w:val="single"/>
        </w:rPr>
      </w:pPr>
    </w:p>
    <w:sectPr w:rsidR="00281CDE" w:rsidRPr="00C90FC2" w:rsidSect="00C90FC2">
      <w:headerReference w:type="even" r:id="rId12"/>
      <w:headerReference w:type="default" r:id="rId13"/>
      <w:footerReference w:type="even" r:id="rId14"/>
      <w:footerReference w:type="default" r:id="rId1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BFBC0" w14:textId="77777777" w:rsidR="00997DC9" w:rsidRPr="00B055F6" w:rsidRDefault="00997DC9">
      <w:pPr>
        <w:rPr>
          <w:rFonts w:cs="Arial"/>
          <w:szCs w:val="20"/>
        </w:rPr>
      </w:pPr>
      <w:r>
        <w:separator/>
      </w:r>
    </w:p>
  </w:endnote>
  <w:endnote w:type="continuationSeparator" w:id="0">
    <w:p w14:paraId="39299987" w14:textId="77777777" w:rsidR="00997DC9" w:rsidRPr="00B055F6" w:rsidRDefault="00997DC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F9BDD" w14:textId="77777777" w:rsidR="00C90FC2" w:rsidRDefault="00C90FC2" w:rsidP="00C90FC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9FB5BE0" w14:textId="77777777" w:rsidR="00281CDE" w:rsidRPr="00C90FC2" w:rsidRDefault="00C90FC2" w:rsidP="00C90FC2">
    <w:pPr>
      <w:pStyle w:val="a4"/>
      <w:pBdr>
        <w:top w:val="single" w:sz="4" w:space="1" w:color="auto"/>
        <w:between w:val="single" w:sz="4" w:space="0" w:color="auto"/>
      </w:pBdr>
      <w:spacing w:after="60"/>
      <w:jc w:val="center"/>
      <w:rPr>
        <w:rFonts w:ascii="FrankRuehl" w:hAnsi="FrankRuehl" w:cs="FrankRuehl"/>
        <w:color w:val="000000"/>
      </w:rPr>
    </w:pPr>
    <w:r w:rsidRPr="00C90FC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298CA" w14:textId="77777777" w:rsidR="00C90FC2" w:rsidRDefault="00C90FC2" w:rsidP="00C90FC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16190">
      <w:rPr>
        <w:rFonts w:ascii="FrankRuehl" w:hAnsi="FrankRuehl" w:cs="FrankRuehl"/>
        <w:noProof/>
        <w:rtl/>
      </w:rPr>
      <w:t>1</w:t>
    </w:r>
    <w:r>
      <w:rPr>
        <w:rFonts w:ascii="FrankRuehl" w:hAnsi="FrankRuehl" w:cs="FrankRuehl"/>
        <w:rtl/>
      </w:rPr>
      <w:fldChar w:fldCharType="end"/>
    </w:r>
  </w:p>
  <w:p w14:paraId="389C4743" w14:textId="77777777" w:rsidR="00281CDE" w:rsidRPr="00C90FC2" w:rsidRDefault="00C90FC2" w:rsidP="00C90FC2">
    <w:pPr>
      <w:pStyle w:val="a4"/>
      <w:pBdr>
        <w:top w:val="single" w:sz="4" w:space="1" w:color="auto"/>
        <w:between w:val="single" w:sz="4" w:space="0" w:color="auto"/>
      </w:pBdr>
      <w:spacing w:after="60"/>
      <w:jc w:val="center"/>
      <w:rPr>
        <w:rFonts w:ascii="FrankRuehl" w:hAnsi="FrankRuehl" w:cs="FrankRuehl"/>
        <w:color w:val="000000"/>
      </w:rPr>
    </w:pPr>
    <w:r w:rsidRPr="00C90FC2">
      <w:rPr>
        <w:rFonts w:ascii="FrankRuehl" w:hAnsi="FrankRuehl" w:cs="FrankRuehl"/>
        <w:color w:val="000000"/>
      </w:rPr>
      <w:pict w14:anchorId="66DBBC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7A880" w14:textId="77777777" w:rsidR="00997DC9" w:rsidRPr="00B055F6" w:rsidRDefault="00997DC9">
      <w:pPr>
        <w:rPr>
          <w:rFonts w:cs="Arial"/>
          <w:szCs w:val="20"/>
        </w:rPr>
      </w:pPr>
      <w:r>
        <w:separator/>
      </w:r>
    </w:p>
  </w:footnote>
  <w:footnote w:type="continuationSeparator" w:id="0">
    <w:p w14:paraId="76F0342E" w14:textId="77777777" w:rsidR="00997DC9" w:rsidRPr="00B055F6" w:rsidRDefault="00997DC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0901F" w14:textId="77777777" w:rsidR="00C90FC2" w:rsidRPr="00C90FC2" w:rsidRDefault="00C90FC2" w:rsidP="00C90FC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20269-06-13</w:t>
    </w:r>
    <w:r>
      <w:rPr>
        <w:color w:val="000000"/>
        <w:sz w:val="22"/>
        <w:szCs w:val="22"/>
        <w:rtl/>
      </w:rPr>
      <w:tab/>
      <w:t xml:space="preserve"> מדינת ישראל נ' אחמד מסארווה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96451" w14:textId="77777777" w:rsidR="00C90FC2" w:rsidRPr="00C90FC2" w:rsidRDefault="00C90FC2" w:rsidP="00C90FC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20269-06-13</w:t>
    </w:r>
    <w:r>
      <w:rPr>
        <w:color w:val="000000"/>
        <w:sz w:val="22"/>
        <w:szCs w:val="22"/>
        <w:rtl/>
      </w:rPr>
      <w:tab/>
      <w:t xml:space="preserve"> מדינת ישראל נ' אחמד מסארווה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1CDE"/>
    <w:rsid w:val="00281CDE"/>
    <w:rsid w:val="002D1EF2"/>
    <w:rsid w:val="003F02B8"/>
    <w:rsid w:val="00916190"/>
    <w:rsid w:val="00997DC9"/>
    <w:rsid w:val="00C90FC2"/>
    <w:rsid w:val="00EA77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ACEE5B4"/>
  <w15:chartTrackingRefBased/>
  <w15:docId w15:val="{2423F06F-B7EE-4270-98FB-1A53C4B5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81CDE"/>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81CDE"/>
    <w:pPr>
      <w:tabs>
        <w:tab w:val="center" w:pos="4153"/>
        <w:tab w:val="right" w:pos="8306"/>
      </w:tabs>
    </w:pPr>
  </w:style>
  <w:style w:type="paragraph" w:styleId="a4">
    <w:name w:val="footer"/>
    <w:basedOn w:val="a"/>
    <w:rsid w:val="00281CDE"/>
    <w:pPr>
      <w:tabs>
        <w:tab w:val="center" w:pos="4153"/>
        <w:tab w:val="right" w:pos="8306"/>
      </w:tabs>
    </w:pPr>
  </w:style>
  <w:style w:type="character" w:styleId="a5">
    <w:name w:val="page number"/>
    <w:basedOn w:val="a0"/>
    <w:rsid w:val="00281CDE"/>
  </w:style>
  <w:style w:type="character" w:customStyle="1" w:styleId="TimesNewRomanTimesNewRoman">
    <w:name w:val="סגנון (לטיני) Times New Roman (עברית ושפות אחרות) Times New Roman..."/>
    <w:basedOn w:val="a0"/>
    <w:rsid w:val="00281CDE"/>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281CDE"/>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281CDE"/>
    <w:pPr>
      <w:spacing w:line="360" w:lineRule="auto"/>
      <w:jc w:val="both"/>
    </w:pPr>
    <w:rPr>
      <w:rFonts w:ascii="Times New Roman" w:eastAsia="Times New Roman" w:hAnsi="Times New Roman"/>
    </w:rPr>
  </w:style>
  <w:style w:type="character" w:styleId="a6">
    <w:name w:val="line number"/>
    <w:basedOn w:val="a0"/>
    <w:rsid w:val="00281CDE"/>
  </w:style>
  <w:style w:type="character" w:styleId="Hyperlink">
    <w:name w:val="Hyperlink"/>
    <w:basedOn w:val="a0"/>
    <w:rsid w:val="00C90F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inks/psika/?NEWPROC=&#1502;&#1514;&amp;NEWPARTA=20276&amp;NEWPARTB=06&amp;NEWPARTC=13" TargetMode="External"/><Relationship Id="rId4" Type="http://schemas.openxmlformats.org/officeDocument/2006/relationships/footnotes" Target="footnotes.xml"/><Relationship Id="rId9" Type="http://schemas.openxmlformats.org/officeDocument/2006/relationships/hyperlink" Target="http://www.nevo.co.il/links/psika/?NEWPROC=&#1514;&#1508;&amp;NEWPARTA=8123&amp;NEWPARTB=02&amp;NEWPARTC=12"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3576</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99288534</vt:i4>
      </vt:variant>
      <vt:variant>
        <vt:i4>12</vt:i4>
      </vt:variant>
      <vt:variant>
        <vt:i4>0</vt:i4>
      </vt:variant>
      <vt:variant>
        <vt:i4>5</vt:i4>
      </vt:variant>
      <vt:variant>
        <vt:lpwstr>http://www.nevo.co.il/links/psika/?NEWPROC=מת&amp;NEWPARTA=20276&amp;NEWPARTB=06&amp;NEWPARTC=13</vt:lpwstr>
      </vt:variant>
      <vt:variant>
        <vt:lpwstr/>
      </vt:variant>
      <vt:variant>
        <vt:i4>98960879</vt:i4>
      </vt:variant>
      <vt:variant>
        <vt:i4>9</vt:i4>
      </vt:variant>
      <vt:variant>
        <vt:i4>0</vt:i4>
      </vt:variant>
      <vt:variant>
        <vt:i4>5</vt:i4>
      </vt:variant>
      <vt:variant>
        <vt:lpwstr>http://www.nevo.co.il/links/psika/?NEWPROC=תפ&amp;NEWPARTA=8123&amp;NEWPARTB=02&amp;NEWPARTC=12</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2025-04-22T22:03:00Z</dcterms:created>
  <dcterms:modified xsi:type="dcterms:W3CDTF">2025-04-22T22:03:00Z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20269</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אחמד מסארווה</vt:lpwstr>
  </property>
  <property fmtid="{D5CDD505-2E9C-101B-9397-08002B2CF9AE}" pid="10" name="LAWYER">
    <vt:lpwstr>שפיר</vt:lpwstr>
  </property>
  <property fmtid="{D5CDD505-2E9C-101B-9397-08002B2CF9AE}" pid="11" name="JUDGE">
    <vt:lpwstr>גלית ציגלר</vt:lpwstr>
  </property>
  <property fmtid="{D5CDD505-2E9C-101B-9397-08002B2CF9AE}" pid="12" name="CITY">
    <vt:lpwstr>נת'</vt:lpwstr>
  </property>
  <property fmtid="{D5CDD505-2E9C-101B-9397-08002B2CF9AE}" pid="13" name="DATE">
    <vt:lpwstr>20140224</vt:lpwstr>
  </property>
  <property fmtid="{D5CDD505-2E9C-101B-9397-08002B2CF9AE}" pid="14" name="TYPE_N_DATE">
    <vt:lpwstr>38020140224</vt:lpwstr>
  </property>
  <property fmtid="{D5CDD505-2E9C-101B-9397-08002B2CF9AE}" pid="15" name="LAWLISTTMP1">
    <vt:lpwstr>4216</vt:lpwstr>
  </property>
  <property fmtid="{D5CDD505-2E9C-101B-9397-08002B2CF9AE}" pid="16" name="WORDNUMPAGES">
    <vt:lpwstr>3</vt:lpwstr>
  </property>
  <property fmtid="{D5CDD505-2E9C-101B-9397-08002B2CF9AE}" pid="17" name="TYPE_ABS_DATE">
    <vt:lpwstr>380020140224</vt:lpwstr>
  </property>
  <property fmtid="{D5CDD505-2E9C-101B-9397-08002B2CF9AE}" pid="18" name="ISABSTRACT">
    <vt:lpwstr>Y</vt:lpwstr>
  </property>
</Properties>
</file>