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4873C1" w:rsidRPr="00C50120" w14:paraId="6A8B0433" w14:textId="77777777" w:rsidTr="00A04462">
        <w:trPr>
          <w:trHeight w:hRule="exact" w:val="418"/>
          <w:jc w:val="center"/>
        </w:trPr>
        <w:tc>
          <w:tcPr>
            <w:tcW w:w="8721" w:type="dxa"/>
            <w:gridSpan w:val="2"/>
          </w:tcPr>
          <w:p w14:paraId="09BB1E6D" w14:textId="77777777" w:rsidR="004873C1" w:rsidRPr="00C50120" w:rsidRDefault="00C50120">
            <w:pPr>
              <w:pStyle w:val="a3"/>
              <w:jc w:val="center"/>
              <w:rPr>
                <w:rFonts w:ascii="Tahoma" w:hAnsi="Tahoma" w:cs="Tahoma"/>
                <w:color w:val="000080"/>
                <w:rtl/>
              </w:rPr>
            </w:pPr>
            <w:bookmarkStart w:id="0" w:name="LastJudge"/>
            <w:r w:rsidRPr="00C50120">
              <w:rPr>
                <w:rFonts w:ascii="Tahoma" w:hAnsi="Tahoma" w:cs="Tahoma"/>
                <w:b/>
                <w:bCs/>
                <w:color w:val="000080"/>
                <w:rtl/>
              </w:rPr>
              <w:t>בית משפט השלום בירושלים</w:t>
            </w:r>
          </w:p>
        </w:tc>
      </w:tr>
      <w:tr w:rsidR="004873C1" w:rsidRPr="00C50120" w14:paraId="0864183B" w14:textId="77777777" w:rsidTr="00A04462">
        <w:trPr>
          <w:trHeight w:val="337"/>
          <w:jc w:val="center"/>
        </w:trPr>
        <w:tc>
          <w:tcPr>
            <w:tcW w:w="5049" w:type="dxa"/>
          </w:tcPr>
          <w:p w14:paraId="722D191A" w14:textId="77777777" w:rsidR="004873C1" w:rsidRPr="00C50120" w:rsidRDefault="00C50120">
            <w:pPr>
              <w:rPr>
                <w:rFonts w:cs="FrankRuehl"/>
                <w:sz w:val="28"/>
                <w:szCs w:val="28"/>
                <w:rtl/>
              </w:rPr>
            </w:pPr>
            <w:r w:rsidRPr="00C50120">
              <w:rPr>
                <w:rFonts w:cs="FrankRuehl"/>
                <w:sz w:val="28"/>
                <w:szCs w:val="28"/>
                <w:rtl/>
              </w:rPr>
              <w:t>ת"פ</w:t>
            </w:r>
            <w:r w:rsidRPr="00C50120">
              <w:rPr>
                <w:rFonts w:cs="FrankRuehl" w:hint="cs"/>
                <w:sz w:val="28"/>
                <w:szCs w:val="28"/>
                <w:rtl/>
              </w:rPr>
              <w:t xml:space="preserve"> </w:t>
            </w:r>
            <w:r w:rsidRPr="00C50120">
              <w:rPr>
                <w:rFonts w:cs="FrankRuehl"/>
                <w:sz w:val="28"/>
                <w:szCs w:val="28"/>
                <w:rtl/>
              </w:rPr>
              <w:t>29550-06-13</w:t>
            </w:r>
            <w:r w:rsidRPr="00C50120">
              <w:rPr>
                <w:rFonts w:cs="FrankRuehl" w:hint="cs"/>
                <w:sz w:val="28"/>
                <w:szCs w:val="28"/>
                <w:rtl/>
              </w:rPr>
              <w:t xml:space="preserve"> </w:t>
            </w:r>
            <w:r w:rsidRPr="00C50120">
              <w:rPr>
                <w:rFonts w:cs="FrankRuehl"/>
                <w:sz w:val="28"/>
                <w:szCs w:val="28"/>
                <w:rtl/>
              </w:rPr>
              <w:t>מדינת ישראל נ' סעידה</w:t>
            </w:r>
          </w:p>
        </w:tc>
        <w:tc>
          <w:tcPr>
            <w:tcW w:w="3672" w:type="dxa"/>
          </w:tcPr>
          <w:p w14:paraId="4728EEF5" w14:textId="77777777" w:rsidR="004873C1" w:rsidRPr="00C50120" w:rsidRDefault="00C50120">
            <w:pPr>
              <w:pStyle w:val="a3"/>
              <w:jc w:val="right"/>
              <w:rPr>
                <w:rFonts w:cs="FrankRuehl"/>
                <w:sz w:val="28"/>
                <w:szCs w:val="28"/>
                <w:rtl/>
              </w:rPr>
            </w:pPr>
            <w:r w:rsidRPr="00C50120">
              <w:rPr>
                <w:rFonts w:cs="FrankRuehl"/>
                <w:sz w:val="28"/>
                <w:szCs w:val="28"/>
                <w:rtl/>
              </w:rPr>
              <w:t>01 אפריל 2015</w:t>
            </w:r>
          </w:p>
        </w:tc>
      </w:tr>
    </w:tbl>
    <w:p w14:paraId="03024024" w14:textId="77777777" w:rsidR="004873C1" w:rsidRPr="00C50120" w:rsidRDefault="00C50120">
      <w:pPr>
        <w:pStyle w:val="a3"/>
        <w:rPr>
          <w:rtl/>
        </w:rPr>
      </w:pPr>
      <w:r w:rsidRPr="00C50120">
        <w:rPr>
          <w:rFonts w:hint="cs"/>
          <w:rtl/>
        </w:rPr>
        <w:t xml:space="preserve"> </w:t>
      </w:r>
    </w:p>
    <w:p w14:paraId="08635B1B" w14:textId="77777777" w:rsidR="004873C1" w:rsidRPr="00C50120" w:rsidRDefault="00C50120" w:rsidP="00A04462">
      <w:pPr>
        <w:pStyle w:val="a3"/>
        <w:rPr>
          <w:rtl/>
        </w:rPr>
      </w:pPr>
      <w:r w:rsidRPr="00C5012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873C1" w:rsidRPr="00C50120" w14:paraId="6D3657CC" w14:textId="77777777">
        <w:trPr>
          <w:trHeight w:val="295"/>
          <w:jc w:val="center"/>
        </w:trPr>
        <w:tc>
          <w:tcPr>
            <w:tcW w:w="923" w:type="dxa"/>
            <w:tcBorders>
              <w:top w:val="nil"/>
              <w:left w:val="nil"/>
              <w:bottom w:val="nil"/>
              <w:right w:val="nil"/>
            </w:tcBorders>
          </w:tcPr>
          <w:p w14:paraId="66AACCDC" w14:textId="77777777" w:rsidR="004873C1" w:rsidRPr="00C50120" w:rsidRDefault="00C50120">
            <w:pPr>
              <w:jc w:val="both"/>
              <w:rPr>
                <w:rFonts w:ascii="Arial" w:hAnsi="Arial" w:cs="FrankRuehl"/>
                <w:sz w:val="28"/>
                <w:szCs w:val="28"/>
              </w:rPr>
            </w:pPr>
            <w:r w:rsidRPr="00C50120">
              <w:rPr>
                <w:rFonts w:ascii="Arial" w:hAnsi="Arial" w:cs="FrankRuehl" w:hint="cs"/>
                <w:sz w:val="28"/>
                <w:szCs w:val="28"/>
                <w:rtl/>
              </w:rPr>
              <w:t>ב</w:t>
            </w:r>
            <w:r w:rsidRPr="00C50120">
              <w:rPr>
                <w:rFonts w:ascii="Arial" w:hAnsi="Arial" w:cs="FrankRuehl"/>
                <w:sz w:val="28"/>
                <w:szCs w:val="28"/>
                <w:rtl/>
              </w:rPr>
              <w:t xml:space="preserve">פני </w:t>
            </w:r>
          </w:p>
        </w:tc>
        <w:tc>
          <w:tcPr>
            <w:tcW w:w="7897" w:type="dxa"/>
            <w:gridSpan w:val="2"/>
            <w:tcBorders>
              <w:top w:val="nil"/>
              <w:left w:val="nil"/>
              <w:bottom w:val="nil"/>
              <w:right w:val="nil"/>
            </w:tcBorders>
          </w:tcPr>
          <w:p w14:paraId="418211A4" w14:textId="77777777" w:rsidR="004873C1" w:rsidRPr="00C50120" w:rsidRDefault="00C50120">
            <w:pPr>
              <w:rPr>
                <w:rFonts w:ascii="Arial" w:hAnsi="Arial" w:cs="FrankRuehl"/>
                <w:b/>
                <w:bCs/>
                <w:sz w:val="28"/>
                <w:szCs w:val="28"/>
                <w:rtl/>
              </w:rPr>
            </w:pPr>
            <w:r w:rsidRPr="00C50120">
              <w:rPr>
                <w:rFonts w:ascii="Arial" w:hAnsi="Arial" w:cs="FrankRuehl" w:hint="cs"/>
                <w:b/>
                <w:bCs/>
                <w:sz w:val="28"/>
                <w:szCs w:val="28"/>
                <w:rtl/>
              </w:rPr>
              <w:t>כב' השופטת דנה כהן-לקח</w:t>
            </w:r>
          </w:p>
          <w:p w14:paraId="35EBA98E" w14:textId="77777777" w:rsidR="004873C1" w:rsidRPr="00C50120" w:rsidRDefault="004873C1">
            <w:pPr>
              <w:rPr>
                <w:rtl/>
              </w:rPr>
            </w:pPr>
          </w:p>
          <w:p w14:paraId="2CD4726C" w14:textId="77777777" w:rsidR="004873C1" w:rsidRPr="00C50120" w:rsidRDefault="004873C1">
            <w:pPr>
              <w:jc w:val="both"/>
              <w:rPr>
                <w:rFonts w:ascii="Arial" w:hAnsi="Arial" w:cs="FrankRuehl"/>
                <w:sz w:val="28"/>
                <w:szCs w:val="28"/>
              </w:rPr>
            </w:pPr>
          </w:p>
        </w:tc>
      </w:tr>
      <w:tr w:rsidR="004873C1" w:rsidRPr="00C50120" w14:paraId="55CF7FAD" w14:textId="77777777">
        <w:trPr>
          <w:trHeight w:val="355"/>
          <w:jc w:val="center"/>
        </w:trPr>
        <w:tc>
          <w:tcPr>
            <w:tcW w:w="923" w:type="dxa"/>
            <w:tcBorders>
              <w:top w:val="nil"/>
              <w:left w:val="nil"/>
              <w:bottom w:val="nil"/>
              <w:right w:val="nil"/>
            </w:tcBorders>
          </w:tcPr>
          <w:p w14:paraId="58D320A6" w14:textId="77777777" w:rsidR="004873C1" w:rsidRPr="00C50120" w:rsidRDefault="00C50120">
            <w:pPr>
              <w:jc w:val="both"/>
              <w:rPr>
                <w:rFonts w:ascii="Arial" w:hAnsi="Arial" w:cs="FrankRuehl"/>
                <w:sz w:val="28"/>
                <w:szCs w:val="28"/>
              </w:rPr>
            </w:pPr>
            <w:bookmarkStart w:id="1" w:name="FirstAppellant"/>
            <w:r w:rsidRPr="00C50120">
              <w:rPr>
                <w:rFonts w:ascii="Arial" w:hAnsi="Arial" w:cs="FrankRuehl" w:hint="cs"/>
                <w:sz w:val="28"/>
                <w:szCs w:val="28"/>
                <w:rtl/>
              </w:rPr>
              <w:t>בעניין:</w:t>
            </w:r>
          </w:p>
        </w:tc>
        <w:tc>
          <w:tcPr>
            <w:tcW w:w="4126" w:type="dxa"/>
            <w:tcBorders>
              <w:top w:val="nil"/>
              <w:left w:val="nil"/>
              <w:bottom w:val="nil"/>
              <w:right w:val="nil"/>
            </w:tcBorders>
          </w:tcPr>
          <w:p w14:paraId="36985DBE" w14:textId="77777777" w:rsidR="004873C1" w:rsidRPr="00C50120" w:rsidRDefault="00C50120">
            <w:r w:rsidRPr="00C50120">
              <w:rPr>
                <w:rFonts w:hint="cs"/>
                <w:rtl/>
              </w:rPr>
              <w:t>מדינת ישראל</w:t>
            </w:r>
          </w:p>
        </w:tc>
        <w:tc>
          <w:tcPr>
            <w:tcW w:w="3771" w:type="dxa"/>
            <w:tcBorders>
              <w:top w:val="nil"/>
              <w:left w:val="nil"/>
              <w:bottom w:val="nil"/>
              <w:right w:val="nil"/>
            </w:tcBorders>
          </w:tcPr>
          <w:p w14:paraId="0E5108E9" w14:textId="77777777" w:rsidR="004873C1" w:rsidRPr="00C50120" w:rsidRDefault="004873C1">
            <w:pPr>
              <w:jc w:val="both"/>
              <w:rPr>
                <w:rFonts w:ascii="Arial" w:hAnsi="Arial" w:cs="FrankRuehl"/>
                <w:sz w:val="28"/>
                <w:szCs w:val="28"/>
              </w:rPr>
            </w:pPr>
          </w:p>
        </w:tc>
      </w:tr>
      <w:bookmarkEnd w:id="1"/>
      <w:tr w:rsidR="004873C1" w:rsidRPr="00C50120" w14:paraId="2F0EED46" w14:textId="77777777">
        <w:trPr>
          <w:trHeight w:val="355"/>
          <w:jc w:val="center"/>
        </w:trPr>
        <w:tc>
          <w:tcPr>
            <w:tcW w:w="923" w:type="dxa"/>
            <w:tcBorders>
              <w:top w:val="nil"/>
              <w:left w:val="nil"/>
              <w:bottom w:val="nil"/>
              <w:right w:val="nil"/>
            </w:tcBorders>
          </w:tcPr>
          <w:p w14:paraId="1461F00F" w14:textId="77777777" w:rsidR="004873C1" w:rsidRPr="00C50120" w:rsidRDefault="004873C1">
            <w:pPr>
              <w:jc w:val="both"/>
              <w:rPr>
                <w:rFonts w:ascii="Arial" w:hAnsi="Arial" w:cs="FrankRuehl"/>
                <w:sz w:val="28"/>
                <w:szCs w:val="28"/>
                <w:rtl/>
              </w:rPr>
            </w:pPr>
          </w:p>
        </w:tc>
        <w:tc>
          <w:tcPr>
            <w:tcW w:w="4126" w:type="dxa"/>
            <w:tcBorders>
              <w:top w:val="nil"/>
              <w:left w:val="nil"/>
              <w:bottom w:val="nil"/>
              <w:right w:val="nil"/>
            </w:tcBorders>
          </w:tcPr>
          <w:p w14:paraId="0C432B9F" w14:textId="77777777" w:rsidR="004873C1" w:rsidRPr="00C50120" w:rsidRDefault="004873C1">
            <w:pPr>
              <w:jc w:val="both"/>
              <w:rPr>
                <w:rtl/>
              </w:rPr>
            </w:pPr>
          </w:p>
        </w:tc>
        <w:tc>
          <w:tcPr>
            <w:tcW w:w="3771" w:type="dxa"/>
            <w:tcBorders>
              <w:top w:val="nil"/>
              <w:left w:val="nil"/>
              <w:bottom w:val="nil"/>
              <w:right w:val="nil"/>
            </w:tcBorders>
          </w:tcPr>
          <w:p w14:paraId="07ED20C5" w14:textId="77777777" w:rsidR="004873C1" w:rsidRPr="00C50120" w:rsidRDefault="00C50120">
            <w:pPr>
              <w:jc w:val="right"/>
              <w:rPr>
                <w:rFonts w:ascii="Arial" w:hAnsi="Arial" w:cs="FrankRuehl"/>
                <w:sz w:val="28"/>
                <w:szCs w:val="28"/>
                <w:rtl/>
              </w:rPr>
            </w:pPr>
            <w:r w:rsidRPr="00C50120">
              <w:rPr>
                <w:rFonts w:ascii="Arial" w:hAnsi="Arial" w:cs="FrankRuehl" w:hint="cs"/>
                <w:sz w:val="28"/>
                <w:szCs w:val="28"/>
                <w:rtl/>
              </w:rPr>
              <w:t>ה</w:t>
            </w:r>
            <w:r w:rsidRPr="00C50120">
              <w:rPr>
                <w:rFonts w:hint="cs"/>
                <w:rtl/>
              </w:rPr>
              <w:t>מאשימה</w:t>
            </w:r>
          </w:p>
        </w:tc>
      </w:tr>
      <w:tr w:rsidR="004873C1" w:rsidRPr="00C50120" w14:paraId="01D388EE" w14:textId="77777777">
        <w:trPr>
          <w:trHeight w:val="355"/>
          <w:jc w:val="center"/>
        </w:trPr>
        <w:tc>
          <w:tcPr>
            <w:tcW w:w="923" w:type="dxa"/>
            <w:tcBorders>
              <w:top w:val="nil"/>
              <w:left w:val="nil"/>
              <w:bottom w:val="nil"/>
              <w:right w:val="nil"/>
            </w:tcBorders>
          </w:tcPr>
          <w:p w14:paraId="6AB169BF" w14:textId="77777777" w:rsidR="004873C1" w:rsidRPr="00C50120" w:rsidRDefault="004873C1">
            <w:pPr>
              <w:jc w:val="both"/>
              <w:rPr>
                <w:rFonts w:ascii="Arial" w:hAnsi="Arial" w:cs="FrankRuehl"/>
                <w:sz w:val="28"/>
                <w:szCs w:val="28"/>
                <w:rtl/>
              </w:rPr>
            </w:pPr>
          </w:p>
        </w:tc>
        <w:tc>
          <w:tcPr>
            <w:tcW w:w="7897" w:type="dxa"/>
            <w:gridSpan w:val="2"/>
            <w:tcBorders>
              <w:top w:val="nil"/>
              <w:left w:val="nil"/>
              <w:bottom w:val="nil"/>
              <w:right w:val="nil"/>
            </w:tcBorders>
          </w:tcPr>
          <w:p w14:paraId="3332C3FE" w14:textId="77777777" w:rsidR="004873C1" w:rsidRPr="00C50120" w:rsidRDefault="004873C1">
            <w:pPr>
              <w:jc w:val="center"/>
              <w:rPr>
                <w:rFonts w:ascii="Arial" w:hAnsi="Arial" w:cs="FrankRuehl"/>
                <w:b/>
                <w:bCs/>
                <w:sz w:val="28"/>
                <w:szCs w:val="28"/>
                <w:rtl/>
              </w:rPr>
            </w:pPr>
          </w:p>
          <w:p w14:paraId="3D95A790" w14:textId="77777777" w:rsidR="004873C1" w:rsidRPr="00C50120" w:rsidRDefault="00C50120">
            <w:pPr>
              <w:jc w:val="center"/>
              <w:rPr>
                <w:rFonts w:ascii="Arial" w:hAnsi="Arial" w:cs="FrankRuehl"/>
                <w:b/>
                <w:bCs/>
                <w:sz w:val="28"/>
                <w:szCs w:val="28"/>
                <w:rtl/>
              </w:rPr>
            </w:pPr>
            <w:r w:rsidRPr="00C50120">
              <w:rPr>
                <w:rFonts w:ascii="Arial" w:hAnsi="Arial" w:cs="FrankRuehl"/>
                <w:b/>
                <w:bCs/>
                <w:sz w:val="28"/>
                <w:szCs w:val="28"/>
                <w:rtl/>
              </w:rPr>
              <w:t>נגד</w:t>
            </w:r>
          </w:p>
          <w:p w14:paraId="314A134F" w14:textId="77777777" w:rsidR="004873C1" w:rsidRPr="00C50120" w:rsidRDefault="004873C1">
            <w:pPr>
              <w:jc w:val="both"/>
              <w:rPr>
                <w:rFonts w:ascii="Arial" w:hAnsi="Arial" w:cs="FrankRuehl"/>
                <w:sz w:val="28"/>
                <w:szCs w:val="28"/>
              </w:rPr>
            </w:pPr>
          </w:p>
        </w:tc>
      </w:tr>
      <w:tr w:rsidR="004873C1" w:rsidRPr="00C50120" w14:paraId="5D39F7B4" w14:textId="77777777">
        <w:trPr>
          <w:trHeight w:val="355"/>
          <w:jc w:val="center"/>
        </w:trPr>
        <w:tc>
          <w:tcPr>
            <w:tcW w:w="923" w:type="dxa"/>
            <w:tcBorders>
              <w:top w:val="nil"/>
              <w:left w:val="nil"/>
              <w:bottom w:val="nil"/>
              <w:right w:val="nil"/>
            </w:tcBorders>
          </w:tcPr>
          <w:p w14:paraId="2B38D406" w14:textId="77777777" w:rsidR="004873C1" w:rsidRPr="00C50120" w:rsidRDefault="004873C1">
            <w:pPr>
              <w:jc w:val="both"/>
              <w:rPr>
                <w:rFonts w:ascii="Arial" w:hAnsi="Arial" w:cs="FrankRuehl"/>
                <w:sz w:val="28"/>
                <w:szCs w:val="28"/>
                <w:rtl/>
              </w:rPr>
            </w:pPr>
          </w:p>
        </w:tc>
        <w:tc>
          <w:tcPr>
            <w:tcW w:w="4126" w:type="dxa"/>
            <w:tcBorders>
              <w:top w:val="nil"/>
              <w:left w:val="nil"/>
              <w:bottom w:val="nil"/>
              <w:right w:val="nil"/>
            </w:tcBorders>
          </w:tcPr>
          <w:p w14:paraId="3E2AC18D" w14:textId="77777777" w:rsidR="004873C1" w:rsidRPr="00C50120" w:rsidRDefault="00C50120">
            <w:pPr>
              <w:jc w:val="both"/>
              <w:rPr>
                <w:rtl/>
              </w:rPr>
            </w:pPr>
            <w:r w:rsidRPr="00C50120">
              <w:rPr>
                <w:rFonts w:hint="cs"/>
                <w:rtl/>
              </w:rPr>
              <w:t>מאהר סעידה</w:t>
            </w:r>
          </w:p>
        </w:tc>
        <w:tc>
          <w:tcPr>
            <w:tcW w:w="3771" w:type="dxa"/>
            <w:tcBorders>
              <w:top w:val="nil"/>
              <w:left w:val="nil"/>
              <w:bottom w:val="nil"/>
              <w:right w:val="nil"/>
            </w:tcBorders>
          </w:tcPr>
          <w:p w14:paraId="095000C3" w14:textId="77777777" w:rsidR="004873C1" w:rsidRPr="00C50120" w:rsidRDefault="004873C1">
            <w:pPr>
              <w:jc w:val="right"/>
              <w:rPr>
                <w:rFonts w:ascii="Arial" w:hAnsi="Arial" w:cs="FrankRuehl"/>
                <w:sz w:val="28"/>
                <w:szCs w:val="28"/>
              </w:rPr>
            </w:pPr>
          </w:p>
        </w:tc>
      </w:tr>
      <w:tr w:rsidR="004873C1" w:rsidRPr="00C50120" w14:paraId="44D2B3EA" w14:textId="77777777">
        <w:trPr>
          <w:trHeight w:val="355"/>
          <w:jc w:val="center"/>
        </w:trPr>
        <w:tc>
          <w:tcPr>
            <w:tcW w:w="923" w:type="dxa"/>
            <w:tcBorders>
              <w:top w:val="nil"/>
              <w:left w:val="nil"/>
              <w:bottom w:val="nil"/>
              <w:right w:val="nil"/>
            </w:tcBorders>
          </w:tcPr>
          <w:p w14:paraId="13E09D71" w14:textId="77777777" w:rsidR="004873C1" w:rsidRPr="00C50120" w:rsidRDefault="004873C1">
            <w:pPr>
              <w:jc w:val="both"/>
              <w:rPr>
                <w:rFonts w:ascii="Arial" w:hAnsi="Arial" w:cs="FrankRuehl"/>
                <w:sz w:val="28"/>
                <w:szCs w:val="28"/>
                <w:rtl/>
              </w:rPr>
            </w:pPr>
          </w:p>
        </w:tc>
        <w:tc>
          <w:tcPr>
            <w:tcW w:w="4126" w:type="dxa"/>
            <w:tcBorders>
              <w:top w:val="nil"/>
              <w:left w:val="nil"/>
              <w:bottom w:val="nil"/>
              <w:right w:val="nil"/>
            </w:tcBorders>
          </w:tcPr>
          <w:p w14:paraId="2B04C4DB" w14:textId="77777777" w:rsidR="004873C1" w:rsidRPr="00C50120" w:rsidRDefault="004873C1">
            <w:pPr>
              <w:jc w:val="both"/>
              <w:rPr>
                <w:rtl/>
              </w:rPr>
            </w:pPr>
          </w:p>
        </w:tc>
        <w:tc>
          <w:tcPr>
            <w:tcW w:w="3771" w:type="dxa"/>
            <w:tcBorders>
              <w:top w:val="nil"/>
              <w:left w:val="nil"/>
              <w:bottom w:val="nil"/>
              <w:right w:val="nil"/>
            </w:tcBorders>
          </w:tcPr>
          <w:p w14:paraId="7100C000" w14:textId="77777777" w:rsidR="004873C1" w:rsidRPr="00C50120" w:rsidRDefault="00C50120">
            <w:pPr>
              <w:jc w:val="right"/>
              <w:rPr>
                <w:rFonts w:ascii="Arial" w:hAnsi="Arial" w:cs="FrankRuehl"/>
                <w:sz w:val="28"/>
                <w:szCs w:val="28"/>
              </w:rPr>
            </w:pPr>
            <w:r w:rsidRPr="00C50120">
              <w:rPr>
                <w:rFonts w:ascii="Arial" w:hAnsi="Arial" w:cs="FrankRuehl" w:hint="cs"/>
                <w:sz w:val="28"/>
                <w:szCs w:val="28"/>
                <w:rtl/>
              </w:rPr>
              <w:t>ה</w:t>
            </w:r>
            <w:r w:rsidRPr="00C50120">
              <w:rPr>
                <w:rFonts w:hint="cs"/>
                <w:rtl/>
              </w:rPr>
              <w:t>נאשם</w:t>
            </w:r>
          </w:p>
        </w:tc>
      </w:tr>
    </w:tbl>
    <w:p w14:paraId="624CF1D8" w14:textId="77777777" w:rsidR="00726FEF" w:rsidRDefault="00726FEF">
      <w:pPr>
        <w:rPr>
          <w:rtl/>
        </w:rPr>
      </w:pPr>
      <w:bookmarkStart w:id="2" w:name="LawTable"/>
      <w:bookmarkEnd w:id="2"/>
    </w:p>
    <w:p w14:paraId="3CE6E381" w14:textId="77777777" w:rsidR="00726FEF" w:rsidRPr="00726FEF" w:rsidRDefault="00726FEF" w:rsidP="00726FEF">
      <w:pPr>
        <w:spacing w:after="120" w:line="240" w:lineRule="exact"/>
        <w:ind w:left="283" w:hanging="283"/>
        <w:jc w:val="both"/>
        <w:rPr>
          <w:rFonts w:ascii="FrankRuehl" w:hAnsi="FrankRuehl" w:cs="FrankRuehl"/>
          <w:rtl/>
        </w:rPr>
      </w:pPr>
    </w:p>
    <w:p w14:paraId="00B2A542" w14:textId="77777777" w:rsidR="00726FEF" w:rsidRPr="00726FEF" w:rsidRDefault="00726FEF" w:rsidP="00726FEF">
      <w:pPr>
        <w:spacing w:after="120" w:line="240" w:lineRule="exact"/>
        <w:ind w:left="283" w:hanging="283"/>
        <w:jc w:val="both"/>
        <w:rPr>
          <w:rFonts w:ascii="FrankRuehl" w:hAnsi="FrankRuehl" w:cs="FrankRuehl"/>
          <w:rtl/>
        </w:rPr>
      </w:pPr>
      <w:r w:rsidRPr="00726FEF">
        <w:rPr>
          <w:rFonts w:ascii="FrankRuehl" w:hAnsi="FrankRuehl" w:cs="FrankRuehl"/>
          <w:rtl/>
        </w:rPr>
        <w:t xml:space="preserve">חקיקה שאוזכרה: </w:t>
      </w:r>
    </w:p>
    <w:p w14:paraId="607A7CD6" w14:textId="77777777" w:rsidR="00726FEF" w:rsidRPr="00726FEF" w:rsidRDefault="00726FEF" w:rsidP="00726FEF">
      <w:pPr>
        <w:spacing w:after="120" w:line="240" w:lineRule="exact"/>
        <w:ind w:left="283" w:hanging="283"/>
        <w:jc w:val="both"/>
        <w:rPr>
          <w:rFonts w:ascii="FrankRuehl" w:hAnsi="FrankRuehl" w:cs="FrankRuehl"/>
          <w:color w:val="0000FF"/>
          <w:u w:val="single"/>
          <w:rtl/>
        </w:rPr>
      </w:pPr>
      <w:hyperlink r:id="rId6" w:history="1">
        <w:r w:rsidRPr="00726FEF">
          <w:rPr>
            <w:rStyle w:val="Hyperlink"/>
            <w:rFonts w:ascii="FrankRuehl" w:hAnsi="FrankRuehl" w:cs="FrankRuehl"/>
            <w:rtl/>
          </w:rPr>
          <w:t>פקודת הסמים המסוכנים [נוסח חדש], תשל"ג-1973</w:t>
        </w:r>
      </w:hyperlink>
      <w:r w:rsidRPr="00726FEF">
        <w:rPr>
          <w:rFonts w:ascii="FrankRuehl" w:hAnsi="FrankRuehl" w:cs="FrankRuehl"/>
          <w:color w:val="0000FF"/>
          <w:u w:val="single"/>
          <w:rtl/>
        </w:rPr>
        <w:t xml:space="preserve">: סע'  </w:t>
      </w:r>
      <w:hyperlink r:id="rId7" w:history="1">
        <w:r w:rsidRPr="00726FEF">
          <w:rPr>
            <w:rStyle w:val="Hyperlink"/>
            <w:rFonts w:ascii="FrankRuehl" w:hAnsi="FrankRuehl" w:cs="FrankRuehl"/>
          </w:rPr>
          <w:t>13</w:t>
        </w:r>
      </w:hyperlink>
      <w:r w:rsidRPr="00726FEF">
        <w:rPr>
          <w:rFonts w:ascii="FrankRuehl" w:hAnsi="FrankRuehl" w:cs="FrankRuehl"/>
          <w:color w:val="0000FF"/>
          <w:u w:val="single"/>
          <w:rtl/>
        </w:rPr>
        <w:t xml:space="preserve">, </w:t>
      </w:r>
      <w:hyperlink r:id="rId8" w:history="1">
        <w:r w:rsidRPr="00726FEF">
          <w:rPr>
            <w:rStyle w:val="Hyperlink"/>
            <w:rFonts w:ascii="FrankRuehl" w:hAnsi="FrankRuehl" w:cs="FrankRuehl"/>
          </w:rPr>
          <w:t>19</w:t>
        </w:r>
        <w:r w:rsidRPr="00726FEF">
          <w:rPr>
            <w:rStyle w:val="Hyperlink"/>
            <w:rFonts w:ascii="FrankRuehl" w:hAnsi="FrankRuehl" w:cs="FrankRuehl"/>
            <w:rtl/>
          </w:rPr>
          <w:t>א</w:t>
        </w:r>
      </w:hyperlink>
    </w:p>
    <w:p w14:paraId="56140FDC" w14:textId="77777777" w:rsidR="00726FEF" w:rsidRPr="00726FEF" w:rsidRDefault="00726FEF" w:rsidP="00726FEF">
      <w:pPr>
        <w:spacing w:after="120" w:line="240" w:lineRule="exact"/>
        <w:ind w:left="283" w:hanging="283"/>
        <w:jc w:val="both"/>
        <w:rPr>
          <w:rFonts w:ascii="FrankRuehl" w:hAnsi="FrankRuehl" w:cs="FrankRuehl"/>
          <w:color w:val="0000FF"/>
          <w:u w:val="single"/>
          <w:rtl/>
        </w:rPr>
      </w:pPr>
      <w:hyperlink r:id="rId9" w:history="1">
        <w:r w:rsidRPr="00726FEF">
          <w:rPr>
            <w:rStyle w:val="Hyperlink"/>
            <w:rFonts w:ascii="FrankRuehl" w:hAnsi="FrankRuehl" w:cs="FrankRuehl"/>
            <w:rtl/>
          </w:rPr>
          <w:t>חוק העונשין, תשל"ז-1977</w:t>
        </w:r>
      </w:hyperlink>
      <w:r w:rsidRPr="00726FEF">
        <w:rPr>
          <w:rFonts w:ascii="FrankRuehl" w:hAnsi="FrankRuehl" w:cs="FrankRuehl"/>
          <w:color w:val="0000FF"/>
          <w:u w:val="single"/>
          <w:rtl/>
        </w:rPr>
        <w:t xml:space="preserve">: סע'  </w:t>
      </w:r>
      <w:hyperlink r:id="rId10" w:history="1">
        <w:r w:rsidRPr="00726FEF">
          <w:rPr>
            <w:rStyle w:val="Hyperlink"/>
            <w:rFonts w:ascii="FrankRuehl" w:hAnsi="FrankRuehl" w:cs="FrankRuehl"/>
          </w:rPr>
          <w:t>40</w:t>
        </w:r>
        <w:r w:rsidRPr="00726FEF">
          <w:rPr>
            <w:rStyle w:val="Hyperlink"/>
            <w:rFonts w:ascii="FrankRuehl" w:hAnsi="FrankRuehl" w:cs="FrankRuehl"/>
            <w:rtl/>
          </w:rPr>
          <w:t>ג(א</w:t>
        </w:r>
        <w:r w:rsidRPr="00726FEF">
          <w:rPr>
            <w:rStyle w:val="Hyperlink"/>
            <w:rFonts w:ascii="FrankRuehl" w:hAnsi="FrankRuehl" w:cs="FrankRuehl"/>
          </w:rPr>
          <w:t>)</w:t>
        </w:r>
      </w:hyperlink>
      <w:r w:rsidRPr="00726FEF">
        <w:rPr>
          <w:rFonts w:ascii="FrankRuehl" w:hAnsi="FrankRuehl" w:cs="FrankRuehl"/>
          <w:color w:val="0000FF"/>
          <w:u w:val="single"/>
          <w:rtl/>
        </w:rPr>
        <w:t xml:space="preserve">, </w:t>
      </w:r>
      <w:hyperlink r:id="rId11" w:history="1">
        <w:r w:rsidRPr="00726FEF">
          <w:rPr>
            <w:rStyle w:val="Hyperlink"/>
            <w:rFonts w:ascii="FrankRuehl" w:hAnsi="FrankRuehl" w:cs="FrankRuehl"/>
          </w:rPr>
          <w:t>40</w:t>
        </w:r>
        <w:r w:rsidRPr="00726FEF">
          <w:rPr>
            <w:rStyle w:val="Hyperlink"/>
            <w:rFonts w:ascii="FrankRuehl" w:hAnsi="FrankRuehl" w:cs="FrankRuehl"/>
            <w:rtl/>
          </w:rPr>
          <w:t>ד(א</w:t>
        </w:r>
        <w:r w:rsidRPr="00726FEF">
          <w:rPr>
            <w:rStyle w:val="Hyperlink"/>
            <w:rFonts w:ascii="FrankRuehl" w:hAnsi="FrankRuehl" w:cs="FrankRuehl"/>
          </w:rPr>
          <w:t>)</w:t>
        </w:r>
      </w:hyperlink>
      <w:r w:rsidRPr="00726FEF">
        <w:rPr>
          <w:rFonts w:ascii="FrankRuehl" w:hAnsi="FrankRuehl" w:cs="FrankRuehl"/>
          <w:color w:val="0000FF"/>
          <w:u w:val="single"/>
          <w:rtl/>
        </w:rPr>
        <w:t xml:space="preserve">, </w:t>
      </w:r>
      <w:hyperlink r:id="rId12" w:history="1">
        <w:r w:rsidRPr="00726FEF">
          <w:rPr>
            <w:rStyle w:val="Hyperlink"/>
            <w:rFonts w:ascii="FrankRuehl" w:hAnsi="FrankRuehl" w:cs="FrankRuehl"/>
          </w:rPr>
          <w:t>40</w:t>
        </w:r>
        <w:r w:rsidRPr="00726FEF">
          <w:rPr>
            <w:rStyle w:val="Hyperlink"/>
            <w:rFonts w:ascii="FrankRuehl" w:hAnsi="FrankRuehl" w:cs="FrankRuehl"/>
            <w:rtl/>
          </w:rPr>
          <w:t>יא</w:t>
        </w:r>
      </w:hyperlink>
      <w:r w:rsidRPr="00726FEF">
        <w:rPr>
          <w:rFonts w:ascii="FrankRuehl" w:hAnsi="FrankRuehl" w:cs="FrankRuehl"/>
          <w:color w:val="0000FF"/>
          <w:u w:val="single"/>
          <w:rtl/>
        </w:rPr>
        <w:t xml:space="preserve">, </w:t>
      </w:r>
      <w:hyperlink r:id="rId13" w:history="1">
        <w:r w:rsidRPr="00726FEF">
          <w:rPr>
            <w:rStyle w:val="Hyperlink"/>
            <w:rFonts w:ascii="FrankRuehl" w:hAnsi="FrankRuehl" w:cs="FrankRuehl"/>
          </w:rPr>
          <w:t>40</w:t>
        </w:r>
        <w:r w:rsidRPr="00726FEF">
          <w:rPr>
            <w:rStyle w:val="Hyperlink"/>
            <w:rFonts w:ascii="FrankRuehl" w:hAnsi="FrankRuehl" w:cs="FrankRuehl"/>
            <w:rtl/>
          </w:rPr>
          <w:t>יג</w:t>
        </w:r>
      </w:hyperlink>
      <w:r w:rsidRPr="00726FEF">
        <w:rPr>
          <w:rFonts w:ascii="FrankRuehl" w:hAnsi="FrankRuehl" w:cs="FrankRuehl"/>
          <w:color w:val="0000FF"/>
          <w:u w:val="single"/>
          <w:rtl/>
        </w:rPr>
        <w:t xml:space="preserve">, </w:t>
      </w:r>
      <w:hyperlink r:id="rId14" w:history="1">
        <w:r w:rsidRPr="00726FEF">
          <w:rPr>
            <w:rStyle w:val="Hyperlink"/>
            <w:rFonts w:ascii="FrankRuehl" w:hAnsi="FrankRuehl" w:cs="FrankRuehl"/>
          </w:rPr>
          <w:t>40</w:t>
        </w:r>
        <w:r w:rsidRPr="00726FEF">
          <w:rPr>
            <w:rStyle w:val="Hyperlink"/>
            <w:rFonts w:ascii="FrankRuehl" w:hAnsi="FrankRuehl" w:cs="FrankRuehl"/>
            <w:rtl/>
          </w:rPr>
          <w:t>יג(ב</w:t>
        </w:r>
        <w:r w:rsidRPr="00726FEF">
          <w:rPr>
            <w:rStyle w:val="Hyperlink"/>
            <w:rFonts w:ascii="FrankRuehl" w:hAnsi="FrankRuehl" w:cs="FrankRuehl"/>
          </w:rPr>
          <w:t>)</w:t>
        </w:r>
      </w:hyperlink>
    </w:p>
    <w:p w14:paraId="5AB1425D" w14:textId="77777777" w:rsidR="00726FEF" w:rsidRPr="00726FEF" w:rsidRDefault="00726FEF" w:rsidP="00726FEF">
      <w:pPr>
        <w:spacing w:after="120" w:line="240" w:lineRule="exact"/>
        <w:ind w:left="283" w:hanging="283"/>
        <w:jc w:val="both"/>
        <w:rPr>
          <w:rFonts w:ascii="FrankRuehl" w:hAnsi="FrankRuehl" w:cs="FrankRuehl"/>
          <w:rtl/>
        </w:rPr>
      </w:pPr>
    </w:p>
    <w:p w14:paraId="5D4BC2A6" w14:textId="77777777" w:rsidR="00726FEF" w:rsidRPr="00726FEF" w:rsidRDefault="00726FEF">
      <w:pPr>
        <w:rPr>
          <w:rtl/>
        </w:rPr>
      </w:pPr>
      <w:bookmarkStart w:id="3" w:name="LawTable_End"/>
      <w:bookmarkEnd w:id="3"/>
    </w:p>
    <w:p w14:paraId="3E77447A" w14:textId="77777777" w:rsidR="00726FEF" w:rsidRPr="00726FEF" w:rsidRDefault="00726FEF">
      <w:pPr>
        <w:rPr>
          <w:rtl/>
        </w:rPr>
      </w:pPr>
    </w:p>
    <w:p w14:paraId="008AE4ED" w14:textId="77777777" w:rsidR="004873C1" w:rsidRPr="00726FEF" w:rsidRDefault="004873C1"/>
    <w:p w14:paraId="6B7CFB16" w14:textId="77777777" w:rsidR="004873C1" w:rsidRPr="00A04462" w:rsidRDefault="004873C1">
      <w:pPr>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73C1" w14:paraId="3AF80CF2" w14:textId="77777777">
        <w:trPr>
          <w:trHeight w:val="355"/>
          <w:jc w:val="center"/>
        </w:trPr>
        <w:tc>
          <w:tcPr>
            <w:tcW w:w="8820" w:type="dxa"/>
            <w:tcBorders>
              <w:top w:val="nil"/>
              <w:left w:val="nil"/>
              <w:bottom w:val="nil"/>
              <w:right w:val="nil"/>
            </w:tcBorders>
          </w:tcPr>
          <w:p w14:paraId="34B97487" w14:textId="77777777" w:rsidR="00C50120" w:rsidRPr="00C50120" w:rsidRDefault="00C50120" w:rsidP="00C50120">
            <w:pPr>
              <w:jc w:val="center"/>
              <w:rPr>
                <w:rFonts w:ascii="Arial" w:hAnsi="Arial" w:cs="FrankRuehl"/>
                <w:b/>
                <w:bCs/>
                <w:sz w:val="34"/>
                <w:szCs w:val="34"/>
                <w:u w:val="single"/>
                <w:rtl/>
              </w:rPr>
            </w:pPr>
            <w:bookmarkStart w:id="4" w:name="PsakDin" w:colFirst="0" w:colLast="0"/>
            <w:bookmarkEnd w:id="0"/>
            <w:r w:rsidRPr="00C50120">
              <w:rPr>
                <w:rFonts w:ascii="Arial" w:hAnsi="Arial" w:cs="FrankRuehl"/>
                <w:b/>
                <w:bCs/>
                <w:sz w:val="34"/>
                <w:szCs w:val="34"/>
                <w:u w:val="single"/>
                <w:rtl/>
              </w:rPr>
              <w:t>גזר-דין</w:t>
            </w:r>
          </w:p>
          <w:p w14:paraId="49B835E2" w14:textId="77777777" w:rsidR="004873C1" w:rsidRPr="00C50120" w:rsidRDefault="004873C1" w:rsidP="00C50120">
            <w:pPr>
              <w:jc w:val="center"/>
              <w:rPr>
                <w:rFonts w:ascii="Arial" w:hAnsi="Arial" w:cs="FrankRuehl"/>
                <w:bCs/>
                <w:sz w:val="34"/>
                <w:szCs w:val="34"/>
                <w:u w:val="single"/>
                <w:rtl/>
              </w:rPr>
            </w:pPr>
          </w:p>
        </w:tc>
      </w:tr>
    </w:tbl>
    <w:bookmarkEnd w:id="4"/>
    <w:p w14:paraId="591584B1" w14:textId="77777777" w:rsidR="004873C1" w:rsidRDefault="00C50120">
      <w:pPr>
        <w:spacing w:line="360" w:lineRule="auto"/>
        <w:jc w:val="both"/>
        <w:rPr>
          <w:rFonts w:cs="FrankRuehl"/>
          <w:sz w:val="28"/>
          <w:szCs w:val="28"/>
          <w:u w:val="single"/>
          <w:rtl/>
        </w:rPr>
      </w:pPr>
      <w:r>
        <w:rPr>
          <w:rFonts w:cs="FrankRuehl" w:hint="cs"/>
          <w:sz w:val="28"/>
          <w:szCs w:val="28"/>
          <w:u w:val="single"/>
          <w:rtl/>
        </w:rPr>
        <w:t>רקע</w:t>
      </w:r>
    </w:p>
    <w:p w14:paraId="29905FE8" w14:textId="77777777" w:rsidR="004873C1" w:rsidRDefault="00C50120">
      <w:pPr>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t xml:space="preserve">ביום 19.12.2013 הורשע הנאשם, בהתאם להודאתו שניתנה במסגרת הסדר-טיעון, בשתי עבירות של סחר בסם מסוכן לפי </w:t>
      </w:r>
      <w:hyperlink r:id="rId15" w:history="1">
        <w:r w:rsidR="00A04462" w:rsidRPr="00A04462">
          <w:rPr>
            <w:rStyle w:val="Hyperlink"/>
            <w:rFonts w:cs="FrankRuehl" w:hint="eastAsia"/>
            <w:sz w:val="28"/>
            <w:szCs w:val="28"/>
            <w:rtl/>
          </w:rPr>
          <w:t>סעיפים</w:t>
        </w:r>
        <w:r w:rsidR="00A04462" w:rsidRPr="00A04462">
          <w:rPr>
            <w:rStyle w:val="Hyperlink"/>
            <w:rFonts w:cs="FrankRuehl"/>
            <w:sz w:val="28"/>
            <w:szCs w:val="28"/>
            <w:rtl/>
          </w:rPr>
          <w:t xml:space="preserve"> 13</w:t>
        </w:r>
      </w:hyperlink>
      <w:r>
        <w:rPr>
          <w:rFonts w:cs="FrankRuehl" w:hint="cs"/>
          <w:sz w:val="28"/>
          <w:szCs w:val="28"/>
          <w:rtl/>
        </w:rPr>
        <w:t xml:space="preserve"> ו- </w:t>
      </w:r>
      <w:hyperlink r:id="rId16" w:history="1">
        <w:r w:rsidR="00A04462" w:rsidRPr="00A04462">
          <w:rPr>
            <w:rStyle w:val="Hyperlink"/>
            <w:rFonts w:cs="FrankRuehl"/>
            <w:sz w:val="28"/>
            <w:szCs w:val="28"/>
            <w:rtl/>
          </w:rPr>
          <w:t>19א</w:t>
        </w:r>
      </w:hyperlink>
      <w:r>
        <w:rPr>
          <w:rFonts w:cs="FrankRuehl" w:hint="cs"/>
          <w:sz w:val="28"/>
          <w:szCs w:val="28"/>
          <w:rtl/>
        </w:rPr>
        <w:t xml:space="preserve"> ל</w:t>
      </w:r>
      <w:hyperlink r:id="rId17" w:history="1">
        <w:r w:rsidRPr="00C50120">
          <w:rPr>
            <w:rFonts w:cs="FrankRuehl"/>
            <w:color w:val="0000FF"/>
            <w:sz w:val="28"/>
            <w:szCs w:val="28"/>
            <w:u w:val="single"/>
            <w:rtl/>
          </w:rPr>
          <w:t>פקודת הסמים המסוכנים</w:t>
        </w:r>
      </w:hyperlink>
      <w:r>
        <w:rPr>
          <w:rFonts w:cs="FrankRuehl" w:hint="cs"/>
          <w:sz w:val="28"/>
          <w:szCs w:val="28"/>
          <w:rtl/>
        </w:rPr>
        <w:t xml:space="preserve"> [נוסח חדש], התשל"ג-1973 (להלן: </w:t>
      </w:r>
      <w:r>
        <w:rPr>
          <w:rFonts w:cs="Miriam" w:hint="cs"/>
          <w:rtl/>
        </w:rPr>
        <w:t>פקודת הסמים</w:t>
      </w:r>
      <w:r>
        <w:rPr>
          <w:rFonts w:cs="FrankRuehl" w:hint="cs"/>
          <w:sz w:val="28"/>
          <w:szCs w:val="28"/>
          <w:rtl/>
        </w:rPr>
        <w:t>).</w:t>
      </w:r>
    </w:p>
    <w:p w14:paraId="22BC0673" w14:textId="77777777" w:rsidR="004873C1" w:rsidRDefault="004873C1">
      <w:pPr>
        <w:rPr>
          <w:rFonts w:cs="Times New Roman"/>
          <w:rtl/>
        </w:rPr>
      </w:pPr>
    </w:p>
    <w:p w14:paraId="225021FA" w14:textId="77777777" w:rsidR="004873C1" w:rsidRDefault="00C50120">
      <w:pPr>
        <w:spacing w:after="120" w:line="360" w:lineRule="auto"/>
        <w:ind w:firstLine="720"/>
        <w:jc w:val="both"/>
        <w:rPr>
          <w:rFonts w:cs="FrankRuehl"/>
          <w:sz w:val="28"/>
          <w:szCs w:val="28"/>
          <w:rtl/>
        </w:rPr>
      </w:pPr>
      <w:bookmarkStart w:id="5" w:name="ABSTRACT_START"/>
      <w:bookmarkEnd w:id="5"/>
      <w:r>
        <w:rPr>
          <w:rFonts w:cs="FrankRuehl" w:hint="cs"/>
          <w:sz w:val="28"/>
          <w:szCs w:val="28"/>
          <w:rtl/>
        </w:rPr>
        <w:t xml:space="preserve">כתב-האישום המתוקן שבעובדותיו הודה הנאשם מחזיק שני אישומים (זאת, לאחר שהאישום הראשון נמחק במסגרת הסדר-הטיעון בין הצדדים). </w:t>
      </w:r>
      <w:r>
        <w:rPr>
          <w:rFonts w:cs="Miriam" w:hint="cs"/>
          <w:rtl/>
        </w:rPr>
        <w:t>בהתאם לעובדות האישום השני</w:t>
      </w:r>
      <w:r>
        <w:rPr>
          <w:rFonts w:cs="FrankRuehl" w:hint="cs"/>
          <w:sz w:val="28"/>
          <w:szCs w:val="28"/>
          <w:rtl/>
        </w:rPr>
        <w:t xml:space="preserve">, ביום 9.9.2012, בסמוך לשעה 13:11, ליד מאפיית התנור בשכונת ואדי ג'וז בירושלים, מכר הנאשם לשוטר סמוי (להלן: </w:t>
      </w:r>
      <w:r>
        <w:rPr>
          <w:rFonts w:cs="Miriam" w:hint="cs"/>
          <w:rtl/>
        </w:rPr>
        <w:t>השוטר</w:t>
      </w:r>
      <w:r>
        <w:rPr>
          <w:rFonts w:cs="FrankRuehl" w:hint="cs"/>
          <w:sz w:val="28"/>
          <w:szCs w:val="28"/>
          <w:rtl/>
        </w:rPr>
        <w:t xml:space="preserve">) סם מסוג חשיש במשקל של </w:t>
      </w:r>
      <w:smartTag w:uri="urn:schemas-microsoft-com:office:smarttags" w:element="metricconverter">
        <w:smartTagPr>
          <w:attr w:name="ProductID" w:val="45.69 גרם"/>
        </w:smartTagPr>
        <w:r>
          <w:rPr>
            <w:rFonts w:cs="FrankRuehl" w:hint="cs"/>
            <w:sz w:val="28"/>
            <w:szCs w:val="28"/>
            <w:rtl/>
          </w:rPr>
          <w:t>45.69 גרם</w:t>
        </w:r>
      </w:smartTag>
      <w:r>
        <w:rPr>
          <w:rFonts w:cs="FrankRuehl" w:hint="cs"/>
          <w:sz w:val="28"/>
          <w:szCs w:val="28"/>
          <w:rtl/>
        </w:rPr>
        <w:t xml:space="preserve"> נטו תמורת 1,150 ₪. יום לפני המועד הנ"ל, התקשר השוטר אל הנאשם ושאל אותו האם "יש מצב לחצי סולייה למחר?". הנאשם אמר שלא צריכה להיות בעיה ושהוא יצור עמו קשר תוך רבע שעה ויחזיר לו תשובה. כעבור כעשר דקות התקשר הנאשם אל השוטר ואמר לו "הכל סגור בשבילך למחר, חצי סולייה ב- 1,200 וסולייה שלמה ב- 2,400". השוטר השיב לנאשם שצריך רק "חצי" והנאשם אמר </w:t>
      </w:r>
      <w:r>
        <w:rPr>
          <w:rFonts w:cs="FrankRuehl" w:hint="cs"/>
          <w:sz w:val="28"/>
          <w:szCs w:val="28"/>
          <w:rtl/>
        </w:rPr>
        <w:lastRenderedPageBreak/>
        <w:t xml:space="preserve">לו "סגוּר" וביקש ממנו לדבר עמו למחרת. ביום שלמחרת, 9.9.2012, בסמוך לשעה 12:10, שוחחו הנאשם והשוטר בטלפון וקבעו להיפגש בואדי ג'וז. בסמוך לשעה 13:10, נהג השוטר ברכבו ובהגיעו ליד מאפיית התנור בשכונת ואדי ג'וז עצר את הרכב. בשלב זה, פתח הנאשם את דלת הנוסע הקדמי, רכן לעבר השוטר, לחץ את ידו והתחבק עמו, והכל בשעה שהוא אוחז בחצי סוליית החשיש. כאשר נכנס הנאשם לרכב והתיישב בתוכו, הוא הכניס את חצי סוליית החשיש לכיסו. השוטר שאל את הנאשם איך הוא הולך ברחוב כשהחשיש בידו, והנאשם ענה לו שאין בעיה והכל בסדר. השוטר הוציא מהכיס את הכסף ולאחר שספר אותו מסרו לידי הנאשם, וזה האחרון לקח את הכסף, החזיר לשוטר 50 ₪ ואמר לו ש"הבנאדם" הוריד במחיר. לאחר מכן, הנאשם הוציא את חצי סוליית החשיש מכיסו, מסר את הסם לידי השוטר ואמר לו להגיד ל"בנאדם" ש"יטעם". בהמשך הנאשם אמר לשוטר שידבר עמו ואז ירד מהרכב ועזב את המקום ברכב מסוג "פיז'ו" (להלן: </w:t>
      </w:r>
      <w:r>
        <w:rPr>
          <w:rFonts w:cs="Miriam" w:hint="cs"/>
          <w:rtl/>
        </w:rPr>
        <w:t>הפיז'ו</w:t>
      </w:r>
      <w:r>
        <w:rPr>
          <w:rFonts w:cs="FrankRuehl" w:hint="cs"/>
          <w:sz w:val="28"/>
          <w:szCs w:val="28"/>
          <w:rtl/>
        </w:rPr>
        <w:t xml:space="preserve">). בכל אלה הודה הנאשם ובגין כך הורשע בעבירה של סחר בסמים. </w:t>
      </w:r>
    </w:p>
    <w:p w14:paraId="77343022" w14:textId="77777777" w:rsidR="004873C1" w:rsidRDefault="00C50120">
      <w:pPr>
        <w:spacing w:after="120" w:line="360" w:lineRule="auto"/>
        <w:jc w:val="both"/>
        <w:rPr>
          <w:rFonts w:cs="FrankRuehl"/>
          <w:sz w:val="28"/>
          <w:szCs w:val="28"/>
          <w:rtl/>
        </w:rPr>
      </w:pPr>
      <w:bookmarkStart w:id="6" w:name="ABSTRACT_END"/>
      <w:bookmarkEnd w:id="6"/>
      <w:r>
        <w:rPr>
          <w:rFonts w:cs="FrankRuehl" w:hint="cs"/>
          <w:sz w:val="28"/>
          <w:szCs w:val="28"/>
          <w:rtl/>
        </w:rPr>
        <w:tab/>
      </w:r>
    </w:p>
    <w:p w14:paraId="28279106" w14:textId="77777777" w:rsidR="004873C1" w:rsidRDefault="00C50120">
      <w:pPr>
        <w:spacing w:after="120" w:line="360" w:lineRule="auto"/>
        <w:jc w:val="both"/>
        <w:rPr>
          <w:rFonts w:cs="FrankRuehl"/>
          <w:sz w:val="28"/>
          <w:szCs w:val="28"/>
          <w:rtl/>
        </w:rPr>
      </w:pPr>
      <w:r>
        <w:rPr>
          <w:rFonts w:cs="FrankRuehl" w:hint="cs"/>
          <w:sz w:val="28"/>
          <w:szCs w:val="28"/>
          <w:rtl/>
        </w:rPr>
        <w:tab/>
      </w:r>
      <w:r>
        <w:rPr>
          <w:rFonts w:cs="Miriam" w:hint="cs"/>
          <w:rtl/>
        </w:rPr>
        <w:t>בהתאם לעובדות האישום השלישי</w:t>
      </w:r>
      <w:r>
        <w:rPr>
          <w:rFonts w:cs="FrankRuehl" w:hint="cs"/>
          <w:sz w:val="28"/>
          <w:szCs w:val="28"/>
          <w:rtl/>
        </w:rPr>
        <w:t xml:space="preserve">, ביום 13.9.2012, בסמוך לשעה 20:06, ליד מאפיית התנור בשכונת ואדי ג'וז בירושלים, מכר הנאשם לשוטר סם מסוג חשיש במשקל של </w:t>
      </w:r>
      <w:smartTag w:uri="urn:schemas-microsoft-com:office:smarttags" w:element="metricconverter">
        <w:smartTagPr>
          <w:attr w:name="ProductID" w:val="95.35 גרם"/>
        </w:smartTagPr>
        <w:r>
          <w:rPr>
            <w:rFonts w:cs="FrankRuehl" w:hint="cs"/>
            <w:sz w:val="28"/>
            <w:szCs w:val="28"/>
            <w:rtl/>
          </w:rPr>
          <w:t>95.35 גרם</w:t>
        </w:r>
      </w:smartTag>
      <w:r>
        <w:rPr>
          <w:rFonts w:cs="FrankRuehl" w:hint="cs"/>
          <w:sz w:val="28"/>
          <w:szCs w:val="28"/>
          <w:rtl/>
        </w:rPr>
        <w:t xml:space="preserve"> נטו תמורת סכום כסף בסך 2,500 ₪. יום לפני המועד הנ"ל, התקשר השוטר אל הנאשם ושאל אותו האם יש לו סולית חשיש בשבילו למחר. הנאשם השיב שאין בעיה ושידבר איתו מחר בבוקר. למחרת, בעקבות תיאום טלפוני בין השוטר לבין הנאשם, הגיע השוטר ברכבו למאפיית התנור והבחין בנאשם כאשר הוא עומד מחוץ לרכב מסוג </w:t>
      </w:r>
      <w:r>
        <w:rPr>
          <w:rFonts w:cs="FrankRuehl"/>
        </w:rPr>
        <w:t>BMW</w:t>
      </w:r>
      <w:r>
        <w:rPr>
          <w:rFonts w:cs="FrankRuehl" w:hint="cs"/>
          <w:sz w:val="28"/>
          <w:szCs w:val="28"/>
          <w:rtl/>
        </w:rPr>
        <w:t xml:space="preserve">, כשבתוכו ארבעה אנשים. הנאשם סימן לשוטר לחנות את רכבו בצד ולבוא אליהם. השוטר החנה את הרכב, ירד ממנו, ניגש אל הנאשם והאחרים, ולחץ את ידיהם. לאחר מכן, השוטר חזר אל רכבו והנאשם הורה לו להסתובב עם הרכב ולהגיע ליד רכב מסוג פיז'ו. הנאשם שישב בתוך הפיז'ו, הוציא מהצילון שמעל מושב הנהג שקית שחורה המכילה סוליית חשיש, וחזר אל רכבו של השוטר. כאשר הגיע הנאשם לחלון הנוסע הקדמי של הרכב כשסוליית החשיש צמודה לגופו, הוציא השוטר את הכסף, ספר אותו ומסר אותו לידי הנאשם. זה האחרון מסר לידי השוטר את השקית עם סוליית החשיש. לאחר מכן, אמר הנאשם לשוטר כי אחד מהאחרים שהיו במקום יוכל לסדר להם מה שהם צריכים. לאחר מכן, השניים נפרדו והשוטר עזב את המקום ברכבו. בכל אלה הודה הנאשם ובגין כך הורשע בעבירה נוספת של סחר בסמים. </w:t>
      </w:r>
    </w:p>
    <w:p w14:paraId="10F352A6" w14:textId="77777777" w:rsidR="004873C1" w:rsidRDefault="00C50120">
      <w:pPr>
        <w:spacing w:after="120" w:line="360" w:lineRule="auto"/>
        <w:jc w:val="both"/>
        <w:rPr>
          <w:rtl/>
        </w:rPr>
      </w:pPr>
      <w:r>
        <w:rPr>
          <w:rFonts w:cs="FrankRuehl" w:hint="cs"/>
          <w:sz w:val="28"/>
          <w:szCs w:val="28"/>
          <w:rtl/>
        </w:rPr>
        <w:tab/>
      </w:r>
    </w:p>
    <w:p w14:paraId="61B65802" w14:textId="77777777" w:rsidR="004873C1" w:rsidRDefault="00C50120">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 xml:space="preserve">הסדר-הטיעון בין הצדדים לא כלל הסכמה עונשית. עם זאת, הוסכם כי הנאשם יופנה לשירות מבחן לצורך עריכת תסקיר בעניינו טרם שמיעת טיעוני הצדדים לעונש. </w:t>
      </w:r>
    </w:p>
    <w:p w14:paraId="2B5B3D4A" w14:textId="77777777" w:rsidR="004873C1" w:rsidRDefault="004873C1">
      <w:pPr>
        <w:spacing w:after="120" w:line="360" w:lineRule="auto"/>
        <w:jc w:val="both"/>
        <w:rPr>
          <w:rFonts w:cs="FrankRuehl"/>
          <w:sz w:val="28"/>
          <w:szCs w:val="28"/>
          <w:rtl/>
        </w:rPr>
      </w:pPr>
    </w:p>
    <w:p w14:paraId="664AFD52" w14:textId="77777777" w:rsidR="004873C1" w:rsidRDefault="00C50120">
      <w:pPr>
        <w:spacing w:after="120" w:line="360" w:lineRule="auto"/>
        <w:ind w:firstLine="720"/>
        <w:jc w:val="both"/>
        <w:rPr>
          <w:rtl/>
        </w:rPr>
      </w:pPr>
      <w:r>
        <w:rPr>
          <w:rFonts w:cs="FrankRuehl" w:hint="cs"/>
          <w:sz w:val="28"/>
          <w:szCs w:val="28"/>
          <w:rtl/>
        </w:rPr>
        <w:t xml:space="preserve">יוער כי הדיונים נדחו מספר פעמים לצורך קבלת תסקיר שירות מבחן (מהודעות שירות המבחן מיום 25.1.2015 ומיום 10.3.2015 עולה לכאורה כי מסיבה שאינה ברורה לי, שירות המבחן לא קיבל את החלטותיי בתיק, ואף ההגנה לא עמדה בקשר עם שירות המבחן). לבסוף, הוגש תסקיר לעיוני ביום 8.3.2015. </w:t>
      </w:r>
    </w:p>
    <w:p w14:paraId="65E530E4" w14:textId="77777777" w:rsidR="004873C1" w:rsidRDefault="004873C1">
      <w:pPr>
        <w:spacing w:after="120" w:line="360" w:lineRule="auto"/>
        <w:jc w:val="both"/>
        <w:rPr>
          <w:rFonts w:cs="FrankRuehl"/>
          <w:sz w:val="28"/>
          <w:szCs w:val="28"/>
          <w:u w:val="single"/>
          <w:rtl/>
        </w:rPr>
      </w:pPr>
    </w:p>
    <w:p w14:paraId="24918F92" w14:textId="77777777" w:rsidR="004873C1" w:rsidRDefault="00C50120">
      <w:pPr>
        <w:spacing w:after="120" w:line="360" w:lineRule="auto"/>
        <w:jc w:val="both"/>
        <w:rPr>
          <w:rFonts w:cs="FrankRuehl"/>
          <w:sz w:val="28"/>
          <w:szCs w:val="28"/>
          <w:u w:val="single"/>
          <w:rtl/>
        </w:rPr>
      </w:pPr>
      <w:r>
        <w:rPr>
          <w:rFonts w:cs="FrankRuehl" w:hint="cs"/>
          <w:sz w:val="28"/>
          <w:szCs w:val="28"/>
          <w:u w:val="single"/>
          <w:rtl/>
        </w:rPr>
        <w:t xml:space="preserve">תסקיר שירות המבחן </w:t>
      </w:r>
    </w:p>
    <w:p w14:paraId="7F3D875D" w14:textId="77777777" w:rsidR="004873C1" w:rsidRDefault="00C50120">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מתסקיר שירות המבחן ניתן ללמוד כי הנאשם כבן 31, נעדר עבר פלילי, נשוי ואב ל- 3 ילדים, מתגורר עם בני משפחתו בבית הוריו בשכירות בשכונת שועפט בירושלים. הנאשם סיים 11 שנות לימוד, ואז עזב את בית-הספר על-מנת לעבוד ולסייע בפרנסת המשפחה. הנאשם עבד במשך 5 שנים בתחנת דלק (עד למעורבותו בעבירות נשוּא התיק הנוכחי), ובמקביל למד לימודי תעודה בטכנאות שירות. הנאשם היה עצור מאחורי סורג ובריח בגין תיק זה במשך למעלה מ- 30 ימים, ולאחר מכן שהה בתנאי מעצר בית מלא כשישה חודשים. בהמשך, הוקלו תנאי מעצר הבית והתאפשר לו לצאת מהבית בשעות היום ולעבוד. לאחרונה, החל הנאשם לעבוד באינסטלציה. הנאשם ציין בפני שירות המבחן כי הוא מתקשה בהתאקלמות התעסוקתית נוכח תנאי מעצר הבית, כאשר לדבריו במשך השנה האחרונה נתקל בבעיות עם מעסיקיו ונאלץ להחליף מקומות עבודה. </w:t>
      </w:r>
    </w:p>
    <w:p w14:paraId="767EE4E1" w14:textId="77777777" w:rsidR="004873C1" w:rsidRDefault="004873C1">
      <w:pPr>
        <w:spacing w:after="120" w:line="360" w:lineRule="auto"/>
        <w:jc w:val="both"/>
        <w:rPr>
          <w:rFonts w:cs="FrankRuehl"/>
          <w:sz w:val="28"/>
          <w:szCs w:val="28"/>
          <w:rtl/>
        </w:rPr>
      </w:pPr>
    </w:p>
    <w:p w14:paraId="7D1F93BB" w14:textId="77777777" w:rsidR="004873C1" w:rsidRDefault="00C50120">
      <w:pPr>
        <w:spacing w:after="120" w:line="360" w:lineRule="auto"/>
        <w:jc w:val="both"/>
        <w:rPr>
          <w:rFonts w:cs="FrankRuehl"/>
          <w:sz w:val="28"/>
          <w:szCs w:val="28"/>
          <w:rtl/>
        </w:rPr>
      </w:pPr>
      <w:r>
        <w:rPr>
          <w:rFonts w:cs="FrankRuehl" w:hint="cs"/>
          <w:sz w:val="28"/>
          <w:szCs w:val="28"/>
          <w:rtl/>
        </w:rPr>
        <w:tab/>
        <w:t xml:space="preserve">אשר לעבירות נשוא ההליך שבכותרת - הנאשם נטל אחריות מלאה למעשיו והביע חרטה בגינם. בתארוֹ את נסיבות האירוע, מסר הנאשם כי הכיר את השוטר הסמוי כאשר עבד בתחנת דלק. השוטר הסמוי תדלק אצלו מספר פעמים, ובהמשך השנים התיידדו. לדברי הנאשם, השוטר ביקש ממנו עזרה ברכישת סמים לאמו החולה לצורך טיפול בה, ועל כן פעל לדבריו בתום-לב. לטענת הנאשם, בהמשך השוטר ביקש ממנו עזרה ברכישת נשק ולדבריו מאז פחד וניתק כל קשר עם השוטר. עוד מסר הנאשם כי לא קיבל כל רווח תמורת העסקאות. </w:t>
      </w:r>
    </w:p>
    <w:p w14:paraId="3F7360D9" w14:textId="77777777" w:rsidR="004873C1" w:rsidRDefault="004873C1">
      <w:pPr>
        <w:spacing w:after="120" w:line="360" w:lineRule="auto"/>
        <w:jc w:val="both"/>
        <w:rPr>
          <w:rFonts w:cs="FrankRuehl"/>
          <w:sz w:val="28"/>
          <w:szCs w:val="28"/>
          <w:rtl/>
        </w:rPr>
      </w:pPr>
    </w:p>
    <w:p w14:paraId="48573EAC" w14:textId="77777777" w:rsidR="004873C1" w:rsidRDefault="00C50120">
      <w:pPr>
        <w:spacing w:after="120" w:line="360" w:lineRule="auto"/>
        <w:jc w:val="both"/>
        <w:rPr>
          <w:rFonts w:cs="FrankRuehl"/>
          <w:sz w:val="28"/>
          <w:szCs w:val="28"/>
          <w:rtl/>
        </w:rPr>
      </w:pPr>
      <w:r>
        <w:rPr>
          <w:rFonts w:cs="FrankRuehl" w:hint="cs"/>
          <w:sz w:val="28"/>
          <w:szCs w:val="28"/>
          <w:rtl/>
        </w:rPr>
        <w:tab/>
        <w:t xml:space="preserve">שירות המבחן התרשם כי לאורך שנות ילדותו ונעוריו, זכה הנאשם ליחס מיוחד מצד בני משפחתו על רקע היותו בן זכר יחיד במשפחה, והוריו התקשו להציב לו גבולות ברורים. בנעוריו אף חבר לחברה שולית באזור מגוריו ונהג להשתמש בחומרים משני תודעה. כמו-כן, התרשם שירות המבחן מנטייה לפעול באימפולסיביות ללא מחשבה ושקילת חומרת תוצאות מעשיו, תוך נטייה להיגררות אחר הסובבים אותו מבלי להבחין בין צרכיהם לצרכיו. בנוסף, התרשם שירות המבחן כי הנאשם ממוקד בהצגת פסאדה חיובית, תוך קושי בבחינת חלקים בעייתיים בהתנהלותו. כל אלה מהווים גורמי </w:t>
      </w:r>
      <w:r>
        <w:rPr>
          <w:rFonts w:cs="FrankRuehl" w:hint="cs"/>
          <w:b/>
          <w:bCs/>
          <w:sz w:val="28"/>
          <w:szCs w:val="28"/>
          <w:rtl/>
        </w:rPr>
        <w:t>סיכון</w:t>
      </w:r>
      <w:r>
        <w:rPr>
          <w:rFonts w:cs="FrankRuehl" w:hint="cs"/>
          <w:sz w:val="28"/>
          <w:szCs w:val="28"/>
          <w:rtl/>
        </w:rPr>
        <w:t xml:space="preserve"> להישנות מעורבות בפלילים. יחד עם זאת, שירות המבחן התרשם כי מדובר באדם צעיר, בעל יכולת לאמפטיה ולתקשורת בינאישית. ההערכה היא כי הנאשם גדל במשפחה בעלת תפקוד נורמטיבי וערכים שומרי חוק, והוא עצמו גילה יציבות תעסוקתית במשך השנים וכן תפקוד נורמטיבי כבן, כבעל וכאב בנוסף להיותו מפרנס עיקרי של בני המשפחה. כמו כן, הנאשם נעדר עבר פלילי, לקח אחריות לביצוע העבירה הביע חרטה, ומסר בדיקות שתן נקיות בשירות המבחן. כל אלה מהווים גורמי </w:t>
      </w:r>
      <w:r>
        <w:rPr>
          <w:rFonts w:cs="FrankRuehl" w:hint="cs"/>
          <w:b/>
          <w:bCs/>
          <w:sz w:val="28"/>
          <w:szCs w:val="28"/>
          <w:rtl/>
        </w:rPr>
        <w:t>סיכוי</w:t>
      </w:r>
      <w:r>
        <w:rPr>
          <w:rFonts w:cs="FrankRuehl" w:hint="cs"/>
          <w:sz w:val="28"/>
          <w:szCs w:val="28"/>
          <w:rtl/>
        </w:rPr>
        <w:t xml:space="preserve"> לשיקום. </w:t>
      </w:r>
    </w:p>
    <w:p w14:paraId="560C1E28" w14:textId="77777777" w:rsidR="004873C1" w:rsidRDefault="004873C1">
      <w:pPr>
        <w:spacing w:after="120" w:line="360" w:lineRule="auto"/>
        <w:jc w:val="both"/>
        <w:rPr>
          <w:rFonts w:cs="FrankRuehl"/>
          <w:sz w:val="28"/>
          <w:szCs w:val="28"/>
          <w:rtl/>
        </w:rPr>
      </w:pPr>
    </w:p>
    <w:p w14:paraId="29EDBDEC" w14:textId="77777777" w:rsidR="004873C1" w:rsidRDefault="00C50120">
      <w:pPr>
        <w:spacing w:after="120" w:line="360" w:lineRule="auto"/>
        <w:jc w:val="both"/>
        <w:rPr>
          <w:rFonts w:cs="FrankRuehl"/>
          <w:sz w:val="28"/>
          <w:szCs w:val="28"/>
          <w:rtl/>
        </w:rPr>
      </w:pPr>
      <w:r>
        <w:rPr>
          <w:rFonts w:cs="FrankRuehl" w:hint="cs"/>
          <w:sz w:val="28"/>
          <w:szCs w:val="28"/>
          <w:rtl/>
        </w:rPr>
        <w:tab/>
        <w:t>במישור ההמלצה - שירות המבחן ציין כי התלבט באשר לעונש המתאים: מחד גיסא, ניצבת חומרת העבירות. מאידך גיסא, ניצבים השיקולים לקולא כמפורט בתסקיר. בהתחשב במכלול השיקולים, המליץ שירות המבחן להטיל על הנאשם עונש מאסר בפועל לריצוי בדרך של עבודות שירות לתקופה מקסימאלית, וכן מאסר מותנה וקנס. נוכח העדר נזקקות טיפולית שהביע הנאשם לפני שירות המבחן, לא בא שירות המבחן בהמלצה לצו מבחן בעניינוֹ.</w:t>
      </w:r>
    </w:p>
    <w:p w14:paraId="209BD4F6" w14:textId="77777777" w:rsidR="004873C1" w:rsidRDefault="004873C1">
      <w:pPr>
        <w:spacing w:after="120" w:line="360" w:lineRule="auto"/>
        <w:jc w:val="both"/>
        <w:rPr>
          <w:rFonts w:cs="FrankRuehl"/>
          <w:sz w:val="28"/>
          <w:szCs w:val="28"/>
          <w:u w:val="single"/>
          <w:rtl/>
        </w:rPr>
      </w:pPr>
    </w:p>
    <w:p w14:paraId="1545AD1F" w14:textId="77777777" w:rsidR="004873C1" w:rsidRDefault="00C50120">
      <w:pPr>
        <w:spacing w:after="120" w:line="360" w:lineRule="auto"/>
        <w:jc w:val="both"/>
        <w:rPr>
          <w:rtl/>
        </w:rPr>
      </w:pPr>
      <w:r>
        <w:rPr>
          <w:rFonts w:cs="FrankRuehl" w:hint="cs"/>
          <w:sz w:val="28"/>
          <w:szCs w:val="28"/>
          <w:u w:val="single"/>
          <w:rtl/>
        </w:rPr>
        <w:t xml:space="preserve">טיעוני הצדדים לעונש </w:t>
      </w:r>
    </w:p>
    <w:p w14:paraId="2D0F4A3E" w14:textId="77777777" w:rsidR="004873C1" w:rsidRDefault="00C50120">
      <w:pPr>
        <w:spacing w:after="120" w:line="360" w:lineRule="auto"/>
        <w:jc w:val="both"/>
        <w:rPr>
          <w:rFonts w:cs="FrankRuehl"/>
          <w:sz w:val="28"/>
          <w:szCs w:val="28"/>
          <w:rtl/>
        </w:rPr>
      </w:pPr>
      <w:r>
        <w:rPr>
          <w:rFonts w:hint="cs"/>
          <w:rtl/>
        </w:rPr>
        <w:t>4.</w:t>
      </w:r>
      <w:r>
        <w:rPr>
          <w:rFonts w:cs="FrankRuehl" w:hint="cs"/>
          <w:sz w:val="28"/>
          <w:szCs w:val="28"/>
          <w:rtl/>
        </w:rPr>
        <w:tab/>
        <w:t xml:space="preserve">באת-כוח המאשימה, עו"ד תמר טופז, טענה כי מתחם העונש ההולם בגין </w:t>
      </w:r>
      <w:r>
        <w:rPr>
          <w:rFonts w:cs="FrankRuehl" w:hint="cs"/>
          <w:sz w:val="28"/>
          <w:szCs w:val="28"/>
          <w:u w:val="single"/>
          <w:rtl/>
        </w:rPr>
        <w:t>האישום הראשון</w:t>
      </w:r>
      <w:r>
        <w:rPr>
          <w:rFonts w:cs="FrankRuehl" w:hint="cs"/>
          <w:sz w:val="28"/>
          <w:szCs w:val="28"/>
          <w:rtl/>
        </w:rPr>
        <w:t xml:space="preserve"> נע מ- 6 עד 12 חודשי מאסר בפועל, ובגין </w:t>
      </w:r>
      <w:r>
        <w:rPr>
          <w:rFonts w:cs="FrankRuehl" w:hint="cs"/>
          <w:sz w:val="28"/>
          <w:szCs w:val="28"/>
          <w:u w:val="single"/>
          <w:rtl/>
        </w:rPr>
        <w:t>האישום השני</w:t>
      </w:r>
      <w:r>
        <w:rPr>
          <w:rFonts w:cs="FrankRuehl" w:hint="cs"/>
          <w:sz w:val="28"/>
          <w:szCs w:val="28"/>
          <w:rtl/>
        </w:rPr>
        <w:t xml:space="preserve"> נע מ- 12 ל- 24 חודשי מאסר בפועל. בנסיבות העניין, עתרה באת-כוח המאשימה להטיל על הנאשם עונש כולל של 21 חודשי מאסר בפועל (בניכוי ימי מעצר) וכן מאסר על-תנאי, עונשי פסילה וקנס כספי. כמו כן, עתרה המאשימה לפיצוי לטובת ימ"ר ירושלים בשווי העסקאות. </w:t>
      </w:r>
    </w:p>
    <w:p w14:paraId="3E9FE70B" w14:textId="77777777" w:rsidR="004873C1" w:rsidRDefault="004873C1">
      <w:pPr>
        <w:spacing w:after="120" w:line="360" w:lineRule="auto"/>
        <w:jc w:val="both"/>
        <w:rPr>
          <w:rFonts w:cs="FrankRuehl"/>
          <w:sz w:val="28"/>
          <w:szCs w:val="28"/>
          <w:rtl/>
        </w:rPr>
      </w:pPr>
    </w:p>
    <w:p w14:paraId="176F6585" w14:textId="77777777" w:rsidR="004873C1" w:rsidRDefault="00C50120">
      <w:pPr>
        <w:spacing w:after="120" w:line="360" w:lineRule="auto"/>
        <w:jc w:val="both"/>
        <w:rPr>
          <w:rFonts w:cs="FrankRuehl"/>
          <w:b/>
          <w:bCs/>
          <w:sz w:val="28"/>
          <w:szCs w:val="28"/>
          <w:u w:val="single"/>
          <w:rtl/>
        </w:rPr>
      </w:pPr>
      <w:r>
        <w:rPr>
          <w:rFonts w:cs="FrankRuehl" w:hint="cs"/>
          <w:sz w:val="28"/>
          <w:szCs w:val="28"/>
          <w:rtl/>
        </w:rPr>
        <w:t>5.</w:t>
      </w:r>
      <w:r>
        <w:rPr>
          <w:rFonts w:cs="FrankRuehl" w:hint="cs"/>
          <w:sz w:val="28"/>
          <w:szCs w:val="28"/>
          <w:rtl/>
        </w:rPr>
        <w:tab/>
        <w:t xml:space="preserve">מנגד, בא-כוח הנאשם, עו"ד לידאוי, טען כי מתחם הענישה ההולמת בגין </w:t>
      </w:r>
      <w:r>
        <w:rPr>
          <w:rFonts w:cs="FrankRuehl" w:hint="cs"/>
          <w:sz w:val="28"/>
          <w:szCs w:val="28"/>
          <w:u w:val="single"/>
          <w:rtl/>
        </w:rPr>
        <w:t>שני</w:t>
      </w:r>
      <w:r>
        <w:rPr>
          <w:rFonts w:cs="FrankRuehl" w:hint="cs"/>
          <w:sz w:val="28"/>
          <w:szCs w:val="28"/>
          <w:rtl/>
        </w:rPr>
        <w:t xml:space="preserve"> האישומים ביחד נע מ- 5 חודשי עבודות שירות עד 12 חודשי מאסר בפועל. הסנגור עמד על מכלול הנסיבות לקולא בעניינו של הנאשם ועתר לאמץ את המלצות שירות המבחן ולהסתפק בהטלת ששה חודשי מאסר בפועל לריצוי בדרך של עבודות שירות.</w:t>
      </w:r>
    </w:p>
    <w:p w14:paraId="27964E99" w14:textId="77777777" w:rsidR="004873C1" w:rsidRDefault="00C50120">
      <w:pPr>
        <w:spacing w:after="120" w:line="360" w:lineRule="auto"/>
        <w:jc w:val="both"/>
        <w:rPr>
          <w:rFonts w:cs="FrankRuehl"/>
          <w:sz w:val="28"/>
          <w:szCs w:val="28"/>
          <w:rtl/>
        </w:rPr>
      </w:pPr>
      <w:r>
        <w:rPr>
          <w:rFonts w:cs="FrankRuehl" w:hint="cs"/>
          <w:sz w:val="28"/>
          <w:szCs w:val="28"/>
          <w:rtl/>
        </w:rPr>
        <w:tab/>
      </w:r>
    </w:p>
    <w:p w14:paraId="4C520EA9" w14:textId="77777777" w:rsidR="004873C1" w:rsidRDefault="00C50120">
      <w:pPr>
        <w:spacing w:after="120" w:line="360" w:lineRule="auto"/>
        <w:ind w:firstLine="720"/>
        <w:jc w:val="both"/>
        <w:rPr>
          <w:rFonts w:cs="FrankRuehl"/>
          <w:sz w:val="28"/>
          <w:szCs w:val="28"/>
          <w:rtl/>
        </w:rPr>
      </w:pPr>
      <w:r>
        <w:rPr>
          <w:rFonts w:cs="FrankRuehl" w:hint="cs"/>
          <w:sz w:val="28"/>
          <w:szCs w:val="28"/>
          <w:rtl/>
        </w:rPr>
        <w:t>הנאשם בדבריו לפניי הביע חרטה על מעשיו וטען כי הוא סובל מפריצת דיסק בגבו.</w:t>
      </w:r>
    </w:p>
    <w:p w14:paraId="03094363" w14:textId="77777777" w:rsidR="004873C1" w:rsidRDefault="00C50120">
      <w:pPr>
        <w:spacing w:after="120" w:line="360" w:lineRule="auto"/>
        <w:jc w:val="both"/>
        <w:rPr>
          <w:rFonts w:cs="FrankRuehl"/>
          <w:sz w:val="28"/>
          <w:szCs w:val="28"/>
          <w:rtl/>
        </w:rPr>
      </w:pPr>
      <w:r>
        <w:rPr>
          <w:rFonts w:cs="FrankRuehl" w:hint="cs"/>
          <w:sz w:val="28"/>
          <w:szCs w:val="28"/>
          <w:rtl/>
        </w:rPr>
        <w:tab/>
      </w:r>
    </w:p>
    <w:p w14:paraId="156AE637" w14:textId="77777777" w:rsidR="004873C1" w:rsidRDefault="00C50120">
      <w:pPr>
        <w:spacing w:after="120" w:line="360" w:lineRule="auto"/>
        <w:jc w:val="both"/>
        <w:rPr>
          <w:rtl/>
        </w:rPr>
      </w:pPr>
      <w:r>
        <w:rPr>
          <w:rFonts w:cs="FrankRuehl" w:hint="cs"/>
          <w:sz w:val="28"/>
          <w:szCs w:val="28"/>
          <w:u w:val="single"/>
          <w:rtl/>
        </w:rPr>
        <w:t>ריבוי עבירות - האם יש לקבוע מתחם אחד לשני האישומים או שמא יש לקבוע מתחם נפרד לכל אישום?</w:t>
      </w:r>
    </w:p>
    <w:p w14:paraId="410E76C4" w14:textId="77777777" w:rsidR="004873C1" w:rsidRDefault="00C50120">
      <w:pPr>
        <w:spacing w:after="120" w:line="360" w:lineRule="auto"/>
        <w:jc w:val="both"/>
        <w:rPr>
          <w:rFonts w:ascii="Calibri" w:hAnsi="Calibri" w:cs="FrankRuehl"/>
          <w:sz w:val="28"/>
          <w:szCs w:val="28"/>
          <w:rtl/>
        </w:rPr>
      </w:pPr>
      <w:r>
        <w:rPr>
          <w:rFonts w:cs="FrankRuehl" w:hint="cs"/>
          <w:sz w:val="28"/>
          <w:szCs w:val="28"/>
          <w:rtl/>
        </w:rPr>
        <w:t>6.</w:t>
      </w:r>
      <w:r>
        <w:rPr>
          <w:rFonts w:cs="FrankRuehl" w:hint="cs"/>
          <w:sz w:val="28"/>
          <w:szCs w:val="28"/>
          <w:rtl/>
        </w:rPr>
        <w:tab/>
      </w:r>
      <w:r>
        <w:rPr>
          <w:rFonts w:ascii="Calibri" w:hAnsi="Calibri" w:cs="FrankRuehl" w:hint="cs"/>
          <w:sz w:val="28"/>
          <w:szCs w:val="28"/>
          <w:rtl/>
        </w:rPr>
        <w:t xml:space="preserve">מאחר שבנסיבות המקרה דנן, הורשע הנאשם בביצוע שתי עבירות של סחר בסמים במסגרת שני אישומים, השאלה המתעוררת בפתח הדיון הִנה האם שני האישומים מהווים יחדיו אירוע כולל אחד לצורך קביעת מתחם ענישה הולמת, או שמא מדובר בשני אירועים אשר יש לקבוע בנוגע לכל אחד מהם מתחם נפרד (ראו: </w:t>
      </w:r>
      <w:hyperlink r:id="rId18" w:history="1">
        <w:r w:rsidR="00A04462" w:rsidRPr="00A04462">
          <w:rPr>
            <w:rStyle w:val="Hyperlink"/>
            <w:rFonts w:ascii="Calibri" w:hAnsi="Calibri" w:cs="FrankRuehl" w:hint="eastAsia"/>
            <w:sz w:val="28"/>
            <w:szCs w:val="28"/>
            <w:rtl/>
          </w:rPr>
          <w:t>סעיף</w:t>
        </w:r>
        <w:r w:rsidR="00A04462" w:rsidRPr="00A04462">
          <w:rPr>
            <w:rStyle w:val="Hyperlink"/>
            <w:rFonts w:ascii="Calibri" w:hAnsi="Calibri" w:cs="FrankRuehl"/>
            <w:sz w:val="28"/>
            <w:szCs w:val="28"/>
            <w:rtl/>
          </w:rPr>
          <w:t xml:space="preserve"> 40</w:t>
        </w:r>
        <w:r w:rsidR="00A04462" w:rsidRPr="00A04462">
          <w:rPr>
            <w:rStyle w:val="Hyperlink"/>
            <w:rFonts w:ascii="Calibri" w:hAnsi="Calibri" w:cs="FrankRuehl" w:hint="eastAsia"/>
            <w:sz w:val="28"/>
            <w:szCs w:val="28"/>
            <w:rtl/>
          </w:rPr>
          <w:t>יג</w:t>
        </w:r>
      </w:hyperlink>
      <w:r>
        <w:rPr>
          <w:rFonts w:ascii="Calibri" w:hAnsi="Calibri" w:cs="FrankRuehl" w:hint="cs"/>
          <w:sz w:val="28"/>
          <w:szCs w:val="28"/>
          <w:rtl/>
        </w:rPr>
        <w:t xml:space="preserve"> ל</w:t>
      </w:r>
      <w:hyperlink r:id="rId19" w:history="1">
        <w:r w:rsidRPr="00C50120">
          <w:rPr>
            <w:rFonts w:ascii="Calibri" w:hAnsi="Calibri" w:cs="FrankRuehl" w:hint="eastAsia"/>
            <w:color w:val="0000FF"/>
            <w:sz w:val="28"/>
            <w:szCs w:val="28"/>
            <w:u w:val="single"/>
            <w:rtl/>
          </w:rPr>
          <w:t>חוק</w:t>
        </w:r>
        <w:r w:rsidRPr="00C50120">
          <w:rPr>
            <w:rFonts w:ascii="Calibri" w:hAnsi="Calibri" w:cs="FrankRuehl"/>
            <w:color w:val="0000FF"/>
            <w:sz w:val="28"/>
            <w:szCs w:val="28"/>
            <w:u w:val="single"/>
            <w:rtl/>
          </w:rPr>
          <w:t xml:space="preserve"> </w:t>
        </w:r>
        <w:r w:rsidRPr="00C50120">
          <w:rPr>
            <w:rFonts w:ascii="Calibri" w:hAnsi="Calibri" w:cs="FrankRuehl" w:hint="eastAsia"/>
            <w:color w:val="0000FF"/>
            <w:sz w:val="28"/>
            <w:szCs w:val="28"/>
            <w:u w:val="single"/>
            <w:rtl/>
          </w:rPr>
          <w:t>העונשין</w:t>
        </w:r>
      </w:hyperlink>
      <w:r>
        <w:rPr>
          <w:rFonts w:ascii="Calibri" w:hAnsi="Calibri" w:cs="FrankRuehl" w:hint="cs"/>
          <w:sz w:val="28"/>
          <w:szCs w:val="28"/>
          <w:rtl/>
        </w:rPr>
        <w:t xml:space="preserve">). </w:t>
      </w:r>
    </w:p>
    <w:p w14:paraId="62EF232E" w14:textId="77777777" w:rsidR="004873C1" w:rsidRDefault="004873C1">
      <w:pPr>
        <w:spacing w:after="120" w:line="360" w:lineRule="auto"/>
        <w:jc w:val="both"/>
        <w:rPr>
          <w:rFonts w:ascii="Calibri" w:hAnsi="Calibri" w:cs="FrankRuehl"/>
          <w:sz w:val="28"/>
          <w:szCs w:val="28"/>
          <w:rtl/>
        </w:rPr>
      </w:pPr>
    </w:p>
    <w:p w14:paraId="0B257DB8" w14:textId="77777777" w:rsidR="004873C1" w:rsidRDefault="00C50120">
      <w:pPr>
        <w:spacing w:after="120" w:line="360" w:lineRule="auto"/>
        <w:ind w:firstLine="720"/>
        <w:jc w:val="both"/>
        <w:rPr>
          <w:rFonts w:ascii="Calibri" w:hAnsi="Calibri" w:cs="Miriam"/>
          <w:rtl/>
        </w:rPr>
      </w:pPr>
      <w:r>
        <w:rPr>
          <w:rFonts w:ascii="Calibri" w:hAnsi="Calibri" w:cs="FrankRuehl" w:hint="cs"/>
          <w:sz w:val="28"/>
          <w:szCs w:val="28"/>
          <w:rtl/>
        </w:rPr>
        <w:t xml:space="preserve">ניתן למצוא בשאלה האמורה פנים לכאן ולכאן: </w:t>
      </w:r>
      <w:r>
        <w:rPr>
          <w:rFonts w:ascii="Calibri" w:hAnsi="Calibri" w:cs="Miriam" w:hint="cs"/>
          <w:rtl/>
        </w:rPr>
        <w:t>מחד גיסא</w:t>
      </w:r>
      <w:r>
        <w:rPr>
          <w:rFonts w:ascii="Calibri" w:hAnsi="Calibri" w:cs="FrankRuehl" w:hint="cs"/>
          <w:sz w:val="28"/>
          <w:szCs w:val="28"/>
          <w:rtl/>
        </w:rPr>
        <w:t xml:space="preserve">, </w:t>
      </w:r>
      <w:r>
        <w:rPr>
          <w:rFonts w:cs="FrankRuehl" w:hint="cs"/>
          <w:sz w:val="28"/>
          <w:szCs w:val="28"/>
          <w:rtl/>
        </w:rPr>
        <w:t xml:space="preserve">ניתן לסבור כי שני האישומים בהם הורשע הנאשם מקיימים זיקה הדוקה ביניהם, שכן מדובר באותה מסכת עבריינית. כך, שני האישומים עוסקים בעבירות של סחר בסמים מסוג חשיש, בכמות גדולה יחסית (אף שאינה זהה בשני האישומים), בעבור סכומי כסף בלתי זניחים, מוּל אותו שוטר סמוי ותוך פרק-זמן כולל של מספר ימים. לפי גישה זו, יש לקבוע מתחם ענישה הולמת </w:t>
      </w:r>
      <w:r>
        <w:rPr>
          <w:rFonts w:cs="FrankRuehl" w:hint="cs"/>
          <w:sz w:val="28"/>
          <w:szCs w:val="28"/>
          <w:u w:val="single"/>
          <w:rtl/>
        </w:rPr>
        <w:t>אחד</w:t>
      </w:r>
      <w:r>
        <w:rPr>
          <w:rFonts w:cs="FrankRuehl" w:hint="cs"/>
          <w:sz w:val="28"/>
          <w:szCs w:val="28"/>
          <w:rtl/>
        </w:rPr>
        <w:t xml:space="preserve"> בגין שתי העבירות בהן הורשע הנאשם, בהיותן בגדר "אירוע" אחד. עם זאת, טיב ומספר "המעשים" בגינם הורשע הנאשם, ישוו מידה של חוּמרה שתשפיע על קביעת מתחם העונש ההולם הכולל בגין אותם המעשים </w:t>
      </w:r>
      <w:r>
        <w:rPr>
          <w:rFonts w:ascii="Calibri" w:hAnsi="Calibri" w:cs="FrankRuehl" w:hint="cs"/>
          <w:sz w:val="28"/>
          <w:szCs w:val="28"/>
          <w:rtl/>
        </w:rPr>
        <w:t>(ראו והשוו: "</w:t>
      </w:r>
      <w:r>
        <w:rPr>
          <w:rFonts w:ascii="Calibri" w:hAnsi="Calibri" w:cs="Miriam" w:hint="cs"/>
          <w:rtl/>
        </w:rPr>
        <w:t>מבחן הקשר ההדוק</w:t>
      </w:r>
      <w:hyperlink r:id="rId20" w:history="1">
        <w:r w:rsidR="005D6FC5" w:rsidRPr="005D6FC5">
          <w:rPr>
            <w:rFonts w:ascii="Calibri" w:hAnsi="Calibri" w:cs="FrankRuehl"/>
            <w:color w:val="0000FF"/>
            <w:sz w:val="28"/>
            <w:szCs w:val="28"/>
            <w:u w:val="single"/>
            <w:rtl/>
          </w:rPr>
          <w:t xml:space="preserve">" </w:t>
        </w:r>
        <w:r w:rsidR="005D6FC5" w:rsidRPr="005D6FC5">
          <w:rPr>
            <w:rFonts w:ascii="Calibri" w:hAnsi="Calibri" w:cs="FrankRuehl" w:hint="eastAsia"/>
            <w:color w:val="0000FF"/>
            <w:sz w:val="28"/>
            <w:szCs w:val="28"/>
            <w:u w:val="single"/>
            <w:rtl/>
          </w:rPr>
          <w:t>בע</w:t>
        </w:r>
        <w:r w:rsidR="005D6FC5" w:rsidRPr="005D6FC5">
          <w:rPr>
            <w:rFonts w:ascii="Calibri" w:hAnsi="Calibri" w:cs="FrankRuehl"/>
            <w:color w:val="0000FF"/>
            <w:sz w:val="28"/>
            <w:szCs w:val="28"/>
            <w:u w:val="single"/>
            <w:rtl/>
          </w:rPr>
          <w:t>"</w:t>
        </w:r>
        <w:r w:rsidR="005D6FC5" w:rsidRPr="005D6FC5">
          <w:rPr>
            <w:rFonts w:ascii="Calibri" w:hAnsi="Calibri" w:cs="FrankRuehl" w:hint="eastAsia"/>
            <w:color w:val="0000FF"/>
            <w:sz w:val="28"/>
            <w:szCs w:val="28"/>
            <w:u w:val="single"/>
            <w:rtl/>
          </w:rPr>
          <w:t>פ</w:t>
        </w:r>
        <w:r w:rsidR="005D6FC5" w:rsidRPr="005D6FC5">
          <w:rPr>
            <w:rFonts w:ascii="Calibri" w:hAnsi="Calibri" w:cs="FrankRuehl"/>
            <w:color w:val="0000FF"/>
            <w:sz w:val="28"/>
            <w:szCs w:val="28"/>
            <w:u w:val="single"/>
            <w:rtl/>
          </w:rPr>
          <w:t xml:space="preserve"> 4913/10 </w:t>
        </w:r>
        <w:r w:rsidR="005D6FC5" w:rsidRPr="005D6FC5">
          <w:rPr>
            <w:rFonts w:ascii="Calibri" w:hAnsi="Calibri" w:cs="FrankRuehl" w:hint="eastAsia"/>
            <w:color w:val="0000FF"/>
            <w:sz w:val="28"/>
            <w:szCs w:val="28"/>
            <w:u w:val="single"/>
            <w:rtl/>
          </w:rPr>
          <w:t>ג</w:t>
        </w:r>
        <w:r w:rsidR="005D6FC5" w:rsidRPr="005D6FC5">
          <w:rPr>
            <w:rFonts w:ascii="Calibri" w:hAnsi="Calibri" w:cs="FrankRuehl"/>
            <w:color w:val="0000FF"/>
            <w:sz w:val="28"/>
            <w:szCs w:val="28"/>
            <w:u w:val="single"/>
            <w:rtl/>
          </w:rPr>
          <w:t>'</w:t>
        </w:r>
        <w:r w:rsidR="005D6FC5" w:rsidRPr="005D6FC5">
          <w:rPr>
            <w:rFonts w:ascii="Calibri" w:hAnsi="Calibri" w:cs="FrankRuehl" w:hint="eastAsia"/>
            <w:color w:val="0000FF"/>
            <w:sz w:val="28"/>
            <w:szCs w:val="28"/>
            <w:u w:val="single"/>
            <w:rtl/>
          </w:rPr>
          <w:t>אבר</w:t>
        </w:r>
        <w:r w:rsidR="005D6FC5" w:rsidRPr="005D6FC5">
          <w:rPr>
            <w:rFonts w:ascii="Calibri" w:hAnsi="Calibri" w:cs="FrankRuehl"/>
            <w:color w:val="0000FF"/>
            <w:sz w:val="28"/>
            <w:szCs w:val="28"/>
            <w:u w:val="single"/>
            <w:rtl/>
          </w:rPr>
          <w:t xml:space="preserve"> </w:t>
        </w:r>
      </w:hyperlink>
      <w:r>
        <w:rPr>
          <w:rFonts w:ascii="Calibri" w:hAnsi="Calibri" w:cs="Miriam" w:hint="cs"/>
          <w:rtl/>
        </w:rPr>
        <w:t xml:space="preserve"> נ' מדינת ישראל</w:t>
      </w:r>
      <w:r>
        <w:rPr>
          <w:rFonts w:ascii="Calibri" w:hAnsi="Calibri" w:cs="FrankRuehl" w:hint="cs"/>
          <w:sz w:val="28"/>
          <w:szCs w:val="28"/>
          <w:rtl/>
        </w:rPr>
        <w:t xml:space="preserve"> (29.10.2014) - גישתם של כב' השופטת ברק-ארז בפיסקה 5 ואילך לפסק-דינה, וכב' השופט פוגלמן בפיסקה 2 לפסק-דינו).</w:t>
      </w:r>
    </w:p>
    <w:p w14:paraId="3854C5CC" w14:textId="77777777" w:rsidR="004873C1" w:rsidRDefault="004873C1">
      <w:pPr>
        <w:spacing w:after="120" w:line="360" w:lineRule="auto"/>
        <w:ind w:firstLine="720"/>
        <w:jc w:val="both"/>
        <w:rPr>
          <w:rFonts w:ascii="Calibri" w:hAnsi="Calibri" w:cs="FrankRuehl"/>
          <w:sz w:val="28"/>
          <w:szCs w:val="28"/>
          <w:rtl/>
        </w:rPr>
      </w:pPr>
    </w:p>
    <w:p w14:paraId="273507AA" w14:textId="77777777" w:rsidR="004873C1" w:rsidRDefault="00C50120">
      <w:pPr>
        <w:spacing w:after="120" w:line="360" w:lineRule="auto"/>
        <w:ind w:firstLine="720"/>
        <w:jc w:val="both"/>
        <w:rPr>
          <w:rFonts w:ascii="Calibri" w:hAnsi="Calibri" w:cs="FrankRuehl"/>
          <w:sz w:val="28"/>
          <w:szCs w:val="28"/>
          <w:rtl/>
        </w:rPr>
      </w:pPr>
      <w:r>
        <w:rPr>
          <w:rFonts w:ascii="Calibri" w:hAnsi="Calibri" w:cs="Miriam" w:hint="cs"/>
          <w:rtl/>
        </w:rPr>
        <w:t>מחד גיסא</w:t>
      </w:r>
      <w:r>
        <w:rPr>
          <w:rFonts w:ascii="Calibri" w:hAnsi="Calibri" w:cs="FrankRuehl" w:hint="cs"/>
          <w:sz w:val="28"/>
          <w:szCs w:val="28"/>
          <w:rtl/>
        </w:rPr>
        <w:t xml:space="preserve">, </w:t>
      </w:r>
      <w:r>
        <w:rPr>
          <w:rFonts w:cs="FrankRuehl" w:hint="cs"/>
          <w:sz w:val="28"/>
          <w:szCs w:val="28"/>
          <w:rtl/>
        </w:rPr>
        <w:t>שתי עבירות הסחר בסמים בהן הורשע הנאשם בוצעו במועדים שונים, והן ניתנות להפרדה הן מבחינה מהותית והן מבחינה כרונולוגית באופן שאינו מלאכותי.</w:t>
      </w:r>
      <w:r>
        <w:rPr>
          <w:rFonts w:ascii="Calibri" w:hAnsi="Calibri" w:cs="FrankRuehl" w:hint="cs"/>
          <w:sz w:val="28"/>
          <w:szCs w:val="28"/>
          <w:rtl/>
        </w:rPr>
        <w:t xml:space="preserve"> לפי גישה זו, ראוי לקבוע מתחם ענישה הולמת </w:t>
      </w:r>
      <w:r>
        <w:rPr>
          <w:rFonts w:ascii="Calibri" w:hAnsi="Calibri" w:cs="FrankRuehl" w:hint="cs"/>
          <w:sz w:val="28"/>
          <w:szCs w:val="28"/>
          <w:u w:val="single"/>
          <w:rtl/>
        </w:rPr>
        <w:t>נפרד</w:t>
      </w:r>
      <w:r>
        <w:rPr>
          <w:rFonts w:ascii="Calibri" w:hAnsi="Calibri" w:cs="FrankRuehl" w:hint="cs"/>
          <w:sz w:val="28"/>
          <w:szCs w:val="28"/>
          <w:rtl/>
        </w:rPr>
        <w:t xml:space="preserve"> לכל אחד מהאישומים נשוא כתב-האישום המתוקן (ראו והשוו: "</w:t>
      </w:r>
      <w:r>
        <w:rPr>
          <w:rFonts w:ascii="Calibri" w:hAnsi="Calibri" w:cs="Miriam" w:hint="cs"/>
          <w:rtl/>
        </w:rPr>
        <w:t>המבחן</w:t>
      </w:r>
      <w:r>
        <w:rPr>
          <w:rFonts w:ascii="Calibri" w:hAnsi="Calibri" w:cs="FrankRuehl" w:hint="cs"/>
          <w:sz w:val="28"/>
          <w:szCs w:val="28"/>
          <w:rtl/>
        </w:rPr>
        <w:t xml:space="preserve"> </w:t>
      </w:r>
      <w:r>
        <w:rPr>
          <w:rFonts w:ascii="Calibri" w:hAnsi="Calibri" w:cs="Miriam" w:hint="cs"/>
          <w:rtl/>
        </w:rPr>
        <w:t>הצורני-עובדתי</w:t>
      </w:r>
      <w:r>
        <w:rPr>
          <w:rFonts w:ascii="Calibri" w:hAnsi="Calibri" w:cs="FrankRuehl" w:hint="cs"/>
          <w:sz w:val="28"/>
          <w:szCs w:val="28"/>
          <w:rtl/>
        </w:rPr>
        <w:t xml:space="preserve">" לפי גישת כב' השופט דנציגר בע"פ 4913/10 </w:t>
      </w:r>
      <w:r>
        <w:rPr>
          <w:rFonts w:ascii="Calibri" w:hAnsi="Calibri" w:cs="Miriam" w:hint="cs"/>
          <w:rtl/>
        </w:rPr>
        <w:t>ג'אבר</w:t>
      </w:r>
      <w:r>
        <w:rPr>
          <w:rFonts w:ascii="Calibri" w:hAnsi="Calibri" w:cs="FrankRuehl" w:hint="cs"/>
          <w:sz w:val="28"/>
          <w:szCs w:val="28"/>
          <w:rtl/>
        </w:rPr>
        <w:t xml:space="preserve"> </w:t>
      </w:r>
      <w:r>
        <w:rPr>
          <w:rFonts w:ascii="Calibri" w:hAnsi="Calibri" w:cs="Miriam" w:hint="cs"/>
          <w:rtl/>
        </w:rPr>
        <w:t>נ' מדינת ישראל</w:t>
      </w:r>
      <w:r>
        <w:rPr>
          <w:rFonts w:ascii="Calibri" w:hAnsi="Calibri" w:cs="FrankRuehl" w:hint="cs"/>
          <w:sz w:val="28"/>
          <w:szCs w:val="28"/>
          <w:rtl/>
        </w:rPr>
        <w:t xml:space="preserve"> (29.10.2014), פסקאות 24, 29 עד 31 לפסק-דינו; וכן גישתו של כב' השופט ג'ובראן ב</w:t>
      </w:r>
      <w:hyperlink r:id="rId21" w:history="1">
        <w:r w:rsidRPr="00C50120">
          <w:rPr>
            <w:rFonts w:ascii="Calibri" w:hAnsi="Calibri" w:cs="FrankRuehl" w:hint="eastAsia"/>
            <w:color w:val="0000FF"/>
            <w:sz w:val="28"/>
            <w:szCs w:val="28"/>
            <w:u w:val="single"/>
            <w:rtl/>
          </w:rPr>
          <w:t>ע</w:t>
        </w:r>
        <w:r w:rsidRPr="00C50120">
          <w:rPr>
            <w:rFonts w:ascii="Calibri" w:hAnsi="Calibri" w:cs="FrankRuehl"/>
            <w:color w:val="0000FF"/>
            <w:sz w:val="28"/>
            <w:szCs w:val="28"/>
            <w:u w:val="single"/>
            <w:rtl/>
          </w:rPr>
          <w:t>"</w:t>
        </w:r>
        <w:r w:rsidRPr="00C50120">
          <w:rPr>
            <w:rFonts w:ascii="Calibri" w:hAnsi="Calibri" w:cs="FrankRuehl" w:hint="eastAsia"/>
            <w:color w:val="0000FF"/>
            <w:sz w:val="28"/>
            <w:szCs w:val="28"/>
            <w:u w:val="single"/>
            <w:rtl/>
          </w:rPr>
          <w:t>פ</w:t>
        </w:r>
        <w:r w:rsidRPr="00C50120">
          <w:rPr>
            <w:rFonts w:ascii="Calibri" w:hAnsi="Calibri" w:cs="FrankRuehl"/>
            <w:color w:val="0000FF"/>
            <w:sz w:val="28"/>
            <w:szCs w:val="28"/>
            <w:u w:val="single"/>
            <w:rtl/>
          </w:rPr>
          <w:t xml:space="preserve"> 1605/13</w:t>
        </w:r>
      </w:hyperlink>
      <w:r>
        <w:rPr>
          <w:rFonts w:ascii="Calibri" w:hAnsi="Calibri" w:cs="FrankRuehl" w:hint="cs"/>
          <w:sz w:val="28"/>
          <w:szCs w:val="28"/>
          <w:rtl/>
        </w:rPr>
        <w:t xml:space="preserve"> </w:t>
      </w:r>
      <w:r>
        <w:rPr>
          <w:rFonts w:ascii="Calibri" w:hAnsi="Calibri" w:cs="Miriam" w:hint="cs"/>
          <w:rtl/>
        </w:rPr>
        <w:t>פלוני נ' מדינת ישראל</w:t>
      </w:r>
      <w:r>
        <w:rPr>
          <w:rFonts w:ascii="Calibri" w:hAnsi="Calibri" w:cs="FrankRuehl" w:hint="cs"/>
          <w:sz w:val="28"/>
          <w:szCs w:val="28"/>
          <w:rtl/>
        </w:rPr>
        <w:t>, פיסקה 15 (27.8.2014); עוד השוו: פסיקתו של בית-המשפט המחוזי בבאר-שבע</w:t>
      </w:r>
      <w:r>
        <w:rPr>
          <w:rFonts w:cs="FrankRuehl" w:hint="cs"/>
          <w:sz w:val="28"/>
          <w:szCs w:val="28"/>
          <w:rtl/>
        </w:rPr>
        <w:t xml:space="preserve"> ב</w:t>
      </w:r>
      <w:hyperlink r:id="rId22" w:history="1">
        <w:r w:rsidRPr="00C50120">
          <w:rPr>
            <w:rFonts w:cs="FrankRuehl"/>
            <w:color w:val="0000FF"/>
            <w:sz w:val="28"/>
            <w:szCs w:val="28"/>
            <w:u w:val="single"/>
            <w:rtl/>
          </w:rPr>
          <w:t>עפ"ג (ב"ש) 39844-08-13</w:t>
        </w:r>
      </w:hyperlink>
      <w:r>
        <w:rPr>
          <w:rFonts w:cs="Miriam" w:hint="cs"/>
          <w:rtl/>
        </w:rPr>
        <w:t xml:space="preserve"> מדינת ישראל נ' אבו רקייק</w:t>
      </w:r>
      <w:r>
        <w:rPr>
          <w:rFonts w:cs="FrankRuehl" w:hint="cs"/>
          <w:sz w:val="28"/>
          <w:szCs w:val="28"/>
          <w:rtl/>
        </w:rPr>
        <w:t xml:space="preserve"> (26.12.2013) שם צידד בית-המשפט המחוזי בקביעת מתחמים נפרדים בגין כל עסקת סמים).</w:t>
      </w:r>
      <w:r>
        <w:rPr>
          <w:rFonts w:ascii="Calibri" w:hAnsi="Calibri" w:cs="FrankRuehl" w:hint="cs"/>
          <w:sz w:val="28"/>
          <w:szCs w:val="28"/>
          <w:rtl/>
        </w:rPr>
        <w:t xml:space="preserve"> בהמשך לדברים האמורים, אני רואה לציין כי אף לפי הגישה האמורה המצדדת בקביעת מתחמי ענישה הולמת נפרדים לכל אחד מהאישומים בהם הורשע הנאשם, לא ניתן להתעלם מהזיקה הממשית בין שני האישומים (מבחינת סוג הסם, כמותו, התמורה הכספית ששולמה בעדו, העובדה שהעסקאות בוצעו מול אותו שוטר סמוי וכן פרק-הזמן הקצר יחסית במהלכו בוצעו העסקאות). לפיכך, אני סבורה כי גם אם נלך לפי הגישה "הצורנית-עובדתית" המצדדת בקביעת מתחם נפרד לכל אישום, יש מקום לגזירת עונש כולל בגין שני האישומים כאמור </w:t>
      </w:r>
      <w:hyperlink r:id="rId23" w:history="1">
        <w:r w:rsidR="00A04462" w:rsidRPr="00A04462">
          <w:rPr>
            <w:rStyle w:val="Hyperlink"/>
            <w:rFonts w:ascii="Calibri" w:hAnsi="Calibri" w:cs="FrankRuehl" w:hint="eastAsia"/>
            <w:sz w:val="28"/>
            <w:szCs w:val="28"/>
            <w:rtl/>
          </w:rPr>
          <w:t>בסעיף</w:t>
        </w:r>
        <w:r w:rsidR="00A04462" w:rsidRPr="00A04462">
          <w:rPr>
            <w:rStyle w:val="Hyperlink"/>
            <w:rFonts w:ascii="Calibri" w:hAnsi="Calibri" w:cs="FrankRuehl"/>
            <w:sz w:val="28"/>
            <w:szCs w:val="28"/>
            <w:rtl/>
          </w:rPr>
          <w:t xml:space="preserve"> 40</w:t>
        </w:r>
        <w:r w:rsidR="00A04462" w:rsidRPr="00A04462">
          <w:rPr>
            <w:rStyle w:val="Hyperlink"/>
            <w:rFonts w:ascii="Calibri" w:hAnsi="Calibri" w:cs="FrankRuehl" w:hint="eastAsia"/>
            <w:sz w:val="28"/>
            <w:szCs w:val="28"/>
            <w:rtl/>
          </w:rPr>
          <w:t>יג</w:t>
        </w:r>
        <w:r w:rsidR="00A04462" w:rsidRPr="00A04462">
          <w:rPr>
            <w:rStyle w:val="Hyperlink"/>
            <w:rFonts w:ascii="Calibri" w:hAnsi="Calibri" w:cs="FrankRuehl"/>
            <w:sz w:val="28"/>
            <w:szCs w:val="28"/>
            <w:rtl/>
          </w:rPr>
          <w:t>(</w:t>
        </w:r>
        <w:r w:rsidR="00A04462" w:rsidRPr="00A04462">
          <w:rPr>
            <w:rStyle w:val="Hyperlink"/>
            <w:rFonts w:ascii="Calibri" w:hAnsi="Calibri" w:cs="FrankRuehl" w:hint="eastAsia"/>
            <w:sz w:val="28"/>
            <w:szCs w:val="28"/>
            <w:rtl/>
          </w:rPr>
          <w:t>ב</w:t>
        </w:r>
        <w:r w:rsidR="00A04462" w:rsidRPr="00A04462">
          <w:rPr>
            <w:rStyle w:val="Hyperlink"/>
            <w:rFonts w:ascii="Calibri" w:hAnsi="Calibri" w:cs="FrankRuehl"/>
            <w:sz w:val="28"/>
            <w:szCs w:val="28"/>
            <w:rtl/>
          </w:rPr>
          <w:t>)</w:t>
        </w:r>
      </w:hyperlink>
      <w:r>
        <w:rPr>
          <w:rFonts w:ascii="Calibri" w:hAnsi="Calibri" w:cs="FrankRuehl" w:hint="cs"/>
          <w:sz w:val="28"/>
          <w:szCs w:val="28"/>
          <w:rtl/>
        </w:rPr>
        <w:t xml:space="preserve"> ל</w:t>
      </w:r>
      <w:hyperlink r:id="rId24" w:history="1">
        <w:r w:rsidRPr="00C50120">
          <w:rPr>
            <w:rFonts w:ascii="Calibri" w:hAnsi="Calibri" w:cs="FrankRuehl" w:hint="eastAsia"/>
            <w:color w:val="0000FF"/>
            <w:sz w:val="28"/>
            <w:szCs w:val="28"/>
            <w:u w:val="single"/>
            <w:rtl/>
          </w:rPr>
          <w:t>חוק</w:t>
        </w:r>
        <w:r w:rsidRPr="00C50120">
          <w:rPr>
            <w:rFonts w:ascii="Calibri" w:hAnsi="Calibri" w:cs="FrankRuehl"/>
            <w:color w:val="0000FF"/>
            <w:sz w:val="28"/>
            <w:szCs w:val="28"/>
            <w:u w:val="single"/>
            <w:rtl/>
          </w:rPr>
          <w:t xml:space="preserve"> </w:t>
        </w:r>
        <w:r w:rsidRPr="00C50120">
          <w:rPr>
            <w:rFonts w:ascii="Calibri" w:hAnsi="Calibri" w:cs="FrankRuehl" w:hint="eastAsia"/>
            <w:color w:val="0000FF"/>
            <w:sz w:val="28"/>
            <w:szCs w:val="28"/>
            <w:u w:val="single"/>
            <w:rtl/>
          </w:rPr>
          <w:t>העונשין</w:t>
        </w:r>
      </w:hyperlink>
      <w:r>
        <w:rPr>
          <w:rFonts w:ascii="Calibri" w:hAnsi="Calibri" w:cs="FrankRuehl" w:hint="cs"/>
          <w:sz w:val="28"/>
          <w:szCs w:val="28"/>
          <w:rtl/>
        </w:rPr>
        <w:t xml:space="preserve">, תוך </w:t>
      </w:r>
      <w:r>
        <w:rPr>
          <w:rFonts w:cs="FrankRuehl" w:hint="cs"/>
          <w:sz w:val="28"/>
          <w:szCs w:val="28"/>
          <w:rtl/>
        </w:rPr>
        <w:t xml:space="preserve">חפיפה פנימית מסוימת של העונש בעטים. </w:t>
      </w:r>
      <w:r>
        <w:rPr>
          <w:rFonts w:ascii="Calibri" w:hAnsi="Calibri" w:cs="FrankRuehl" w:hint="cs"/>
          <w:sz w:val="28"/>
          <w:szCs w:val="28"/>
          <w:rtl/>
        </w:rPr>
        <w:t xml:space="preserve"> </w:t>
      </w:r>
    </w:p>
    <w:p w14:paraId="3873D575" w14:textId="77777777" w:rsidR="004873C1" w:rsidRDefault="004873C1">
      <w:pPr>
        <w:spacing w:after="120" w:line="360" w:lineRule="auto"/>
        <w:jc w:val="both"/>
        <w:rPr>
          <w:rFonts w:cs="FrankRuehl"/>
          <w:sz w:val="28"/>
          <w:szCs w:val="28"/>
          <w:rtl/>
        </w:rPr>
      </w:pPr>
    </w:p>
    <w:p w14:paraId="4ED0B508" w14:textId="77777777" w:rsidR="004873C1" w:rsidRDefault="00C50120">
      <w:pPr>
        <w:spacing w:after="120" w:line="360" w:lineRule="auto"/>
        <w:jc w:val="both"/>
        <w:rPr>
          <w:rFonts w:ascii="Calibri" w:hAnsi="Calibri" w:cs="FrankRuehl"/>
          <w:sz w:val="28"/>
          <w:szCs w:val="28"/>
          <w:rtl/>
        </w:rPr>
      </w:pPr>
      <w:r>
        <w:rPr>
          <w:rFonts w:cs="FrankRuehl" w:hint="cs"/>
          <w:sz w:val="28"/>
          <w:szCs w:val="28"/>
          <w:rtl/>
        </w:rPr>
        <w:t>7.</w:t>
      </w:r>
      <w:r>
        <w:rPr>
          <w:rFonts w:cs="FrankRuehl" w:hint="cs"/>
          <w:sz w:val="28"/>
          <w:szCs w:val="28"/>
          <w:rtl/>
        </w:rPr>
        <w:tab/>
      </w:r>
      <w:r>
        <w:rPr>
          <w:rFonts w:ascii="Calibri" w:hAnsi="Calibri" w:cs="FrankRuehl" w:hint="cs"/>
          <w:sz w:val="28"/>
          <w:szCs w:val="28"/>
          <w:rtl/>
        </w:rPr>
        <w:t>בנסיבות העניין, לא ראיתי להכריע בין שתי הגישות שפורטו לעיל. תחת זאת, אקבע מתחם נפרד לכל אחד מהאישומים נשוּא כתב-האישום המתוקן (זאת, בהתאם לגישה "הצורנית-עובדתית"). בנוסף, אקבע מתחם כולל המתייחס לשני האישומים בגינם הורשע הנאשם (זאת, בהתאם לגישת "הקשר ההדוק"). לאחר מכן, אגזור את העונש המתאים בגדרי המתחמים שייקבעו.</w:t>
      </w:r>
    </w:p>
    <w:p w14:paraId="37BDD158" w14:textId="77777777" w:rsidR="004873C1" w:rsidRDefault="004873C1">
      <w:pPr>
        <w:spacing w:after="120" w:line="360" w:lineRule="auto"/>
        <w:jc w:val="both"/>
        <w:rPr>
          <w:rtl/>
        </w:rPr>
      </w:pPr>
    </w:p>
    <w:p w14:paraId="0814E3DB" w14:textId="77777777" w:rsidR="004873C1" w:rsidRDefault="00C50120">
      <w:pPr>
        <w:spacing w:after="120" w:line="360" w:lineRule="auto"/>
        <w:jc w:val="both"/>
        <w:rPr>
          <w:rFonts w:cs="FrankRuehl"/>
          <w:sz w:val="28"/>
          <w:szCs w:val="28"/>
          <w:u w:val="single"/>
          <w:rtl/>
        </w:rPr>
      </w:pPr>
      <w:r>
        <w:rPr>
          <w:rFonts w:cs="FrankRuehl" w:hint="cs"/>
          <w:sz w:val="28"/>
          <w:szCs w:val="28"/>
          <w:u w:val="single"/>
          <w:rtl/>
        </w:rPr>
        <w:t>קביעת מתחמי הענישה ההולמת</w:t>
      </w:r>
    </w:p>
    <w:p w14:paraId="2475F598" w14:textId="77777777" w:rsidR="004873C1" w:rsidRDefault="00C50120">
      <w:pPr>
        <w:spacing w:after="120" w:line="360" w:lineRule="auto"/>
        <w:jc w:val="both"/>
        <w:rPr>
          <w:rFonts w:cs="FrankRuehl"/>
          <w:sz w:val="28"/>
          <w:szCs w:val="28"/>
          <w:rtl/>
        </w:rPr>
      </w:pPr>
      <w:r>
        <w:rPr>
          <w:rFonts w:cs="FrankRuehl" w:hint="cs"/>
          <w:sz w:val="28"/>
          <w:szCs w:val="28"/>
          <w:rtl/>
        </w:rPr>
        <w:t>8.</w:t>
      </w:r>
      <w:r>
        <w:rPr>
          <w:rFonts w:cs="FrankRuehl" w:hint="cs"/>
          <w:sz w:val="28"/>
          <w:szCs w:val="28"/>
          <w:rtl/>
        </w:rPr>
        <w:tab/>
        <w:t xml:space="preserve">בהתאם </w:t>
      </w:r>
      <w:hyperlink r:id="rId25" w:history="1">
        <w:r w:rsidR="00A04462" w:rsidRPr="00A04462">
          <w:rPr>
            <w:rStyle w:val="Hyperlink"/>
            <w:rFonts w:cs="FrankRuehl" w:hint="eastAsia"/>
            <w:sz w:val="28"/>
            <w:szCs w:val="28"/>
            <w:rtl/>
          </w:rPr>
          <w:t>לסעיף</w:t>
        </w:r>
        <w:r w:rsidR="00A04462" w:rsidRPr="00A04462">
          <w:rPr>
            <w:rStyle w:val="Hyperlink"/>
            <w:rFonts w:cs="FrankRuehl"/>
            <w:sz w:val="28"/>
            <w:szCs w:val="28"/>
            <w:rtl/>
          </w:rPr>
          <w:t xml:space="preserve"> 40ג(א)</w:t>
        </w:r>
      </w:hyperlink>
      <w:r>
        <w:rPr>
          <w:rFonts w:cs="FrankRuehl" w:hint="cs"/>
          <w:sz w:val="28"/>
          <w:szCs w:val="28"/>
          <w:rtl/>
        </w:rPr>
        <w:t xml:space="preserve"> ל</w:t>
      </w:r>
      <w:hyperlink r:id="rId26" w:history="1">
        <w:r w:rsidRPr="00C50120">
          <w:rPr>
            <w:rFonts w:cs="FrankRuehl"/>
            <w:color w:val="0000FF"/>
            <w:sz w:val="28"/>
            <w:szCs w:val="28"/>
            <w:u w:val="single"/>
            <w:rtl/>
          </w:rPr>
          <w:t>חוק העונשין</w:t>
        </w:r>
      </w:hyperlink>
      <w:r>
        <w:rPr>
          <w:rFonts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העבירות ובמדיניות הענישה הנהוגה.</w:t>
      </w:r>
    </w:p>
    <w:p w14:paraId="5C5B8210" w14:textId="77777777" w:rsidR="004873C1" w:rsidRDefault="004873C1">
      <w:pPr>
        <w:spacing w:after="120" w:line="360" w:lineRule="auto"/>
        <w:jc w:val="both"/>
        <w:rPr>
          <w:rFonts w:cs="FrankRuehl"/>
          <w:sz w:val="28"/>
          <w:szCs w:val="28"/>
          <w:rtl/>
        </w:rPr>
      </w:pPr>
    </w:p>
    <w:p w14:paraId="3D998258" w14:textId="77777777" w:rsidR="004873C1" w:rsidRDefault="00C50120">
      <w:pPr>
        <w:spacing w:after="120"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רבות נכתב בפסיקתם של בתי-המשפט על החומרה הרבה הגלומה במעשיהם של העוסקים בשרשרת הפצת הסם. בקצרה ייאמר כי </w:t>
      </w:r>
      <w:r>
        <w:rPr>
          <w:rFonts w:cs="FrankRuehl" w:hint="cs"/>
          <w:b/>
          <w:bCs/>
          <w:sz w:val="28"/>
          <w:szCs w:val="28"/>
          <w:rtl/>
        </w:rPr>
        <w:t>הערכים החברתיים</w:t>
      </w:r>
      <w:r>
        <w:rPr>
          <w:rFonts w:cs="FrankRuehl" w:hint="cs"/>
          <w:sz w:val="28"/>
          <w:szCs w:val="28"/>
          <w:rtl/>
        </w:rPr>
        <w:t xml:space="preserve"> המונחים בבסיסן של עבירות הסחר בסמים עניינם בהגנה על חוסנה של החברה מפני פגיעות הנגרמות עקב שימוש בסמים, הן לאוכלוסיית המשתמשים עצמם והן לציבור בכללותו. בתי-המשפט חזרו שוב ושוב בפסיקותיהם על ההכרח לעצור את התפשטות נגע הסמים בחברה, וזאת בין היתר על-ידי השתת ענישה מחמירה על הנוטלים חלק במערך הפצת הסמים.</w:t>
      </w:r>
    </w:p>
    <w:p w14:paraId="452A3E57" w14:textId="77777777" w:rsidR="004873C1" w:rsidRDefault="004873C1">
      <w:pPr>
        <w:spacing w:after="120" w:line="360" w:lineRule="auto"/>
        <w:jc w:val="both"/>
        <w:rPr>
          <w:rtl/>
        </w:rPr>
      </w:pPr>
    </w:p>
    <w:p w14:paraId="00A65751" w14:textId="77777777" w:rsidR="004873C1" w:rsidRDefault="00C50120">
      <w:pPr>
        <w:spacing w:after="120" w:line="360" w:lineRule="auto"/>
        <w:jc w:val="both"/>
        <w:rPr>
          <w:rFonts w:ascii="Calibri" w:hAnsi="Calibri" w:cs="FrankRuehl"/>
          <w:sz w:val="28"/>
          <w:szCs w:val="28"/>
          <w:rtl/>
        </w:rPr>
      </w:pPr>
      <w:r>
        <w:rPr>
          <w:rFonts w:ascii="FrankRuehl" w:hAnsi="FrankRuehl" w:cs="FrankRuehl" w:hint="cs"/>
          <w:color w:val="000000"/>
          <w:sz w:val="28"/>
          <w:szCs w:val="28"/>
          <w:rtl/>
        </w:rPr>
        <w:t>10.</w:t>
      </w:r>
      <w:r>
        <w:rPr>
          <w:rFonts w:ascii="FrankRuehl" w:hAnsi="FrankRuehl" w:cs="FrankRuehl" w:hint="cs"/>
          <w:color w:val="000000"/>
          <w:sz w:val="28"/>
          <w:szCs w:val="28"/>
          <w:rtl/>
        </w:rPr>
        <w:tab/>
        <w:t xml:space="preserve">אשר </w:t>
      </w:r>
      <w:r>
        <w:rPr>
          <w:rFonts w:ascii="FrankRuehl" w:hAnsi="FrankRuehl" w:cs="FrankRuehl" w:hint="cs"/>
          <w:b/>
          <w:bCs/>
          <w:color w:val="000000"/>
          <w:sz w:val="28"/>
          <w:szCs w:val="28"/>
          <w:rtl/>
        </w:rPr>
        <w:t xml:space="preserve">לנסיבות ביצוע העבירות </w:t>
      </w:r>
      <w:r>
        <w:rPr>
          <w:rFonts w:ascii="FrankRuehl" w:hAnsi="FrankRuehl" w:cs="FrankRuehl" w:hint="cs"/>
          <w:color w:val="000000"/>
          <w:sz w:val="28"/>
          <w:szCs w:val="28"/>
          <w:rtl/>
        </w:rPr>
        <w:t xml:space="preserve">- בפסיקה נקבע לא אחת כי כאשר עסקינן בעבירות של סחר בסמים </w:t>
      </w:r>
      <w:r>
        <w:rPr>
          <w:rFonts w:ascii="Calibri" w:hAnsi="Calibri" w:cs="FrankRuehl" w:hint="cs"/>
          <w:sz w:val="28"/>
          <w:szCs w:val="28"/>
          <w:rtl/>
        </w:rPr>
        <w:t xml:space="preserve">יש לתת את הדעת, בין היתר, לסוג הסם; כמותו והתמורה הכספית שניתנה בעדו; מספר העסקאות בהן מדובר; התכנון שקדם להן; חלקו של הנאשם בביצוע העסקה; זהות הקונה ונסיבות הרכישה; וכן הנזק שנגרם ו/או צפוי היה להיגרם בגין העבירות הנדונות. </w:t>
      </w:r>
    </w:p>
    <w:p w14:paraId="08706B63" w14:textId="77777777" w:rsidR="004873C1" w:rsidRDefault="004873C1">
      <w:pPr>
        <w:spacing w:after="120" w:line="360" w:lineRule="auto"/>
        <w:jc w:val="both"/>
        <w:rPr>
          <w:rFonts w:ascii="Calibri" w:hAnsi="Calibri" w:cs="FrankRuehl"/>
          <w:sz w:val="28"/>
          <w:szCs w:val="28"/>
          <w:rtl/>
        </w:rPr>
      </w:pPr>
    </w:p>
    <w:p w14:paraId="5BD467D7" w14:textId="77777777" w:rsidR="004873C1" w:rsidRDefault="00C50120">
      <w:pPr>
        <w:spacing w:after="120" w:line="360" w:lineRule="auto"/>
        <w:ind w:firstLine="720"/>
        <w:jc w:val="both"/>
        <w:rPr>
          <w:rFonts w:ascii="Calibri" w:hAnsi="Calibri" w:cs="Miriam"/>
          <w:sz w:val="22"/>
          <w:szCs w:val="22"/>
          <w:rtl/>
        </w:rPr>
      </w:pPr>
      <w:r>
        <w:rPr>
          <w:rFonts w:ascii="Calibri" w:hAnsi="Calibri" w:cs="FrankRuehl" w:hint="cs"/>
          <w:sz w:val="28"/>
          <w:szCs w:val="28"/>
          <w:rtl/>
        </w:rPr>
        <w:t xml:space="preserve">בנסיבות המקרה דנן, הנאשם סחר בסם מסוג חשיש בשתי הזדמנויות שונות. העסקאות בוצעו מול אותו שוטר סמוי, כאשר בכל אחת מהעסקאות סיפק הנאשם לשוטר סמים בכמות משמעותית (כ- </w:t>
      </w:r>
      <w:smartTag w:uri="urn:schemas-microsoft-com:office:smarttags" w:element="metricconverter">
        <w:smartTagPr>
          <w:attr w:name="ProductID" w:val="45 גרם"/>
        </w:smartTagPr>
        <w:r>
          <w:rPr>
            <w:rFonts w:ascii="Calibri" w:hAnsi="Calibri" w:cs="FrankRuehl" w:hint="cs"/>
            <w:sz w:val="28"/>
            <w:szCs w:val="28"/>
            <w:rtl/>
          </w:rPr>
          <w:t>45 גרם</w:t>
        </w:r>
      </w:smartTag>
      <w:r>
        <w:rPr>
          <w:rFonts w:ascii="Calibri" w:hAnsi="Calibri" w:cs="FrankRuehl" w:hint="cs"/>
          <w:sz w:val="28"/>
          <w:szCs w:val="28"/>
          <w:rtl/>
        </w:rPr>
        <w:t xml:space="preserve"> באישום השני, וכ- </w:t>
      </w:r>
      <w:smartTag w:uri="urn:schemas-microsoft-com:office:smarttags" w:element="metricconverter">
        <w:smartTagPr>
          <w:attr w:name="ProductID" w:val="95 גרם"/>
        </w:smartTagPr>
        <w:r>
          <w:rPr>
            <w:rFonts w:ascii="Calibri" w:hAnsi="Calibri" w:cs="FrankRuehl" w:hint="cs"/>
            <w:sz w:val="28"/>
            <w:szCs w:val="28"/>
            <w:rtl/>
          </w:rPr>
          <w:t>95 גרם</w:t>
        </w:r>
      </w:smartTag>
      <w:r>
        <w:rPr>
          <w:rFonts w:ascii="Calibri" w:hAnsi="Calibri" w:cs="FrankRuehl" w:hint="cs"/>
          <w:sz w:val="28"/>
          <w:szCs w:val="28"/>
          <w:rtl/>
        </w:rPr>
        <w:t xml:space="preserve"> באישום השלישי). התמורה הכספית הועברה בכל פעם ישירוֹת מהשוטר לידיו של הנאשם. בשני המקרים היה הנאשם נכון לספק לשוטר את הסמים תוך תיאום מראש, ובחלוף זמן קצר יחסית. הדבר יכול להעיד הן על תכנון מוקדם, הן על נגישותו של הנאשם לסמים, והן על מעורבותו הפעילה בעולם הסחר בסמים. עם זאת, יש לציין כי שתי העסקאות נגעו לסם מסוג חשיש שאינו נחשב מהסמים "הקשים". בנוסף, בשני המקרים השוטר הסמוי היה זה שפנה טלפונית לנאשם בבקשה לרכישת הסם. </w:t>
      </w:r>
    </w:p>
    <w:p w14:paraId="7EA09541" w14:textId="77777777" w:rsidR="004873C1" w:rsidRDefault="004873C1">
      <w:pPr>
        <w:spacing w:after="120" w:line="360" w:lineRule="auto"/>
        <w:jc w:val="both"/>
        <w:rPr>
          <w:rFonts w:ascii="FrankRuehl" w:hAnsi="FrankRuehl" w:cs="FrankRuehl"/>
          <w:b/>
          <w:bCs/>
          <w:color w:val="000000"/>
          <w:sz w:val="28"/>
          <w:szCs w:val="28"/>
          <w:rtl/>
        </w:rPr>
      </w:pPr>
    </w:p>
    <w:p w14:paraId="718AE794" w14:textId="77777777" w:rsidR="004873C1" w:rsidRDefault="00C50120">
      <w:pPr>
        <w:spacing w:after="12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ab/>
        <w:t>בכל הנוגע לסיבה שהובילה את הנאשם לביצוע העבירות - מהתסקיר עולה כי הנאשם טען לפני שירות המבחן כי התכוון לסייע לשוטר הסמוי שסיפר לו כי אמו החולה זקוקה לסם, וכן טען כי לא הפיק רווח כספי מביצוע העסקאות. טענות אלה - הדורשות הוֹכחה - חורגות מגדר עובדות כתב-האישום המתוקן בהן הודה הנאשם. מכל מקום, לא יכול להיות חולק כי הנאשם קיבל את מלוא התמורה הכספית לידיו (אף אם לאחר מכן העבירהּ לאחר) והוא אשר ביצע את העסקאות פעם אחר פעם מול השוטר הסמוי, תוך שהוא מצליח להשיג כל פעם סם בכמות שאינה מועטה כדי למכור לשוטר. אוסיף כי אופן התנהגותו והתבטאויותיו של הנאשם כמתואר בעובדות שני האישומים נשוא כתב-האישום המתוקן, אינם מתיישבים עם התנהלות תמימה של אדם שאינו בקיא בעולם הסמים. גם דברי הנאשם לשוטר הסמוי באישום הראשון שיגיד ל"בנאדם" ש"יטעם", אינה מתיישבת לכאורה עם גרסת האם החולה כפי שנמסרה לשירות המבחן.</w:t>
      </w:r>
    </w:p>
    <w:p w14:paraId="78E31A77" w14:textId="77777777" w:rsidR="004873C1" w:rsidRDefault="004873C1">
      <w:pPr>
        <w:spacing w:after="120" w:line="360" w:lineRule="auto"/>
        <w:jc w:val="both"/>
        <w:rPr>
          <w:rFonts w:ascii="FrankRuehl" w:hAnsi="FrankRuehl" w:cs="FrankRuehl"/>
          <w:b/>
          <w:bCs/>
          <w:color w:val="000000"/>
          <w:sz w:val="28"/>
          <w:szCs w:val="28"/>
          <w:rtl/>
        </w:rPr>
      </w:pPr>
    </w:p>
    <w:p w14:paraId="3B7B3141" w14:textId="77777777" w:rsidR="004873C1" w:rsidRDefault="00C50120">
      <w:pPr>
        <w:spacing w:after="120" w:line="360" w:lineRule="auto"/>
        <w:jc w:val="both"/>
        <w:rPr>
          <w:rFonts w:ascii="Calibri" w:hAnsi="Calibri" w:cs="FrankRuehl"/>
          <w:sz w:val="28"/>
          <w:szCs w:val="28"/>
          <w:rtl/>
        </w:rPr>
      </w:pPr>
      <w:r>
        <w:rPr>
          <w:rFonts w:ascii="Calibri" w:hAnsi="Calibri" w:cs="FrankRuehl" w:hint="cs"/>
          <w:sz w:val="28"/>
          <w:szCs w:val="28"/>
          <w:rtl/>
        </w:rPr>
        <w:t>11.</w:t>
      </w:r>
      <w:r>
        <w:rPr>
          <w:rFonts w:ascii="Calibri" w:hAnsi="Calibri" w:cs="FrankRuehl" w:hint="cs"/>
          <w:sz w:val="28"/>
          <w:szCs w:val="28"/>
          <w:rtl/>
        </w:rPr>
        <w:tab/>
        <w:t xml:space="preserve">בחינת </w:t>
      </w:r>
      <w:r>
        <w:rPr>
          <w:rFonts w:ascii="Calibri" w:hAnsi="Calibri" w:cs="FrankRuehl" w:hint="cs"/>
          <w:b/>
          <w:bCs/>
          <w:sz w:val="28"/>
          <w:szCs w:val="28"/>
          <w:rtl/>
        </w:rPr>
        <w:t>הענישה הנוהגת</w:t>
      </w:r>
      <w:r>
        <w:rPr>
          <w:rFonts w:ascii="Calibri" w:hAnsi="Calibri" w:cs="FrankRuehl" w:hint="cs"/>
          <w:sz w:val="28"/>
          <w:szCs w:val="28"/>
          <w:rtl/>
        </w:rPr>
        <w:t xml:space="preserve"> מעלה כי בגין עבירות של סחר בסמים בנסיבות הדומות למקרה שלפניי, נוהגים בתי המשפט להטיל עונשי מאסר בפועל ממשיים לריצוי מאחורי סורג ובריח (ראו והשוו: ע"פ (מחוזי י-ם) </w:t>
      </w:r>
      <w:hyperlink r:id="rId27" w:history="1">
        <w:r w:rsidR="005D6FC5" w:rsidRPr="005D6FC5">
          <w:rPr>
            <w:rFonts w:ascii="Calibri" w:hAnsi="Calibri" w:cs="FrankRuehl"/>
            <w:color w:val="0000FF"/>
            <w:sz w:val="28"/>
            <w:szCs w:val="28"/>
            <w:u w:val="single"/>
            <w:rtl/>
          </w:rPr>
          <w:t>13299-02-14</w:t>
        </w:r>
      </w:hyperlink>
      <w:r>
        <w:rPr>
          <w:rFonts w:ascii="Calibri" w:hAnsi="Calibri" w:cs="FrankRuehl" w:hint="cs"/>
          <w:sz w:val="28"/>
          <w:szCs w:val="28"/>
          <w:rtl/>
        </w:rPr>
        <w:t xml:space="preserve"> </w:t>
      </w:r>
      <w:r>
        <w:rPr>
          <w:rFonts w:ascii="Calibri" w:hAnsi="Calibri" w:cs="Miriam" w:hint="cs"/>
          <w:rtl/>
        </w:rPr>
        <w:t>מדינת ישראל נ' שמביק</w:t>
      </w:r>
      <w:r>
        <w:rPr>
          <w:rFonts w:ascii="Calibri" w:hAnsi="Calibri" w:cs="FrankRuehl" w:hint="cs"/>
          <w:sz w:val="28"/>
          <w:szCs w:val="28"/>
          <w:rtl/>
        </w:rPr>
        <w:t xml:space="preserve"> (מיום 10.4.2014)). </w:t>
      </w:r>
    </w:p>
    <w:p w14:paraId="001D655B" w14:textId="77777777" w:rsidR="004873C1" w:rsidRDefault="004873C1">
      <w:pPr>
        <w:spacing w:after="120" w:line="360" w:lineRule="auto"/>
        <w:jc w:val="both"/>
        <w:rPr>
          <w:rFonts w:cs="FrankRuehl"/>
          <w:sz w:val="28"/>
          <w:szCs w:val="28"/>
          <w:rtl/>
        </w:rPr>
      </w:pPr>
    </w:p>
    <w:p w14:paraId="02C60644" w14:textId="77777777" w:rsidR="004873C1" w:rsidRDefault="00C50120">
      <w:pPr>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t>בהתחשב בעקרון המנחה של ההלימה; בשים לב לפגיעה בערכים המוגנים; בהתחשב בחומרת המעשים ונסיבות ביצועם; ובהתחשב במדיניות הענישה הנוהגת; אני סבורה כי מתחמי הענישה ההולמת במקרה שלפניי הינם כדלקמן:</w:t>
      </w:r>
    </w:p>
    <w:p w14:paraId="01EB06A5" w14:textId="77777777" w:rsidR="004873C1" w:rsidRDefault="004873C1">
      <w:pPr>
        <w:spacing w:after="120" w:line="360" w:lineRule="auto"/>
        <w:jc w:val="both"/>
        <w:rPr>
          <w:rFonts w:cs="FrankRuehl"/>
          <w:b/>
          <w:bCs/>
          <w:sz w:val="28"/>
          <w:szCs w:val="28"/>
          <w:rtl/>
        </w:rPr>
      </w:pPr>
    </w:p>
    <w:p w14:paraId="306AA2AD" w14:textId="77777777" w:rsidR="004873C1" w:rsidRDefault="00C50120">
      <w:pPr>
        <w:spacing w:after="120" w:line="360" w:lineRule="auto"/>
        <w:ind w:firstLine="720"/>
        <w:jc w:val="both"/>
        <w:rPr>
          <w:rFonts w:cs="FrankRuehl"/>
          <w:sz w:val="28"/>
          <w:szCs w:val="28"/>
          <w:rtl/>
        </w:rPr>
      </w:pPr>
      <w:r>
        <w:rPr>
          <w:rFonts w:cs="FrankRuehl" w:hint="cs"/>
          <w:b/>
          <w:bCs/>
          <w:sz w:val="28"/>
          <w:szCs w:val="28"/>
          <w:rtl/>
        </w:rPr>
        <w:t>בהתאם ל"מבחן הצורני-עובדתי" (לפיו עסקינן בשני "אירועים")</w:t>
      </w:r>
      <w:r>
        <w:rPr>
          <w:rFonts w:cs="FrankRuehl" w:hint="cs"/>
          <w:sz w:val="28"/>
          <w:szCs w:val="28"/>
          <w:rtl/>
        </w:rPr>
        <w:t>:</w:t>
      </w:r>
    </w:p>
    <w:p w14:paraId="05EF8A06" w14:textId="77777777" w:rsidR="004873C1" w:rsidRDefault="00C50120">
      <w:pPr>
        <w:spacing w:after="120" w:line="360" w:lineRule="auto"/>
        <w:ind w:firstLine="720"/>
        <w:jc w:val="both"/>
        <w:rPr>
          <w:rFonts w:cs="FrankRuehl"/>
          <w:sz w:val="28"/>
          <w:szCs w:val="28"/>
          <w:rtl/>
        </w:rPr>
      </w:pPr>
      <w:r>
        <w:rPr>
          <w:rFonts w:cs="FrankRuehl" w:hint="cs"/>
          <w:sz w:val="28"/>
          <w:szCs w:val="28"/>
          <w:rtl/>
        </w:rPr>
        <w:t xml:space="preserve">מתחם העונש ההולם בגין עבירה של סחר בסמים נשוא האישום השני לכתב-האישום המתוקן (סחר בחשיש במשקל של כ- </w:t>
      </w:r>
      <w:smartTag w:uri="urn:schemas-microsoft-com:office:smarttags" w:element="metricconverter">
        <w:smartTagPr>
          <w:attr w:name="ProductID" w:val="45 גרם"/>
        </w:smartTagPr>
        <w:r>
          <w:rPr>
            <w:rFonts w:cs="FrankRuehl" w:hint="cs"/>
            <w:sz w:val="28"/>
            <w:szCs w:val="28"/>
            <w:rtl/>
          </w:rPr>
          <w:t>45 גרם</w:t>
        </w:r>
      </w:smartTag>
      <w:r>
        <w:rPr>
          <w:rFonts w:cs="FrankRuehl" w:hint="cs"/>
          <w:sz w:val="28"/>
          <w:szCs w:val="28"/>
          <w:rtl/>
        </w:rPr>
        <w:t xml:space="preserve"> נטו תמורת 1,150 ₪), נע ממספר בודד של חודשי מאסר בפועל ועד 15 חודשי מאסר בפועל.</w:t>
      </w:r>
    </w:p>
    <w:p w14:paraId="518EC8BB" w14:textId="77777777" w:rsidR="004873C1" w:rsidRDefault="004873C1">
      <w:pPr>
        <w:spacing w:after="120" w:line="360" w:lineRule="auto"/>
        <w:jc w:val="both"/>
        <w:rPr>
          <w:rFonts w:cs="FrankRuehl"/>
          <w:sz w:val="28"/>
          <w:szCs w:val="28"/>
          <w:rtl/>
        </w:rPr>
      </w:pPr>
    </w:p>
    <w:p w14:paraId="6DB78722" w14:textId="77777777" w:rsidR="004873C1" w:rsidRDefault="00C50120">
      <w:pPr>
        <w:spacing w:after="120" w:line="360" w:lineRule="auto"/>
        <w:ind w:firstLine="720"/>
        <w:jc w:val="both"/>
        <w:rPr>
          <w:rFonts w:cs="FrankRuehl"/>
          <w:sz w:val="28"/>
          <w:szCs w:val="28"/>
          <w:rtl/>
        </w:rPr>
      </w:pPr>
      <w:r>
        <w:rPr>
          <w:rFonts w:cs="FrankRuehl" w:hint="cs"/>
          <w:sz w:val="28"/>
          <w:szCs w:val="28"/>
          <w:rtl/>
        </w:rPr>
        <w:t xml:space="preserve">מתחם העונש ההולם בגין עבירה של סחר בסמים נשוא האישום השלישי לכתב-האישום המתוקן (סחר בחשיש במשקל של מעל </w:t>
      </w:r>
      <w:smartTag w:uri="urn:schemas-microsoft-com:office:smarttags" w:element="metricconverter">
        <w:smartTagPr>
          <w:attr w:name="ProductID" w:val="90 גרם"/>
        </w:smartTagPr>
        <w:r>
          <w:rPr>
            <w:rFonts w:cs="FrankRuehl" w:hint="cs"/>
            <w:sz w:val="28"/>
            <w:szCs w:val="28"/>
            <w:rtl/>
          </w:rPr>
          <w:t>90 גרם</w:t>
        </w:r>
      </w:smartTag>
      <w:r>
        <w:rPr>
          <w:rFonts w:cs="FrankRuehl" w:hint="cs"/>
          <w:sz w:val="28"/>
          <w:szCs w:val="28"/>
          <w:rtl/>
        </w:rPr>
        <w:t xml:space="preserve"> נטו תמורת 2,500 ₪), נע ממספר בודד של חודשי מאסר בפועל ועד 18 חודשי מאסר בפועל.</w:t>
      </w:r>
    </w:p>
    <w:p w14:paraId="34C819BD" w14:textId="77777777" w:rsidR="004873C1" w:rsidRDefault="004873C1">
      <w:pPr>
        <w:spacing w:after="120" w:line="360" w:lineRule="auto"/>
        <w:jc w:val="both"/>
        <w:rPr>
          <w:rFonts w:cs="FrankRuehl"/>
          <w:sz w:val="28"/>
          <w:szCs w:val="28"/>
          <w:rtl/>
        </w:rPr>
      </w:pPr>
    </w:p>
    <w:p w14:paraId="7B904132" w14:textId="77777777" w:rsidR="004873C1" w:rsidRDefault="00C50120">
      <w:pPr>
        <w:spacing w:after="120" w:line="360" w:lineRule="auto"/>
        <w:ind w:firstLine="720"/>
        <w:jc w:val="both"/>
        <w:rPr>
          <w:rFonts w:cs="FrankRuehl"/>
          <w:sz w:val="28"/>
          <w:szCs w:val="28"/>
          <w:rtl/>
        </w:rPr>
      </w:pPr>
      <w:r>
        <w:rPr>
          <w:rFonts w:cs="FrankRuehl" w:hint="cs"/>
          <w:b/>
          <w:bCs/>
          <w:sz w:val="28"/>
          <w:szCs w:val="28"/>
          <w:rtl/>
        </w:rPr>
        <w:t>בהתאם ל"מבחן הקשר ההדוק" (לפיו עסקינן ב"אירוע" אחד הכולל "מספר מעשים")</w:t>
      </w:r>
      <w:r>
        <w:rPr>
          <w:rFonts w:cs="FrankRuehl" w:hint="cs"/>
          <w:sz w:val="28"/>
          <w:szCs w:val="28"/>
          <w:rtl/>
        </w:rPr>
        <w:t>:</w:t>
      </w:r>
    </w:p>
    <w:p w14:paraId="68221DB0" w14:textId="77777777" w:rsidR="004873C1" w:rsidRDefault="00C50120">
      <w:pPr>
        <w:spacing w:after="120" w:line="360" w:lineRule="auto"/>
        <w:ind w:firstLine="720"/>
        <w:jc w:val="both"/>
        <w:rPr>
          <w:rFonts w:cs="FrankRuehl"/>
          <w:sz w:val="28"/>
          <w:szCs w:val="28"/>
          <w:rtl/>
        </w:rPr>
      </w:pPr>
      <w:r>
        <w:rPr>
          <w:rFonts w:cs="FrankRuehl" w:hint="cs"/>
          <w:sz w:val="28"/>
          <w:szCs w:val="28"/>
          <w:rtl/>
        </w:rPr>
        <w:t xml:space="preserve">מתחם העונש ההולם נע מממספר חד-ספרתי גבוה של חודשי מאסר בפועל ועד 28 חודשי מאסר בפועל.  </w:t>
      </w:r>
    </w:p>
    <w:p w14:paraId="7FD9D2F5" w14:textId="77777777" w:rsidR="004873C1" w:rsidRDefault="004873C1">
      <w:pPr>
        <w:spacing w:after="120" w:line="360" w:lineRule="auto"/>
        <w:jc w:val="both"/>
        <w:rPr>
          <w:rtl/>
        </w:rPr>
      </w:pPr>
    </w:p>
    <w:p w14:paraId="627F0207" w14:textId="77777777" w:rsidR="004873C1" w:rsidRDefault="00C50120">
      <w:pPr>
        <w:spacing w:after="120" w:line="360" w:lineRule="auto"/>
        <w:jc w:val="both"/>
        <w:rPr>
          <w:rtl/>
        </w:rPr>
      </w:pPr>
      <w:r>
        <w:rPr>
          <w:rFonts w:cs="FrankRuehl" w:hint="cs"/>
          <w:sz w:val="28"/>
          <w:szCs w:val="28"/>
          <w:u w:val="single"/>
          <w:rtl/>
        </w:rPr>
        <w:t>חריגה לקולא ממתחמי הענישה ההולמת?</w:t>
      </w:r>
    </w:p>
    <w:p w14:paraId="3D7DBEA7" w14:textId="77777777" w:rsidR="004873C1" w:rsidRDefault="00C50120">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הסנגור עתר לאמץ את המלצת שירות המבחן ולהסתפק בעונש מאסר בפועל לריצוי בדרך של עבודות שירות. משמעות הדבר היא סטייה לקולא ממתחמי הענישה ההולמת כפי שנקבעו לעיל. דא עקא, בהתאם לאמות-המידה הקבועות </w:t>
      </w:r>
      <w:hyperlink r:id="rId28" w:history="1">
        <w:r w:rsidR="00A04462" w:rsidRPr="00A04462">
          <w:rPr>
            <w:rStyle w:val="Hyperlink"/>
            <w:rFonts w:cs="FrankRuehl" w:hint="eastAsia"/>
            <w:sz w:val="28"/>
            <w:szCs w:val="28"/>
            <w:rtl/>
          </w:rPr>
          <w:t>בסעיף</w:t>
        </w:r>
        <w:r w:rsidR="00A04462" w:rsidRPr="00A04462">
          <w:rPr>
            <w:rStyle w:val="Hyperlink"/>
            <w:rFonts w:cs="FrankRuehl"/>
            <w:sz w:val="28"/>
            <w:szCs w:val="28"/>
            <w:rtl/>
          </w:rPr>
          <w:t xml:space="preserve"> 40ד(א)</w:t>
        </w:r>
      </w:hyperlink>
      <w:r>
        <w:rPr>
          <w:rFonts w:cs="FrankRuehl" w:hint="cs"/>
          <w:sz w:val="28"/>
          <w:szCs w:val="28"/>
          <w:rtl/>
        </w:rPr>
        <w:t xml:space="preserve"> ל</w:t>
      </w:r>
      <w:hyperlink r:id="rId29" w:history="1">
        <w:r w:rsidRPr="00C50120">
          <w:rPr>
            <w:rFonts w:cs="FrankRuehl"/>
            <w:color w:val="0000FF"/>
            <w:sz w:val="28"/>
            <w:szCs w:val="28"/>
            <w:u w:val="single"/>
            <w:rtl/>
          </w:rPr>
          <w:t>חוק העונשין</w:t>
        </w:r>
      </w:hyperlink>
      <w:r>
        <w:rPr>
          <w:rFonts w:cs="FrankRuehl" w:hint="cs"/>
          <w:sz w:val="28"/>
          <w:szCs w:val="28"/>
          <w:rtl/>
        </w:rPr>
        <w:t xml:space="preserve">, אינני סבורה כי במקרה דנן מתקיימת הצדקה לחריגה מהמתחם משיקולי שיקום. </w:t>
      </w:r>
    </w:p>
    <w:p w14:paraId="1C07ED07" w14:textId="77777777" w:rsidR="004873C1" w:rsidRDefault="004873C1">
      <w:pPr>
        <w:spacing w:after="120" w:line="360" w:lineRule="auto"/>
        <w:jc w:val="both"/>
        <w:rPr>
          <w:rFonts w:cs="FrankRuehl"/>
          <w:sz w:val="28"/>
          <w:szCs w:val="28"/>
          <w:rtl/>
        </w:rPr>
      </w:pPr>
    </w:p>
    <w:p w14:paraId="771CEFA5" w14:textId="77777777" w:rsidR="004873C1" w:rsidRDefault="00C50120">
      <w:pPr>
        <w:spacing w:after="120" w:line="360" w:lineRule="auto"/>
        <w:jc w:val="both"/>
        <w:rPr>
          <w:rFonts w:cs="FrankRuehl"/>
          <w:sz w:val="28"/>
          <w:szCs w:val="28"/>
          <w:rtl/>
        </w:rPr>
      </w:pPr>
      <w:r>
        <w:rPr>
          <w:rFonts w:cs="FrankRuehl" w:hint="cs"/>
          <w:sz w:val="28"/>
          <w:szCs w:val="28"/>
          <w:rtl/>
        </w:rPr>
        <w:tab/>
        <w:t xml:space="preserve">אמת, הנאשם שלפניי נעדר עבר פלילי. למעט מעורבותו בביצוע העבירות הנדונות, ניהל הנאשם אורח חיים נורמטיבי ותקין. הנאשם שוחרר למעצר בית במסגרת הליך המעצר עד תום ההליכים בעניינו, ובהמשך אף אושרה יציאתו לעבודה והוסרו מרבית התנאים המגבילים. בתקופה הנדונה הנאשם לא הפר את תנאי מעצרו ופעל לפרנסתו ולפרנסת בני משפחתו. כמו-כן, הנאשם נטל אחריות למיוחס לו בכתב-האישום המתוקן, הביע חרטה וכן הביע רצון להוסיף ולצעוד במסלול חיים נורמטיבי. אני סבורה כי לכל אלה ראוי ליתן משקל במסגרת גזירת עונשו של הנאשם בגדרי המתחם. עם זאת, אינני סבורה כי די בכך כדי להצדיק חריגה ממתחמי הענישה ההולמת עד כדי הסתפקות בעבודות שירות. בית-המשפט העליון עמד בפסיקתו על כך שבכל הנוגע לעבירות סחר בסמים, העדר עבר פלילי וניהול חיים נורמטיביים אין די בהם כדי להצדיק חריגה מהותית ממדיניות הענישה הנוהגת, שכן יש ליתן משקל בכורה לשיקולים הציבוריים, ומשקל מצומצם יחסית לנסיבותיו האישיות של העבריין (ראו: </w:t>
      </w:r>
      <w:hyperlink r:id="rId30" w:history="1">
        <w:r w:rsidRPr="00C50120">
          <w:rPr>
            <w:rFonts w:cs="FrankRuehl"/>
            <w:color w:val="0000FF"/>
            <w:sz w:val="28"/>
            <w:szCs w:val="28"/>
            <w:u w:val="single"/>
            <w:rtl/>
          </w:rPr>
          <w:t>ע"פ 3820/09</w:t>
        </w:r>
      </w:hyperlink>
      <w:r>
        <w:rPr>
          <w:rFonts w:cs="FrankRuehl" w:hint="cs"/>
          <w:sz w:val="28"/>
          <w:szCs w:val="28"/>
          <w:rtl/>
        </w:rPr>
        <w:t xml:space="preserve"> </w:t>
      </w:r>
      <w:r>
        <w:rPr>
          <w:rFonts w:cs="Miriam" w:hint="cs"/>
          <w:rtl/>
        </w:rPr>
        <w:t>מדינת ישראל נ' אוחיון</w:t>
      </w:r>
      <w:r>
        <w:rPr>
          <w:rFonts w:cs="FrankRuehl" w:hint="cs"/>
          <w:sz w:val="28"/>
          <w:szCs w:val="28"/>
          <w:rtl/>
        </w:rPr>
        <w:t xml:space="preserve"> (6.9.2009)). בלא להתעלם ממכלול הנסיבות לקולא, אני סבורה כי הטלת עונש מאסר בפועל לריצוי בדרך של עבודות שירות על הנאשם בגין הרשעתו בעבירות הנדונות, תחטא באופן בלתי מידתי לשיקולי ההלימה וההרתעה, ותפגע יתר על המידה באינטרס הציבורי המחייב העברת מסר ברור ובלתי מתפשר כנגד ביצוע עבירות של סחר בסם מסוכן, בוודאי בכמויות הסם ובתמורה הכספית בהן מדובר בתיק זה. השיקולים לקולא - לרבות הנתונים האישיים וצרכי השיקום - יכולים וצריכים להשפיע על מידת העונש שיוטל על הנאשם, אולם אין בכוחם למנוע הטלת עונש מאסר בפועל ממשי לריצוי מאחורי סורג ובריח. </w:t>
      </w:r>
    </w:p>
    <w:p w14:paraId="2C227F6F" w14:textId="77777777" w:rsidR="004873C1" w:rsidRDefault="004873C1">
      <w:pPr>
        <w:spacing w:after="120" w:line="360" w:lineRule="auto"/>
        <w:jc w:val="both"/>
        <w:rPr>
          <w:rFonts w:cs="FrankRuehl"/>
          <w:sz w:val="28"/>
          <w:szCs w:val="28"/>
          <w:rtl/>
        </w:rPr>
      </w:pPr>
    </w:p>
    <w:p w14:paraId="427F8DC8" w14:textId="77777777" w:rsidR="004873C1" w:rsidRDefault="00C50120">
      <w:pPr>
        <w:spacing w:after="120" w:line="360" w:lineRule="auto"/>
        <w:ind w:firstLine="720"/>
        <w:jc w:val="both"/>
        <w:rPr>
          <w:rFonts w:cs="FrankRuehl"/>
          <w:sz w:val="28"/>
          <w:szCs w:val="28"/>
          <w:rtl/>
        </w:rPr>
      </w:pPr>
      <w:r>
        <w:rPr>
          <w:rFonts w:cs="FrankRuehl" w:hint="cs"/>
          <w:sz w:val="28"/>
          <w:szCs w:val="28"/>
          <w:rtl/>
        </w:rPr>
        <w:t xml:space="preserve">בהמשך לדברים אלה, אזכיר כי המלצת שירות המבחן (שציין במפורש כי התלבט בהמלצתו), אינה מחייבת את בית-המשפט. בעוד ששירות המבחן שם לנגד עיניו באופן מובהק את שיקולי השיקום, משקיף בית-המשפט על מלאכת גזירת העונש מנקודת מבט רחבה יותר, ונותן משקל לצד שיקולי השיקום גם לשיקולי ענישה נוספים ובהם הלימה, גמול והרתעת עבריינים אקטואליים ופוטנציאליים. </w:t>
      </w:r>
    </w:p>
    <w:p w14:paraId="326EFDEF" w14:textId="77777777" w:rsidR="004873C1" w:rsidRDefault="004873C1">
      <w:pPr>
        <w:spacing w:after="120" w:line="360" w:lineRule="auto"/>
        <w:jc w:val="both"/>
        <w:rPr>
          <w:rFonts w:cs="FrankRuehl"/>
          <w:sz w:val="28"/>
          <w:szCs w:val="28"/>
          <w:u w:val="single"/>
          <w:rtl/>
        </w:rPr>
      </w:pPr>
    </w:p>
    <w:p w14:paraId="67109037" w14:textId="77777777" w:rsidR="004873C1" w:rsidRDefault="00C50120">
      <w:pPr>
        <w:spacing w:after="120" w:line="360" w:lineRule="auto"/>
        <w:jc w:val="both"/>
        <w:rPr>
          <w:rtl/>
        </w:rPr>
      </w:pPr>
      <w:r>
        <w:rPr>
          <w:rFonts w:cs="FrankRuehl" w:hint="cs"/>
          <w:sz w:val="28"/>
          <w:szCs w:val="28"/>
          <w:u w:val="single"/>
          <w:rtl/>
        </w:rPr>
        <w:t>גזירת העונש המתאים בגדרי מתחמי הענישה ההולמת</w:t>
      </w:r>
    </w:p>
    <w:p w14:paraId="01797862" w14:textId="77777777" w:rsidR="004873C1" w:rsidRDefault="00C50120">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לצורך גזירת העונש בגדרי המתחמים שקבעתי, יש להתחשב בנסיבות שאינן קשורות בביצוע העבירות כאמוּר </w:t>
      </w:r>
      <w:hyperlink r:id="rId31" w:history="1">
        <w:r w:rsidR="00A04462" w:rsidRPr="00A04462">
          <w:rPr>
            <w:rStyle w:val="Hyperlink"/>
            <w:rFonts w:cs="FrankRuehl" w:hint="eastAsia"/>
            <w:sz w:val="28"/>
            <w:szCs w:val="28"/>
            <w:rtl/>
          </w:rPr>
          <w:t>בסעיף</w:t>
        </w:r>
        <w:r w:rsidR="00A04462" w:rsidRPr="00A04462">
          <w:rPr>
            <w:rStyle w:val="Hyperlink"/>
            <w:rFonts w:cs="FrankRuehl"/>
            <w:sz w:val="28"/>
            <w:szCs w:val="28"/>
            <w:rtl/>
          </w:rPr>
          <w:t xml:space="preserve"> 40יא</w:t>
        </w:r>
      </w:hyperlink>
      <w:r>
        <w:rPr>
          <w:rFonts w:cs="FrankRuehl" w:hint="cs"/>
          <w:sz w:val="28"/>
          <w:szCs w:val="28"/>
          <w:rtl/>
        </w:rPr>
        <w:t xml:space="preserve"> ל</w:t>
      </w:r>
      <w:hyperlink r:id="rId32" w:history="1">
        <w:r w:rsidRPr="00C50120">
          <w:rPr>
            <w:rFonts w:cs="FrankRuehl"/>
            <w:color w:val="0000FF"/>
            <w:sz w:val="28"/>
            <w:szCs w:val="28"/>
            <w:u w:val="single"/>
            <w:rtl/>
          </w:rPr>
          <w:t>חוק העונשין</w:t>
        </w:r>
      </w:hyperlink>
      <w:r>
        <w:rPr>
          <w:rFonts w:cs="FrankRuehl" w:hint="cs"/>
          <w:sz w:val="28"/>
          <w:szCs w:val="28"/>
          <w:rtl/>
        </w:rPr>
        <w:t>:</w:t>
      </w:r>
      <w:r>
        <w:rPr>
          <w:rFonts w:cs="FrankRuehl" w:hint="cs"/>
          <w:b/>
          <w:bCs/>
          <w:sz w:val="28"/>
          <w:szCs w:val="28"/>
          <w:rtl/>
        </w:rPr>
        <w:t xml:space="preserve"> לחובת הנאשם</w:t>
      </w:r>
      <w:r>
        <w:rPr>
          <w:rFonts w:cs="FrankRuehl" w:hint="cs"/>
          <w:sz w:val="28"/>
          <w:szCs w:val="28"/>
          <w:rtl/>
        </w:rPr>
        <w:t xml:space="preserve"> נזקפת חוּמרת העבירות והצורך להרתיע את היחיד ואת הרבים בגינן כמפורט לעיל. </w:t>
      </w:r>
    </w:p>
    <w:p w14:paraId="2C0BF862" w14:textId="77777777" w:rsidR="004873C1" w:rsidRDefault="004873C1">
      <w:pPr>
        <w:spacing w:after="120" w:line="360" w:lineRule="auto"/>
        <w:ind w:firstLine="720"/>
        <w:jc w:val="both"/>
        <w:rPr>
          <w:rFonts w:cs="FrankRuehl"/>
          <w:b/>
          <w:bCs/>
          <w:sz w:val="28"/>
          <w:szCs w:val="28"/>
          <w:rtl/>
        </w:rPr>
      </w:pPr>
    </w:p>
    <w:p w14:paraId="62448498" w14:textId="77777777" w:rsidR="004873C1" w:rsidRDefault="00C50120">
      <w:pPr>
        <w:spacing w:after="120" w:line="360" w:lineRule="auto"/>
        <w:ind w:firstLine="720"/>
        <w:jc w:val="both"/>
        <w:rPr>
          <w:rFonts w:cs="FrankRuehl"/>
          <w:sz w:val="28"/>
          <w:szCs w:val="28"/>
          <w:rtl/>
        </w:rPr>
      </w:pPr>
      <w:r>
        <w:rPr>
          <w:rFonts w:cs="FrankRuehl" w:hint="cs"/>
          <w:b/>
          <w:bCs/>
          <w:sz w:val="28"/>
          <w:szCs w:val="28"/>
          <w:rtl/>
        </w:rPr>
        <w:t>לקולא</w:t>
      </w:r>
      <w:r>
        <w:rPr>
          <w:rFonts w:cs="FrankRuehl" w:hint="cs"/>
          <w:sz w:val="28"/>
          <w:szCs w:val="28"/>
          <w:rtl/>
        </w:rPr>
        <w:t>, שקלתי את הודאת הנאשם בעובדות כתב-האישום המתוקן ואת נטילת האחריות מצדו. כמו-כן, ניתן משקל לכך שהנאשם נעדר הרשעות קודמות. בנוסף, ניתן משקל לנסיבותיו האישיות של הנאשם כפי שעלו מתסקיר שירות המבחן ומטיעוני הסנגור לפניי, לרבות מצבו המשפחתי של הנאשם שהנו נשוי ואב לשלושה ילדים המפרנס את משפחתו. עוד ניתן משקל לכך שהנאשם היה עצור מאחורי סורג ובריח כחודש ימים, וכן לכך ששהה בתנאים מגבילים תקופה ארוכה במסגרת הליכי המעצר בתיק דנן.</w:t>
      </w:r>
    </w:p>
    <w:p w14:paraId="799F9B03" w14:textId="77777777" w:rsidR="004873C1" w:rsidRDefault="004873C1">
      <w:pPr>
        <w:spacing w:after="120" w:line="360" w:lineRule="auto"/>
        <w:jc w:val="both"/>
        <w:rPr>
          <w:rFonts w:cs="FrankRuehl"/>
          <w:sz w:val="28"/>
          <w:szCs w:val="28"/>
          <w:rtl/>
        </w:rPr>
      </w:pPr>
    </w:p>
    <w:p w14:paraId="7B0AB7E0" w14:textId="77777777" w:rsidR="004873C1" w:rsidRDefault="00C50120">
      <w:pPr>
        <w:spacing w:after="120" w:line="360" w:lineRule="auto"/>
        <w:jc w:val="both"/>
        <w:rPr>
          <w:rtl/>
        </w:rPr>
      </w:pPr>
      <w:r>
        <w:rPr>
          <w:rFonts w:cs="FrankRuehl" w:hint="cs"/>
          <w:sz w:val="28"/>
          <w:szCs w:val="28"/>
          <w:rtl/>
        </w:rPr>
        <w:t>15.</w:t>
      </w:r>
      <w:r>
        <w:rPr>
          <w:rFonts w:cs="FrankRuehl" w:hint="cs"/>
          <w:sz w:val="28"/>
          <w:szCs w:val="28"/>
          <w:rtl/>
        </w:rPr>
        <w:tab/>
        <w:t xml:space="preserve">באיזון בין מכלול השיקולים, אני סבורה כי יש למקם את עונשו של הנאשם ברף </w:t>
      </w:r>
      <w:r>
        <w:rPr>
          <w:rFonts w:cs="FrankRuehl" w:hint="cs"/>
          <w:sz w:val="28"/>
          <w:szCs w:val="28"/>
          <w:u w:val="single"/>
          <w:rtl/>
        </w:rPr>
        <w:t>הנמוך</w:t>
      </w:r>
      <w:r>
        <w:rPr>
          <w:rFonts w:cs="FrankRuehl" w:hint="cs"/>
          <w:sz w:val="28"/>
          <w:szCs w:val="28"/>
          <w:rtl/>
        </w:rPr>
        <w:t xml:space="preserve"> של מתחמי הענישה ההולמת. זאת ועוד; נוכח השיקולים לקולא והטלת עונש מאסר בפועל לריצוי ממש, נמנעתי מלהוסיף רכיב עונשי כספי. כמו כן, עיינתי בעובדות כתב-האישום המתוקן ולא נטען שם שהנאשם נהג במי מהרכבים. לכן אינני רואה להורות על עונשי פסילה כמבוקש על-ידי המאשימה. </w:t>
      </w:r>
    </w:p>
    <w:p w14:paraId="653CFAE4" w14:textId="77777777" w:rsidR="004873C1" w:rsidRDefault="004873C1">
      <w:pPr>
        <w:spacing w:after="120" w:line="360" w:lineRule="auto"/>
        <w:jc w:val="both"/>
        <w:rPr>
          <w:rFonts w:cs="FrankRuehl"/>
          <w:sz w:val="28"/>
          <w:szCs w:val="28"/>
          <w:u w:val="single"/>
          <w:rtl/>
        </w:rPr>
      </w:pPr>
    </w:p>
    <w:p w14:paraId="6F71FA08" w14:textId="77777777" w:rsidR="004873C1" w:rsidRDefault="00C50120">
      <w:pPr>
        <w:spacing w:after="120" w:line="360" w:lineRule="auto"/>
        <w:jc w:val="both"/>
        <w:rPr>
          <w:rtl/>
        </w:rPr>
      </w:pPr>
      <w:r>
        <w:rPr>
          <w:rFonts w:cs="FrankRuehl" w:hint="cs"/>
          <w:sz w:val="28"/>
          <w:szCs w:val="28"/>
          <w:u w:val="single"/>
          <w:rtl/>
        </w:rPr>
        <w:t>סוף דבר</w:t>
      </w:r>
    </w:p>
    <w:p w14:paraId="0291F2C1" w14:textId="77777777" w:rsidR="004873C1" w:rsidRDefault="00C50120">
      <w:pPr>
        <w:spacing w:after="120" w:line="360" w:lineRule="auto"/>
        <w:jc w:val="both"/>
        <w:rPr>
          <w:rtl/>
        </w:rPr>
      </w:pPr>
      <w:r>
        <w:rPr>
          <w:rFonts w:cs="FrankRuehl" w:hint="cs"/>
          <w:sz w:val="28"/>
          <w:szCs w:val="28"/>
          <w:rtl/>
        </w:rPr>
        <w:t>16.</w:t>
      </w:r>
      <w:r>
        <w:rPr>
          <w:rFonts w:cs="FrankRuehl" w:hint="cs"/>
          <w:sz w:val="28"/>
          <w:szCs w:val="28"/>
          <w:rtl/>
        </w:rPr>
        <w:tab/>
        <w:t>אני גוזרת על הנאשם כדלקמן:</w:t>
      </w:r>
    </w:p>
    <w:p w14:paraId="341A94AE" w14:textId="77777777" w:rsidR="004873C1" w:rsidRDefault="00C50120">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7 חודשי מאסר בפועל, בניכוי ימי מעצרו מאחורי סורג ובריח בתיק זה. הנאשם יתייצב לריצוי עונשו ביום 18.5.2015 עד השעה 09:00 במגרש הרוסים בירושלים.</w:t>
      </w:r>
    </w:p>
    <w:p w14:paraId="7AC6A463" w14:textId="77777777" w:rsidR="004873C1" w:rsidRDefault="004873C1">
      <w:pPr>
        <w:spacing w:after="120" w:line="360" w:lineRule="auto"/>
        <w:jc w:val="both"/>
        <w:rPr>
          <w:rtl/>
        </w:rPr>
      </w:pPr>
    </w:p>
    <w:p w14:paraId="319D5E41" w14:textId="77777777" w:rsidR="004873C1" w:rsidRDefault="00C50120">
      <w:pPr>
        <w:spacing w:after="120" w:line="360" w:lineRule="auto"/>
        <w:jc w:val="both"/>
        <w:rPr>
          <w:rtl/>
        </w:rPr>
      </w:pPr>
      <w:r>
        <w:rPr>
          <w:rFonts w:cs="FrankRuehl" w:hint="cs"/>
          <w:sz w:val="28"/>
          <w:szCs w:val="28"/>
          <w:rtl/>
        </w:rPr>
        <w:t>ב.</w:t>
      </w:r>
      <w:r>
        <w:rPr>
          <w:rFonts w:cs="FrankRuehl" w:hint="cs"/>
          <w:sz w:val="28"/>
          <w:szCs w:val="28"/>
          <w:rtl/>
        </w:rPr>
        <w:tab/>
        <w:t>מאסר על-תנאי לתקופה של 6 חודשים למשך שנתיים מיום שחרורו של הנאשם ממאסר. התנאי הוא שהנאשם לא יעבור כל עבירת סמים מסוג פשע.</w:t>
      </w:r>
    </w:p>
    <w:p w14:paraId="7D35B9DA" w14:textId="77777777" w:rsidR="004873C1" w:rsidRDefault="004873C1">
      <w:pPr>
        <w:spacing w:after="120" w:line="360" w:lineRule="auto"/>
        <w:jc w:val="both"/>
        <w:rPr>
          <w:rtl/>
        </w:rPr>
      </w:pPr>
    </w:p>
    <w:p w14:paraId="1127E306" w14:textId="77777777" w:rsidR="004873C1" w:rsidRDefault="00C50120">
      <w:pPr>
        <w:spacing w:after="120" w:line="360" w:lineRule="auto"/>
        <w:jc w:val="both"/>
        <w:rPr>
          <w:rtl/>
        </w:rPr>
      </w:pPr>
      <w:r>
        <w:rPr>
          <w:rFonts w:cs="FrankRuehl" w:hint="cs"/>
          <w:sz w:val="28"/>
          <w:szCs w:val="28"/>
          <w:rtl/>
        </w:rPr>
        <w:t>ג.</w:t>
      </w:r>
      <w:r>
        <w:rPr>
          <w:rFonts w:cs="FrankRuehl" w:hint="cs"/>
          <w:sz w:val="28"/>
          <w:szCs w:val="28"/>
          <w:rtl/>
        </w:rPr>
        <w:tab/>
        <w:t xml:space="preserve">מאסר על תנאי לתקופה של 3 חודשים למשך שנתיים מיום שחרורו של הנאשם ממאסר. התנאי הוא שהנאשם לא יעבור כל עבירת סמים מסוג עוון. </w:t>
      </w:r>
    </w:p>
    <w:p w14:paraId="423D165A" w14:textId="77777777" w:rsidR="004873C1" w:rsidRDefault="004873C1">
      <w:pPr>
        <w:spacing w:after="120" w:line="360" w:lineRule="auto"/>
        <w:jc w:val="both"/>
        <w:rPr>
          <w:rtl/>
        </w:rPr>
      </w:pPr>
    </w:p>
    <w:p w14:paraId="3C8F44E0" w14:textId="77777777" w:rsidR="004873C1" w:rsidRDefault="00C50120">
      <w:pPr>
        <w:spacing w:after="120" w:line="360" w:lineRule="auto"/>
        <w:jc w:val="both"/>
        <w:rPr>
          <w:rFonts w:cs="FrankRuehl"/>
          <w:sz w:val="28"/>
          <w:szCs w:val="28"/>
          <w:rtl/>
        </w:rPr>
      </w:pPr>
      <w:r>
        <w:rPr>
          <w:rFonts w:cs="FrankRuehl" w:hint="cs"/>
          <w:sz w:val="28"/>
          <w:szCs w:val="28"/>
          <w:rtl/>
        </w:rPr>
        <w:t>ד.</w:t>
      </w:r>
      <w:r>
        <w:rPr>
          <w:rFonts w:cs="FrankRuehl" w:hint="cs"/>
          <w:sz w:val="28"/>
          <w:szCs w:val="28"/>
          <w:rtl/>
        </w:rPr>
        <w:tab/>
        <w:t>ככל שנתפסו סמים, יש להשמידם.</w:t>
      </w:r>
    </w:p>
    <w:p w14:paraId="5F521878" w14:textId="77777777" w:rsidR="004873C1" w:rsidRDefault="004873C1">
      <w:pPr>
        <w:spacing w:after="120" w:line="360" w:lineRule="auto"/>
        <w:jc w:val="both"/>
        <w:rPr>
          <w:rFonts w:cs="FrankRuehl"/>
          <w:sz w:val="28"/>
          <w:szCs w:val="28"/>
          <w:rtl/>
        </w:rPr>
      </w:pPr>
    </w:p>
    <w:p w14:paraId="6B819E4A" w14:textId="77777777" w:rsidR="004873C1" w:rsidRDefault="00C50120">
      <w:pPr>
        <w:spacing w:after="200" w:line="360" w:lineRule="auto"/>
        <w:jc w:val="both"/>
        <w:rPr>
          <w:rFonts w:ascii="Calibri" w:hAnsi="Calibri" w:cs="FrankRuehl"/>
          <w:b/>
          <w:bCs/>
          <w:sz w:val="28"/>
          <w:szCs w:val="28"/>
          <w:rtl/>
        </w:rPr>
      </w:pPr>
      <w:r>
        <w:rPr>
          <w:rFonts w:hint="cs"/>
          <w:rtl/>
        </w:rPr>
        <w:tab/>
      </w:r>
      <w:r>
        <w:rPr>
          <w:rFonts w:ascii="Calibri" w:hAnsi="Calibri" w:cs="FrankRuehl" w:hint="cs"/>
          <w:b/>
          <w:bCs/>
          <w:sz w:val="28"/>
          <w:szCs w:val="28"/>
          <w:rtl/>
        </w:rPr>
        <w:t>המזכירות תמציא העתק גזר הדין לשירות המבחן למבוגרים.</w:t>
      </w:r>
    </w:p>
    <w:p w14:paraId="66A26FE5" w14:textId="77777777" w:rsidR="004873C1" w:rsidRDefault="004873C1">
      <w:pPr>
        <w:spacing w:after="200" w:line="360" w:lineRule="auto"/>
        <w:jc w:val="both"/>
        <w:rPr>
          <w:rFonts w:cs="FrankRuehl"/>
          <w:b/>
          <w:bCs/>
          <w:sz w:val="28"/>
          <w:szCs w:val="28"/>
          <w:rtl/>
        </w:rPr>
      </w:pPr>
      <w:bookmarkStart w:id="7" w:name="_GoBack"/>
      <w:bookmarkEnd w:id="7"/>
    </w:p>
    <w:p w14:paraId="00AB9D81" w14:textId="77777777" w:rsidR="004873C1" w:rsidRDefault="00C50120">
      <w:pPr>
        <w:spacing w:after="200" w:line="360" w:lineRule="auto"/>
        <w:ind w:firstLine="720"/>
        <w:jc w:val="both"/>
        <w:rPr>
          <w:rFonts w:cs="FrankRuehl"/>
          <w:b/>
          <w:bCs/>
          <w:sz w:val="28"/>
          <w:szCs w:val="28"/>
          <w:rtl/>
        </w:rPr>
      </w:pPr>
      <w:r>
        <w:rPr>
          <w:rFonts w:cs="FrankRuehl" w:hint="cs"/>
          <w:b/>
          <w:bCs/>
          <w:sz w:val="28"/>
          <w:szCs w:val="28"/>
          <w:rtl/>
        </w:rPr>
        <w:t>זכות ערעור לבית המשפט המחוזי תוך 45 ימים מהיום.</w:t>
      </w:r>
    </w:p>
    <w:p w14:paraId="52C61443" w14:textId="77777777" w:rsidR="004873C1" w:rsidRPr="00C50120" w:rsidRDefault="00C50120">
      <w:pPr>
        <w:spacing w:after="200" w:line="360" w:lineRule="auto"/>
        <w:ind w:firstLine="720"/>
        <w:jc w:val="both"/>
        <w:rPr>
          <w:rFonts w:ascii="Calibri" w:hAnsi="Calibri" w:cs="FrankRuehl"/>
          <w:b/>
          <w:bCs/>
          <w:color w:val="FFFFFF"/>
          <w:sz w:val="2"/>
          <w:szCs w:val="2"/>
          <w:rtl/>
        </w:rPr>
      </w:pPr>
      <w:r w:rsidRPr="00C50120">
        <w:rPr>
          <w:rFonts w:ascii="Calibri" w:hAnsi="Calibri" w:cs="FrankRuehl"/>
          <w:b/>
          <w:bCs/>
          <w:color w:val="FFFFFF"/>
          <w:sz w:val="2"/>
          <w:szCs w:val="2"/>
          <w:rtl/>
        </w:rPr>
        <w:t>5129371</w:t>
      </w:r>
    </w:p>
    <w:p w14:paraId="1404233D" w14:textId="77777777" w:rsidR="004873C1" w:rsidRDefault="00C50120">
      <w:pPr>
        <w:rPr>
          <w:rFonts w:cs="FrankRuehl"/>
          <w:sz w:val="28"/>
          <w:szCs w:val="28"/>
          <w:rtl/>
        </w:rPr>
      </w:pPr>
      <w:r w:rsidRPr="00C50120">
        <w:rPr>
          <w:rFonts w:ascii="Arial" w:hAnsi="Arial" w:cs="FrankRuehl"/>
          <w:color w:val="FFFFFF"/>
          <w:sz w:val="2"/>
          <w:szCs w:val="2"/>
          <w:rtl/>
        </w:rPr>
        <w:t>54678313</w:t>
      </w:r>
      <w:r>
        <w:rPr>
          <w:rFonts w:ascii="Arial" w:hAnsi="Arial" w:cs="FrankRuehl"/>
          <w:sz w:val="28"/>
          <w:szCs w:val="28"/>
          <w:rtl/>
        </w:rPr>
        <w:t xml:space="preserve">ניתן היום, י"ב ניסן תשע"ה, 01 אפריל 2015, במעמד הצדדים. </w:t>
      </w:r>
    </w:p>
    <w:p w14:paraId="7DC89261" w14:textId="77777777" w:rsidR="004873C1" w:rsidRDefault="004873C1">
      <w:pPr>
        <w:jc w:val="right"/>
      </w:pPr>
    </w:p>
    <w:p w14:paraId="12A48E6C" w14:textId="77777777" w:rsidR="004873C1" w:rsidRDefault="004873C1">
      <w:pPr>
        <w:jc w:val="right"/>
        <w:rPr>
          <w:rFonts w:ascii="Arial" w:hAnsi="Arial" w:cs="FrankRuehl"/>
          <w:sz w:val="28"/>
          <w:szCs w:val="28"/>
          <w:rtl/>
        </w:rPr>
      </w:pPr>
    </w:p>
    <w:p w14:paraId="4DF89063" w14:textId="77777777" w:rsidR="004873C1" w:rsidRDefault="004873C1">
      <w:pPr>
        <w:rPr>
          <w:rFonts w:cs="FrankRuehl"/>
          <w:sz w:val="28"/>
          <w:szCs w:val="28"/>
          <w:rtl/>
        </w:rPr>
      </w:pPr>
    </w:p>
    <w:p w14:paraId="53C806EC" w14:textId="77777777" w:rsidR="00C50120" w:rsidRPr="00C50120" w:rsidRDefault="00C50120" w:rsidP="00C50120">
      <w:pPr>
        <w:keepNext/>
        <w:rPr>
          <w:rFonts w:ascii="David" w:hAnsi="David"/>
          <w:color w:val="000000"/>
          <w:sz w:val="22"/>
          <w:szCs w:val="22"/>
          <w:rtl/>
        </w:rPr>
      </w:pPr>
    </w:p>
    <w:p w14:paraId="3BBE6739" w14:textId="77777777" w:rsidR="00C50120" w:rsidRPr="00C50120" w:rsidRDefault="00C50120" w:rsidP="00C50120">
      <w:pPr>
        <w:keepNext/>
        <w:rPr>
          <w:rFonts w:ascii="David" w:hAnsi="David"/>
          <w:color w:val="000000"/>
          <w:sz w:val="22"/>
          <w:szCs w:val="22"/>
          <w:rtl/>
        </w:rPr>
      </w:pPr>
      <w:r w:rsidRPr="00C50120">
        <w:rPr>
          <w:rFonts w:ascii="David" w:hAnsi="David"/>
          <w:color w:val="000000"/>
          <w:sz w:val="22"/>
          <w:szCs w:val="22"/>
          <w:rtl/>
        </w:rPr>
        <w:t>דנה כהן לקח 54678313</w:t>
      </w:r>
    </w:p>
    <w:p w14:paraId="128AC73B" w14:textId="77777777" w:rsidR="00C50120" w:rsidRDefault="00C50120" w:rsidP="00C50120">
      <w:r w:rsidRPr="00C50120">
        <w:rPr>
          <w:color w:val="000000"/>
          <w:rtl/>
        </w:rPr>
        <w:t>נוסח מסמך זה כפוף לשינויי ניסוח ועריכה</w:t>
      </w:r>
    </w:p>
    <w:p w14:paraId="7109EDE2" w14:textId="77777777" w:rsidR="00C50120" w:rsidRDefault="00C50120" w:rsidP="00C50120">
      <w:pPr>
        <w:rPr>
          <w:rtl/>
        </w:rPr>
      </w:pPr>
    </w:p>
    <w:p w14:paraId="24F7F3EF" w14:textId="77777777" w:rsidR="00C50120" w:rsidRDefault="00C50120" w:rsidP="00C50120">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755E2FA" w14:textId="77777777" w:rsidR="004873C1" w:rsidRDefault="004873C1" w:rsidP="00C50120">
      <w:pPr>
        <w:jc w:val="center"/>
        <w:rPr>
          <w:rFonts w:hint="cs"/>
          <w:color w:val="0000FF"/>
          <w:u w:val="single"/>
          <w:rtl/>
        </w:rPr>
      </w:pPr>
    </w:p>
    <w:p w14:paraId="14F171C8" w14:textId="77777777" w:rsidR="005D6FC5" w:rsidRDefault="005D6FC5" w:rsidP="00C50120">
      <w:pPr>
        <w:jc w:val="center"/>
        <w:rPr>
          <w:rFonts w:hint="cs"/>
          <w:color w:val="0000FF"/>
          <w:u w:val="single"/>
          <w:rtl/>
        </w:rPr>
      </w:pPr>
    </w:p>
    <w:p w14:paraId="0DA6BAC9" w14:textId="77777777" w:rsidR="005D6FC5" w:rsidRPr="00C50120" w:rsidRDefault="005D6FC5" w:rsidP="00C50120">
      <w:pPr>
        <w:jc w:val="center"/>
        <w:rPr>
          <w:color w:val="0000FF"/>
          <w:u w:val="single"/>
        </w:rPr>
      </w:pPr>
    </w:p>
    <w:sectPr w:rsidR="005D6FC5" w:rsidRPr="00C50120" w:rsidSect="00C50120">
      <w:headerReference w:type="even" r:id="rId34"/>
      <w:headerReference w:type="default" r:id="rId35"/>
      <w:footerReference w:type="even" r:id="rId36"/>
      <w:footerReference w:type="default" r:id="rId3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93FF7" w14:textId="77777777" w:rsidR="00AB202C" w:rsidRPr="002C19E9" w:rsidRDefault="00AB202C">
      <w:pPr>
        <w:rPr>
          <w:rFonts w:cs="Arial"/>
          <w:szCs w:val="20"/>
        </w:rPr>
      </w:pPr>
      <w:r>
        <w:separator/>
      </w:r>
    </w:p>
  </w:endnote>
  <w:endnote w:type="continuationSeparator" w:id="0">
    <w:p w14:paraId="42E7A25C" w14:textId="77777777" w:rsidR="00AB202C" w:rsidRPr="002C19E9" w:rsidRDefault="00AB202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74BAF" w14:textId="77777777" w:rsidR="00AB202C" w:rsidRDefault="00AB202C" w:rsidP="00C5012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4F72B5" w14:textId="77777777" w:rsidR="00AB202C" w:rsidRPr="00C50120" w:rsidRDefault="00AB202C" w:rsidP="00C50120">
    <w:pPr>
      <w:pStyle w:val="a4"/>
      <w:pBdr>
        <w:top w:val="single" w:sz="4" w:space="1" w:color="auto"/>
        <w:between w:val="single" w:sz="4" w:space="0" w:color="auto"/>
      </w:pBdr>
      <w:spacing w:after="60"/>
      <w:jc w:val="center"/>
      <w:rPr>
        <w:rFonts w:ascii="FrankRuehl" w:hAnsi="FrankRuehl" w:cs="FrankRuehl"/>
        <w:color w:val="000000"/>
      </w:rPr>
    </w:pPr>
    <w:r w:rsidRPr="00C501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C8AB8" w14:textId="77777777" w:rsidR="00AB202C" w:rsidRDefault="00AB202C" w:rsidP="00C5012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2985">
      <w:rPr>
        <w:rFonts w:ascii="FrankRuehl" w:hAnsi="FrankRuehl" w:cs="FrankRuehl"/>
        <w:noProof/>
        <w:rtl/>
      </w:rPr>
      <w:t>1</w:t>
    </w:r>
    <w:r>
      <w:rPr>
        <w:rFonts w:ascii="FrankRuehl" w:hAnsi="FrankRuehl" w:cs="FrankRuehl"/>
        <w:rtl/>
      </w:rPr>
      <w:fldChar w:fldCharType="end"/>
    </w:r>
  </w:p>
  <w:p w14:paraId="7D8282FE" w14:textId="77777777" w:rsidR="00AB202C" w:rsidRPr="00C50120" w:rsidRDefault="00AB202C" w:rsidP="00C50120">
    <w:pPr>
      <w:pStyle w:val="a4"/>
      <w:pBdr>
        <w:top w:val="single" w:sz="4" w:space="1" w:color="auto"/>
        <w:between w:val="single" w:sz="4" w:space="0" w:color="auto"/>
      </w:pBdr>
      <w:spacing w:after="60"/>
      <w:jc w:val="center"/>
      <w:rPr>
        <w:rFonts w:ascii="FrankRuehl" w:hAnsi="FrankRuehl" w:cs="FrankRuehl"/>
        <w:color w:val="000000"/>
      </w:rPr>
    </w:pPr>
    <w:r w:rsidRPr="00C50120">
      <w:rPr>
        <w:rFonts w:ascii="FrankRuehl" w:hAnsi="FrankRuehl" w:cs="FrankRuehl"/>
        <w:color w:val="000000"/>
      </w:rPr>
      <w:pict w14:anchorId="14F49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51C29" w14:textId="77777777" w:rsidR="00AB202C" w:rsidRPr="002C19E9" w:rsidRDefault="00AB202C">
      <w:pPr>
        <w:rPr>
          <w:rFonts w:cs="Arial"/>
          <w:szCs w:val="20"/>
        </w:rPr>
      </w:pPr>
      <w:r>
        <w:separator/>
      </w:r>
    </w:p>
  </w:footnote>
  <w:footnote w:type="continuationSeparator" w:id="0">
    <w:p w14:paraId="5100A393" w14:textId="77777777" w:rsidR="00AB202C" w:rsidRPr="002C19E9" w:rsidRDefault="00AB202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A25EB" w14:textId="77777777" w:rsidR="00AB202C" w:rsidRPr="00C50120" w:rsidRDefault="00AB202C" w:rsidP="00C501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29550-06-13</w:t>
    </w:r>
    <w:r>
      <w:rPr>
        <w:rFonts w:ascii="David" w:hAnsi="David"/>
        <w:color w:val="000000"/>
        <w:sz w:val="22"/>
        <w:szCs w:val="22"/>
        <w:rtl/>
      </w:rPr>
      <w:tab/>
      <w:t xml:space="preserve"> מדינת ישראל נ' מאהר סעידה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AD47D" w14:textId="77777777" w:rsidR="00AB202C" w:rsidRPr="00C50120" w:rsidRDefault="00AB202C" w:rsidP="00C501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29550-06-13</w:t>
    </w:r>
    <w:r>
      <w:rPr>
        <w:rFonts w:ascii="David" w:hAnsi="David"/>
        <w:color w:val="000000"/>
        <w:sz w:val="22"/>
        <w:szCs w:val="22"/>
        <w:rtl/>
      </w:rPr>
      <w:tab/>
      <w:t xml:space="preserve"> מדינת ישראל נ' מאהר סעידה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73C1"/>
    <w:rsid w:val="000B5702"/>
    <w:rsid w:val="000F2985"/>
    <w:rsid w:val="004873C1"/>
    <w:rsid w:val="0054544F"/>
    <w:rsid w:val="005D6FC5"/>
    <w:rsid w:val="00726FEF"/>
    <w:rsid w:val="00A04462"/>
    <w:rsid w:val="00AB202C"/>
    <w:rsid w:val="00C50120"/>
    <w:rsid w:val="00E75DD4"/>
    <w:rsid w:val="00E852D2"/>
    <w:rsid w:val="00EB523C"/>
    <w:rsid w:val="00FB014D"/>
    <w:rsid w:val="00FC5E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2422BC2"/>
  <w15:chartTrackingRefBased/>
  <w15:docId w15:val="{3016E8B9-46CD-41F7-A2FC-462573C4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73C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873C1"/>
    <w:pPr>
      <w:tabs>
        <w:tab w:val="center" w:pos="4153"/>
        <w:tab w:val="right" w:pos="8306"/>
      </w:tabs>
    </w:pPr>
  </w:style>
  <w:style w:type="paragraph" w:styleId="a4">
    <w:name w:val="footer"/>
    <w:basedOn w:val="a"/>
    <w:rsid w:val="004873C1"/>
    <w:pPr>
      <w:tabs>
        <w:tab w:val="center" w:pos="4153"/>
        <w:tab w:val="right" w:pos="8306"/>
      </w:tabs>
    </w:pPr>
  </w:style>
  <w:style w:type="character" w:styleId="a5">
    <w:name w:val="page number"/>
    <w:basedOn w:val="a0"/>
    <w:rsid w:val="004873C1"/>
  </w:style>
  <w:style w:type="character" w:styleId="Hyperlink">
    <w:name w:val="Hyperlink"/>
    <w:rsid w:val="00C501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case/6708658" TargetMode="External"/><Relationship Id="rId34" Type="http://schemas.openxmlformats.org/officeDocument/2006/relationships/header" Target="header1.xml"/><Relationship Id="rId7" Type="http://schemas.openxmlformats.org/officeDocument/2006/relationships/hyperlink" Target="http://www.nevo.co.il/law/4216/13"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19a" TargetMode="External"/><Relationship Id="rId20" Type="http://schemas.openxmlformats.org/officeDocument/2006/relationships/hyperlink" Target="http://www.nevo.co.il/case/13093721"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law/70301/40d.a" TargetMode="External"/><Relationship Id="rId36" Type="http://schemas.openxmlformats.org/officeDocument/2006/relationships/footer" Target="footer1.xml"/><Relationship Id="rId10" Type="http://schemas.openxmlformats.org/officeDocument/2006/relationships/hyperlink" Target="http://www.nevo.co.il/law/70301/40c.a"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40ja"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case/7971983" TargetMode="External"/><Relationship Id="rId27" Type="http://schemas.openxmlformats.org/officeDocument/2006/relationships/hyperlink" Target="http://www.nevo.co.il/case/11300869" TargetMode="External"/><Relationship Id="rId30" Type="http://schemas.openxmlformats.org/officeDocument/2006/relationships/hyperlink" Target="http://www.nevo.co.il/case/5917767" TargetMode="External"/><Relationship Id="rId35" Type="http://schemas.openxmlformats.org/officeDocument/2006/relationships/header" Target="header2.xml"/><Relationship Id="rId8" Type="http://schemas.openxmlformats.org/officeDocument/2006/relationships/hyperlink" Target="http://www.nevo.co.il/law/4216/19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3040</Words>
  <Characters>15203</Characters>
  <Application>Microsoft Office Word</Application>
  <DocSecurity>0</DocSecurity>
  <Lines>126</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18207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3407996</vt:i4>
      </vt:variant>
      <vt:variant>
        <vt:i4>72</vt:i4>
      </vt:variant>
      <vt:variant>
        <vt:i4>0</vt:i4>
      </vt:variant>
      <vt:variant>
        <vt:i4>5</vt:i4>
      </vt:variant>
      <vt:variant>
        <vt:lpwstr>http://www.nevo.co.il/case/5917767</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4915205</vt:i4>
      </vt:variant>
      <vt:variant>
        <vt:i4>66</vt:i4>
      </vt:variant>
      <vt:variant>
        <vt:i4>0</vt:i4>
      </vt:variant>
      <vt:variant>
        <vt:i4>5</vt:i4>
      </vt:variant>
      <vt:variant>
        <vt:lpwstr>http://www.nevo.co.il/law/70301/40d.a</vt:lpwstr>
      </vt:variant>
      <vt:variant>
        <vt:lpwstr/>
      </vt:variant>
      <vt:variant>
        <vt:i4>3407997</vt:i4>
      </vt:variant>
      <vt:variant>
        <vt:i4>63</vt:i4>
      </vt:variant>
      <vt:variant>
        <vt:i4>0</vt:i4>
      </vt:variant>
      <vt:variant>
        <vt:i4>5</vt:i4>
      </vt:variant>
      <vt:variant>
        <vt:lpwstr>http://www.nevo.co.il/case/11300869</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6553637</vt:i4>
      </vt:variant>
      <vt:variant>
        <vt:i4>51</vt:i4>
      </vt:variant>
      <vt:variant>
        <vt:i4>0</vt:i4>
      </vt:variant>
      <vt:variant>
        <vt:i4>5</vt:i4>
      </vt:variant>
      <vt:variant>
        <vt:lpwstr>http://www.nevo.co.il/law/70301/40jc.b</vt:lpwstr>
      </vt:variant>
      <vt:variant>
        <vt:lpwstr/>
      </vt:variant>
      <vt:variant>
        <vt:i4>3801204</vt:i4>
      </vt:variant>
      <vt:variant>
        <vt:i4>48</vt:i4>
      </vt:variant>
      <vt:variant>
        <vt:i4>0</vt:i4>
      </vt:variant>
      <vt:variant>
        <vt:i4>5</vt:i4>
      </vt:variant>
      <vt:variant>
        <vt:lpwstr>http://www.nevo.co.il/case/7971983</vt:lpwstr>
      </vt:variant>
      <vt:variant>
        <vt:lpwstr/>
      </vt:variant>
      <vt:variant>
        <vt:i4>3670142</vt:i4>
      </vt:variant>
      <vt:variant>
        <vt:i4>45</vt:i4>
      </vt:variant>
      <vt:variant>
        <vt:i4>0</vt:i4>
      </vt:variant>
      <vt:variant>
        <vt:i4>5</vt:i4>
      </vt:variant>
      <vt:variant>
        <vt:lpwstr>http://www.nevo.co.il/case/6708658</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2025-04-22T22:04:00Z</dcterms:created>
  <dcterms:modified xsi:type="dcterms:W3CDTF">2025-04-22T22:04:00Z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29550</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מאהר סעידה</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20150401</vt:lpwstr>
  </property>
  <property fmtid="{D5CDD505-2E9C-101B-9397-08002B2CF9AE}" pid="13" name="TYPE_N_DATE">
    <vt:lpwstr>38020150401</vt:lpwstr>
  </property>
  <property fmtid="{D5CDD505-2E9C-101B-9397-08002B2CF9AE}" pid="14" name="ISABSTRACT">
    <vt:lpwstr>Y</vt:lpwstr>
  </property>
  <property fmtid="{D5CDD505-2E9C-101B-9397-08002B2CF9AE}" pid="15" name="WORDNUMPAGES">
    <vt:lpwstr>10</vt:lpwstr>
  </property>
  <property fmtid="{D5CDD505-2E9C-101B-9397-08002B2CF9AE}" pid="16" name="TYPE_ABS_DATE">
    <vt:lpwstr>380020150401</vt:lpwstr>
  </property>
  <property fmtid="{D5CDD505-2E9C-101B-9397-08002B2CF9AE}" pid="17" name="CASESLISTTMP1">
    <vt:lpwstr>13093721;6708658;7971983;11300869;5917767</vt:lpwstr>
  </property>
  <property fmtid="{D5CDD505-2E9C-101B-9397-08002B2CF9AE}" pid="18" name="LAWLISTTMP1">
    <vt:lpwstr>4216/013;019a</vt:lpwstr>
  </property>
  <property fmtid="{D5CDD505-2E9C-101B-9397-08002B2CF9AE}" pid="19" name="LAWLISTTMP2">
    <vt:lpwstr>70301/40jc;40jc.b;040c.a;040d.a;40ja</vt:lpwstr>
  </property>
</Properties>
</file>